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E54EE">
      <w:pPr>
        <w:divId w:val="1780683927"/>
        <w:rPr>
          <w:rFonts w:eastAsia="Times New Roman"/>
          <w:vanish/>
        </w:rPr>
      </w:pPr>
      <w:r>
        <w:rPr>
          <w:rFonts w:eastAsia="Times New Roman"/>
          <w:vanish/>
        </w:rPr>
        <w:t>0000202058false2021FYP1YP1YP1YP1YP1Y.001http://fasb.org/us-gaap/2021-01-31#FairValueMeasuredAtNetAssetValuePerShareMember</w:t>
      </w:r>
      <w:r>
        <w:rPr>
          <w:rFonts w:eastAsia="Times New Roman"/>
          <w:vanish/>
        </w:rPr>
        <w:t>http://fasb.org/us-gaap/2021-01-31#FairValueMeasuredAtNetAssetValuePerShareMemberhttp://fasb.org/us-gaap/2021-01-31#FairValueMeasuredAtNetAssetValuePerShareMemberhttp://fasb.org/us-gaap/2021-01-31#FairValueMeasuredAtNetAssetValuePerShareMemberhttp://fasb.o</w:t>
      </w:r>
      <w:r>
        <w:rPr>
          <w:rFonts w:eastAsia="Times New Roman"/>
          <w:vanish/>
        </w:rPr>
        <w:t>rg/us-gaap/2021-01-31#FairValueMeasuredAtNetAssetValuePerShareMemberhttp://fasb.org/us-gaap/2021-01-31#FairValueMeasuredAtNetAssetValuePerShareMemberhttp://fasb.org/us-gaap/2021-01-31#FairValueMeasuredAtNetAssetValuePerShareMemberhttp://fasb.org/us-gaap/20</w:t>
      </w:r>
      <w:r>
        <w:rPr>
          <w:rFonts w:eastAsia="Times New Roman"/>
          <w:vanish/>
        </w:rPr>
        <w:t>21-01-31#FairValueMeasuredAtNetAssetValuePerShareMemberhttp://fasb.org/us-gaap/2021-01-31#FairValueMeasuredAtNetAssetValuePerShareMemberhttp://fasb.org/us-gaap/2021-01-31#FairValueMeasuredAtNetAssetValuePerShareMemberhttp://fasb.org/us-gaap/2021-01-31#Fair</w:t>
      </w:r>
      <w:r>
        <w:rPr>
          <w:rFonts w:eastAsia="Times New Roman"/>
          <w:vanish/>
        </w:rPr>
        <w:t>ValueMeasuredAtNetAssetValuePerShareMemberhttp://fasb.org/us-gaap/2021-01-31#OtherAccruedLiabilitiesCurrenthttp://fasb.org/us-gaap/2021-01-31#OtherAccruedLiabilitiesCurrenthttp://fasb.org/us-gaap/2021-01-31#OperatingLeaseLiabilityNoncurrenthttp://fasb.org/</w:t>
      </w:r>
      <w:r>
        <w:rPr>
          <w:rFonts w:eastAsia="Times New Roman"/>
          <w:vanish/>
        </w:rPr>
        <w:t>us-gaap/2021-01-31#OperatingLeaseLiabilityNoncurrenthttp://fasb.org/us-gaap/2021-01-31#LongTermDebtAndCapitalLeaseObligationsCurrenthttp://fasb.org/us-gaap/2021-01-31#LongTermDebtAndCapitalLeaseObligationsCurrenthttp://fasb.org/us-gaap/2021-01-31#LongTermD</w:t>
      </w:r>
      <w:r>
        <w:rPr>
          <w:rFonts w:eastAsia="Times New Roman"/>
          <w:vanish/>
        </w:rPr>
        <w:t>ebtAndCapitalLeaseObligationshttp://fasb.org/us-gaap/2021-01-31#LongTermDebtAndCapitalLeaseObligations351200002020582021-01-022021-12-3100002020582021-07-02iso4217:USD00002020582022-02-18xbrli:shares0000202058us-gaap:ProductMember2021-01-022021-12-31000020</w:t>
      </w:r>
      <w:r>
        <w:rPr>
          <w:rFonts w:eastAsia="Times New Roman"/>
          <w:vanish/>
        </w:rPr>
        <w:t>2058us-gaap:ProductMember2020-01-042021-01-010000202058us-gaap:ProductMember2019-06-292020-01-030000202058us-gaap:ProductMember2018-06-302019-06-280000202058us-gaap:ServiceMember2021-01-022021-12-310000202058us-gaap:ServiceMember2020-01-042021-01-010000202</w:t>
      </w:r>
      <w:r>
        <w:rPr>
          <w:rFonts w:eastAsia="Times New Roman"/>
          <w:vanish/>
        </w:rPr>
        <w:t>058us-gaap:ServiceMember2019-06-292020-01-030000202058us-gaap:ServiceMember2018-06-302019-06-2800002020582020-01-042021-01-0100002020582019-06-292020-01-0300002020582018-06-302019-06-28iso4217:USDxbrli:shares00002020582021-12-3100002020582021-01-0100002020</w:t>
      </w:r>
      <w:r>
        <w:rPr>
          <w:rFonts w:eastAsia="Times New Roman"/>
          <w:vanish/>
        </w:rPr>
        <w:t>582020-01-0300002020582019-06-2800002020582018-06-290000202058us-gaap:CommonStockMember2018-06-290000202058us-gaap:OtherAdditionalCapitalMember2018-06-290000202058us-gaap:RetainedEarningsMember2018-06-290000202058us-gaap:AccumulatedOtherComprehensiveIncome</w:t>
      </w:r>
      <w:r>
        <w:rPr>
          <w:rFonts w:eastAsia="Times New Roman"/>
          <w:vanish/>
        </w:rPr>
        <w:t>Member2018-06-290000202058us-gaap:NoncontrollingInterestMember2018-06-290000202058us-gaap:RetainedEarningsMember2018-06-302019-06-280000202058us-gaap:AccumulatedOtherComprehensiveIncomeMember2018-06-302019-06-280000202058us-gaap:CommonStockMember2018-06-30</w:t>
      </w:r>
      <w:r>
        <w:rPr>
          <w:rFonts w:eastAsia="Times New Roman"/>
          <w:vanish/>
        </w:rPr>
        <w:t>2019-06-280000202058us-gaap:OtherAdditionalCapitalMember2018-06-302019-06-280000202058us-gaap:CommonStockMember2019-06-280000202058us-gaap:OtherAdditionalCapitalMember2019-06-280000202058us-gaap:RetainedEarningsMember2019-06-280000202058us-gaap:Accumulated</w:t>
      </w:r>
      <w:r>
        <w:rPr>
          <w:rFonts w:eastAsia="Times New Roman"/>
          <w:vanish/>
        </w:rPr>
        <w:t>OtherComprehensiveIncomeMember2019-06-280000202058us-gaap:NoncontrollingInterestMember2019-06-280000202058us-gaap:RetainedEarningsMember2019-06-292020-01-030000202058us-gaap:NoncontrollingInterestMember2019-06-292020-01-030000202058us-gaap:AccumulatedOther</w:t>
      </w:r>
      <w:r>
        <w:rPr>
          <w:rFonts w:eastAsia="Times New Roman"/>
          <w:vanish/>
        </w:rPr>
        <w:t>ComprehensiveIncomeMember2019-06-292020-01-030000202058us-gaap:CommonStockMember2019-06-292020-01-030000202058us-gaap:OtherAdditionalCapitalMember2019-06-292020-01-030000202058us-gaap:CommonStockMember2020-01-030000202058us-gaap:OtherAdditionalCapitalMembe</w:t>
      </w:r>
      <w:r>
        <w:rPr>
          <w:rFonts w:eastAsia="Times New Roman"/>
          <w:vanish/>
        </w:rPr>
        <w:t>r2020-01-030000202058us-gaap:RetainedEarningsMember2020-01-030000202058us-gaap:AccumulatedOtherComprehensiveIncomeMember2020-01-030000202058us-gaap:NoncontrollingInterestMember2020-01-030000202058us-gaap:RetainedEarningsMember2020-01-042021-01-010000202058</w:t>
      </w:r>
      <w:r>
        <w:rPr>
          <w:rFonts w:eastAsia="Times New Roman"/>
          <w:vanish/>
        </w:rPr>
        <w:t>us-gaap:NoncontrollingInterestMember2020-01-042021-01-010000202058us-gaap:AccumulatedOtherComprehensiveIncomeMember2020-01-042021-01-010000202058us-gaap:CommonStockMember2020-01-042021-01-010000202058us-gaap:OtherAdditionalCapitalMember2020-01-042021-01-01</w:t>
      </w:r>
      <w:r>
        <w:rPr>
          <w:rFonts w:eastAsia="Times New Roman"/>
          <w:vanish/>
        </w:rPr>
        <w:t>0000202058us-gaap:CommonStockMember2021-01-010000202058us-gaap:OtherAdditionalCapitalMember2021-01-010000202058us-gaap:RetainedEarningsMember2021-01-010000202058us-gaap:AccumulatedOtherComprehensiveIncomeMember2021-01-010000202058us-gaap:NoncontrollingInte</w:t>
      </w:r>
      <w:r>
        <w:rPr>
          <w:rFonts w:eastAsia="Times New Roman"/>
          <w:vanish/>
        </w:rPr>
        <w:t>restMember2021-01-010000202058us-gaap:RetainedEarningsMember2021-01-022021-12-310000202058us-gaap:NoncontrollingInterestMember2021-01-022021-12-310000202058us-gaap:AccumulatedOtherComprehensiveIncomeMember2021-01-022021-12-310000202058us-gaap:CommonStockMe</w:t>
      </w:r>
      <w:r>
        <w:rPr>
          <w:rFonts w:eastAsia="Times New Roman"/>
          <w:vanish/>
        </w:rPr>
        <w:t>mber2021-01-022021-12-310000202058us-gaap:OtherAdditionalCapitalMember2021-01-022021-12-310000202058us-gaap:CommonStockMember2021-12-310000202058us-gaap:OtherAdditionalCapitalMember2021-12-310000202058us-gaap:RetainedEarningsMember2021-12-310000202058us-ga</w:t>
      </w:r>
      <w:r>
        <w:rPr>
          <w:rFonts w:eastAsia="Times New Roman"/>
          <w:vanish/>
        </w:rPr>
        <w:t>ap:AccumulatedOtherComprehensiveIncomeMember2021-12-310000202058us-gaap:NoncontrollingInterestMember2021-12-31hrs:countryhrs:employee0000202058hrs:EngineersAndScientistsMember2021-12-3100002020582020-01-042020-04-03hrs:business0000202058us-gaap:OtherCurren</w:t>
      </w:r>
      <w:r>
        <w:rPr>
          <w:rFonts w:eastAsia="Times New Roman"/>
          <w:vanish/>
        </w:rPr>
        <w:t>tAssetsMember2021-12-310000202058us-gaap:OtherNoncurrentAssetsMember2021-12-310000202058us-gaap:OtherCurrentAssetsMember2021-01-010000202058us-gaap:OtherNoncurrentAssetsMember2021-01-010000202058srt:MinimumMemberus-gaap:BuildingMember2021-01-022021-12-3100</w:t>
      </w:r>
      <w:r>
        <w:rPr>
          <w:rFonts w:eastAsia="Times New Roman"/>
          <w:vanish/>
        </w:rPr>
        <w:t>00202058srt:MaximumMemberus-gaap:BuildingMember2021-01-022021-12-310000202058srt:MinimumMemberus-gaap:MachineryAndEquipmentMember2021-01-022021-12-310000202058us-gaap:MachineryAndEquipmentMembersrt:MaximumMember2021-01-022021-12-31xbrli:pure0000202058srt:M</w:t>
      </w:r>
      <w:r>
        <w:rPr>
          <w:rFonts w:eastAsia="Times New Roman"/>
          <w:vanish/>
        </w:rPr>
        <w:t>inimumMemberhrs:IntegratedMissionSystemsMember2021-01-022021-12-310000202058hrs:IntegratedMissionSystemsMembersrt:MaximumMember2021-01-022021-12-310000202058srt:MinimumMemberhrs:SpaceandAirborneSystemsMember2021-01-022021-12-310000202058srt:MaximumMemberhr</w:t>
      </w:r>
      <w:r>
        <w:rPr>
          <w:rFonts w:eastAsia="Times New Roman"/>
          <w:vanish/>
        </w:rPr>
        <w:t>s:SpaceandAirborneSystemsMember2021-01-022021-12-310000202058srt:MinimumMemberhrs:CommunicationSystemsMember2021-01-022021-12-310000202058hrs:CommunicationSystemsMembersrt:MaximumMember2021-01-022021-12-310000202058srt:MinimumMemberhrs:AviationSystemsMembe</w:t>
      </w:r>
      <w:r>
        <w:rPr>
          <w:rFonts w:eastAsia="Times New Roman"/>
          <w:vanish/>
        </w:rPr>
        <w:t>r2021-01-022021-12-310000202058srt:MaximumMemberhrs:AviationSystemsMember2021-01-022021-12-310000202058us-gaap:ContractsAccountedForUnderPercentageOfCompletionMember2021-01-022021-12-310000202058us-gaap:ContractsAccountedForUnderPercentageOfCompletionMembe</w:t>
      </w:r>
      <w:r>
        <w:rPr>
          <w:rFonts w:eastAsia="Times New Roman"/>
          <w:vanish/>
        </w:rPr>
        <w:t>r2020-01-042021-01-010000202058us-gaap:ContractsAccountedForUnderPercentageOfCompletionMember2019-06-292020-01-030000202058us-gaap:ContractsAccountedForUnderPercentageOfCompletionMember2018-06-302019-06-28hrs:site0000202058hrs:NardaMITEQBusinessMemberus-ga</w:t>
      </w:r>
      <w:r>
        <w:rPr>
          <w:rFonts w:eastAsia="Times New Roman"/>
          <w:vanish/>
        </w:rPr>
        <w:t>ap:DisposalGroupDisposedOfBySaleNotDiscontinuedOperationsMemberhrs:AviationSystemsMember2021-12-310000202058us-gaap:DisposalGroupDisposedOfBySaleNotDiscontinuedOperationsMemberhrs:ESSCOBusinessMemberhrs:AviationSystemsMember2021-12-310000202058us-gaap:Disp</w:t>
      </w:r>
      <w:r>
        <w:rPr>
          <w:rFonts w:eastAsia="Times New Roman"/>
          <w:vanish/>
        </w:rPr>
        <w:t>osalGroupDisposedOfBySaleNotDiscontinuedOperationsMemberhrs:ElectronDevicesAndNardaMicrowaveWestMemberhrs:AviationSystemsMember2021-12-310000202058us-gaap:DisposalGroupDisposedOfBySaleNotDiscontinuedOperationsMemberhrs:AviationSystemsMemberhrs:VoiceSwitchE</w:t>
      </w:r>
      <w:r>
        <w:rPr>
          <w:rFonts w:eastAsia="Times New Roman"/>
          <w:vanish/>
        </w:rPr>
        <w:t>nterpriseMember2021-12-310000202058us-gaap:DisposalGroupDisposedOfBySaleNotDiscontinuedOperationsMemberhrs:CombatPropulsionSystemsMemberhrs:AviationSystemsMember2021-12-310000202058us-gaap:DisposalGroupDisposedOfBySaleNotDiscontinuedOperationsMemberhrs:Mil</w:t>
      </w:r>
      <w:r>
        <w:rPr>
          <w:rFonts w:eastAsia="Times New Roman"/>
          <w:vanish/>
        </w:rPr>
        <w:t>itaryTrainingBusinessMemberhrs:AviationSystemsMember2021-12-310000202058us-gaap:DisposalGroupDisposedOfBySaleNotDiscontinuedOperationsMember2021-12-310000202058hrs:EOTechBusinessMemberus-gaap:DisposalGroupDisposedOfBySaleNotDiscontinuedOperationsMemberhrs:</w:t>
      </w:r>
      <w:r>
        <w:rPr>
          <w:rFonts w:eastAsia="Times New Roman"/>
          <w:vanish/>
        </w:rPr>
        <w:t>CommunicationSystemsMember2021-01-010000202058hrs:AppliedKilovoltsandAnalyticalInstrumentationBusinessMemberus-gaap:DisposalGroupDisposedOfBySaleNotDiscontinuedOperationsMemberhrs:SpaceandAirborneSystemsMember2021-01-010000202058hrs:AirportSecurityandAutom</w:t>
      </w:r>
      <w:r>
        <w:rPr>
          <w:rFonts w:eastAsia="Times New Roman"/>
          <w:vanish/>
        </w:rPr>
        <w:t>ationBusinessMemberus-gaap:DisposalGroupDisposedOfBySaleNotDiscontinuedOperationsMemberhrs:AviationSystemsMember2021-01-010000202058us-gaap:DisposalGroupDisposedOfBySaleNotDiscontinuedOperationsMember2021-01-010000202058hrs:HarrisNightVisionBusinessMemberu</w:t>
      </w:r>
      <w:r>
        <w:rPr>
          <w:rFonts w:eastAsia="Times New Roman"/>
          <w:vanish/>
        </w:rPr>
        <w:t>s-gaap:DisposalGroupDisposedOfBySaleNotDiscontinuedOperationsMember2020-01-030000202058us-gaap:DisposalGroupDisposedOfBySaleNotDiscontinuedOperationsMemberhrs:StormscopeMemberhrs:AviationSystemsMember2020-01-030000202058us-gaap:DisposalGroupDisposedOfBySal</w:t>
      </w:r>
      <w:r>
        <w:rPr>
          <w:rFonts w:eastAsia="Times New Roman"/>
          <w:vanish/>
        </w:rPr>
        <w:t>eNotDiscontinuedOperationsMember2020-01-030000202058us-gaap:DisposalGroupHeldForSaleOrDisposedOfBySaleNotDiscontinuedOperationsMemberhrs:VoiceSwitchEnterpriseMember2021-01-010000202058hrs:ElectronDevicesAndNardaMicrowaveWestMemberus-gaap:DisposalGroupHeldF</w:t>
      </w:r>
      <w:r>
        <w:rPr>
          <w:rFonts w:eastAsia="Times New Roman"/>
          <w:vanish/>
        </w:rPr>
        <w:t>orSaleOrDisposedOfBySaleNotDiscontinuedOperationsMember2021-01-022021-12-310000202058hrs:ElectronDevicesAndNardaMicrowaveWestMemberus-gaap:DisposalGroupHeldForSaleOrDisposedOfBySaleNotDiscontinuedOperationsMember2020-01-042021-01-010000202058hrs:ElectronDe</w:t>
      </w:r>
      <w:r>
        <w:rPr>
          <w:rFonts w:eastAsia="Times New Roman"/>
          <w:vanish/>
        </w:rPr>
        <w:t>vicesAndNardaMicrowaveWestMemberus-gaap:DisposalGroupHeldForSaleOrDisposedOfBySaleNotDiscontinuedOperationsMember2019-06-292020-01-030000202058us-gaap:DisposalGroupHeldForSaleOrDisposedOfBySaleNotDiscontinuedOperationsMemberhrs:CombatPropulsionSystemsMembe</w:t>
      </w:r>
      <w:r>
        <w:rPr>
          <w:rFonts w:eastAsia="Times New Roman"/>
          <w:vanish/>
        </w:rPr>
        <w:t>r2021-01-022021-12-310000202058us-gaap:DisposalGroupHeldForSaleOrDisposedOfBySaleNotDiscontinuedOperationsMemberhrs:CombatPropulsionSystemsMember2020-01-042021-01-010000202058us-gaap:DisposalGroupHeldForSaleOrDisposedOfBySaleNotDiscontinuedOperationsMember</w:t>
      </w:r>
      <w:r>
        <w:rPr>
          <w:rFonts w:eastAsia="Times New Roman"/>
          <w:vanish/>
        </w:rPr>
        <w:t>hrs:CombatPropulsionSystemsMember2019-06-292020-01-030000202058hrs:MilitaryTrainingBusinessMemberus-gaap:DisposalGroupHeldForSaleOrDisposedOfBySaleNotDiscontinuedOperationsMember2021-01-022021-12-310000202058hrs:MilitaryTrainingBusinessMemberus-gaap:Dispos</w:t>
      </w:r>
      <w:r>
        <w:rPr>
          <w:rFonts w:eastAsia="Times New Roman"/>
          <w:vanish/>
        </w:rPr>
        <w:t>alGroupHeldForSaleOrDisposedOfBySaleNotDiscontinuedOperationsMember2020-01-042021-01-010000202058hrs:MilitaryTrainingBusinessMemberus-gaap:DisposalGroupHeldForSaleOrDisposedOfBySaleNotDiscontinuedOperationsMember2019-06-292020-01-030000202058hrs:AirportSec</w:t>
      </w:r>
      <w:r>
        <w:rPr>
          <w:rFonts w:eastAsia="Times New Roman"/>
          <w:vanish/>
        </w:rPr>
        <w:t>urityandAutomationBusinessMemberus-gaap:DisposalGroupHeldForSaleOrDisposedOfBySaleNotDiscontinuedOperationsMember2019-06-292020-01-030000202058hrs:HarrisNightVisionBusinessMemberus-gaap:DisposalGroupHeldForSaleOrDisposedOfBySaleNotDiscontinuedOperationsMem</w:t>
      </w:r>
      <w:r>
        <w:rPr>
          <w:rFonts w:eastAsia="Times New Roman"/>
          <w:vanish/>
        </w:rPr>
        <w:t>ber2018-06-302019-06-280000202058hrs:NardaMITEQBusinessMemberus-gaap:DisposalGroupHeldForSaleOrDisposedOfBySaleNotDiscontinuedOperationsMember2021-01-022021-12-310000202058hrs:NardaMITEQBusinessMemberus-gaap:DisposalGroupHeldForSaleOrDisposedOfBySaleNotDis</w:t>
      </w:r>
      <w:r>
        <w:rPr>
          <w:rFonts w:eastAsia="Times New Roman"/>
          <w:vanish/>
        </w:rPr>
        <w:t>continuedOperationsMember2020-01-042021-01-010000202058us-gaap:DisposalGroupHeldForSaleOrDisposedOfBySaleNotDiscontinuedOperationsMemberhrs:ESSCOBusinessMember2021-01-022021-12-310000202058us-gaap:DisposalGroupHeldForSaleOrDisposedOfBySaleNotDiscontinuedOp</w:t>
      </w:r>
      <w:r>
        <w:rPr>
          <w:rFonts w:eastAsia="Times New Roman"/>
          <w:vanish/>
        </w:rPr>
        <w:t>erationsMemberhrs:ESSCOBusinessMember2020-01-042021-01-010000202058us-gaap:DisposalGroupHeldForSaleOrDisposedOfBySaleNotDiscontinuedOperationsMemberhrs:VoiceSwitchEnterpriseMember2021-01-022021-12-310000202058us-gaap:DisposalGroupHeldForSaleOrDisposedOfByS</w:t>
      </w:r>
      <w:r>
        <w:rPr>
          <w:rFonts w:eastAsia="Times New Roman"/>
          <w:vanish/>
        </w:rPr>
        <w:t>aleNotDiscontinuedOperationsMemberhrs:VoiceSwitchEnterpriseMember2020-01-042021-01-010000202058hrs:EOTechBusinessMemberus-gaap:DisposalGroupHeldForSaleOrDisposedOfBySaleNotDiscontinuedOperationsMember2021-01-022021-12-310000202058hrs:EOTechBusinessMemberus</w:t>
      </w:r>
      <w:r>
        <w:rPr>
          <w:rFonts w:eastAsia="Times New Roman"/>
          <w:vanish/>
        </w:rPr>
        <w:t>-gaap:DisposalGroupHeldForSaleOrDisposedOfBySaleNotDiscontinuedOperationsMember2020-01-042021-01-010000202058hrs:AirportSecurityandAutomationBusinessMemberus-gaap:DisposalGroupHeldForSaleOrDisposedOfBySaleNotDiscontinuedOperationsMember2021-01-022021-12-31</w:t>
      </w:r>
      <w:r>
        <w:rPr>
          <w:rFonts w:eastAsia="Times New Roman"/>
          <w:vanish/>
        </w:rPr>
        <w:t>0000202058hrs:AirportSecurityandAutomationBusinessMemberus-gaap:DisposalGroupHeldForSaleOrDisposedOfBySaleNotDiscontinuedOperationsMember2020-01-042021-01-010000202058hrs:OtherCompletedDivestitureOfBusinessesMemberus-gaap:DisposalGroupHeldForSaleOrDisposed</w:t>
      </w:r>
      <w:r>
        <w:rPr>
          <w:rFonts w:eastAsia="Times New Roman"/>
          <w:vanish/>
        </w:rPr>
        <w:t>OfBySaleNotDiscontinuedOperationsMember2021-01-022021-12-310000202058hrs:OtherCompletedDivestitureOfBusinessesMemberus-gaap:DisposalGroupHeldForSaleOrDisposedOfBySaleNotDiscontinuedOperationsMember2020-01-042021-01-010000202058us-gaap:DisposalGroupHeldForS</w:t>
      </w:r>
      <w:r>
        <w:rPr>
          <w:rFonts w:eastAsia="Times New Roman"/>
          <w:vanish/>
        </w:rPr>
        <w:t>aleOrDisposedOfBySaleNotDiscontinuedOperationsMember2021-01-022021-12-310000202058us-gaap:DisposalGroupHeldForSaleOrDisposedOfBySaleNotDiscontinuedOperationsMember2020-01-042021-01-010000202058us-gaap:DisposalGroupHeldforsaleNotDiscontinuedOperationsMember</w:t>
      </w:r>
      <w:r>
        <w:rPr>
          <w:rFonts w:eastAsia="Times New Roman"/>
          <w:vanish/>
        </w:rPr>
        <w:t>hrs:VoiceSwitchEnterpriseMember2020-04-042020-07-030000202058hrs:CombatPropulsionSystemsMemberus-gaap:DisposalGroupHeldforsaleNotDiscontinuedOperationsMember2021-01-022021-04-020000202058hrs:HarrisNightVisionBusinessMemberus-gaap:DisposalGroupDisposedOfByS</w:t>
      </w:r>
      <w:r>
        <w:rPr>
          <w:rFonts w:eastAsia="Times New Roman"/>
          <w:vanish/>
        </w:rPr>
        <w:t>aleNotDiscontinuedOperationsMember2020-01-042021-01-010000202058hrs:HarrisNightVisionBusinessMemberus-gaap:DisposalGroupHeldForSaleOrDisposedOfBySaleNotDiscontinuedOperationsMember2019-06-292020-01-030000202058hrs:L3HarrisTechnologiesInc.Member2019-06-2920</w:t>
      </w:r>
      <w:r>
        <w:rPr>
          <w:rFonts w:eastAsia="Times New Roman"/>
          <w:vanish/>
        </w:rPr>
        <w:t>19-06-290000202058hrs:L3HarrisTechnologiesInc.Memberhrs:FormerHarrisShareholdersMember2019-06-290000202058hrs:FormerL3ShareholdersMemberhrs:L3HarrisTechnologiesInc.Member2019-06-290000202058hrs:L3TechnologiesInc.Memberhrs:L3HarrisTechnologiesInc.Member2019</w:t>
      </w:r>
      <w:r>
        <w:rPr>
          <w:rFonts w:eastAsia="Times New Roman"/>
          <w:vanish/>
        </w:rPr>
        <w:t>-06-290000202058hrs:L3TechnologiesInc.Memberhrs:L3HarrisTechnologiesInc.Member2018-01-012018-12-310000202058hrs:L3HarrisTechnologiesInc.Member2019-06-280000202058hrs:L3TechnologiesInc.Memberhrs:L3HarrisTechnologiesInc.Member2019-06-280000202058hrs:L3Techno</w:t>
      </w:r>
      <w:r>
        <w:rPr>
          <w:rFonts w:eastAsia="Times New Roman"/>
          <w:vanish/>
        </w:rPr>
        <w:t>logiesInc.Memberhrs:L3HarrisTechnologiesInc.Memberus-gaap:RestrictedStockUnitsRSUMember2019-06-292019-06-290000202058hrs:PerformanceStockUnitsMemberhrs:L3TechnologiesInc.Memberhrs:L3HarrisTechnologiesInc.Member2019-06-292019-06-290000202058hrs:L3Technologi</w:t>
      </w:r>
      <w:r>
        <w:rPr>
          <w:rFonts w:eastAsia="Times New Roman"/>
          <w:vanish/>
        </w:rPr>
        <w:t>esInc.Memberhrs:L3HarrisTechnologiesInc.Member2019-06-292019-06-290000202058hrs:L3HarrisTechnologiesInc.Memberus-gaap:RestrictedStockUnitsRSUMember2019-06-292019-06-290000202058us-gaap:EmployeeStockMemberhrs:L3HarrisTechnologiesInc.Member2019-06-292019-06-</w:t>
      </w:r>
      <w:r>
        <w:rPr>
          <w:rFonts w:eastAsia="Times New Roman"/>
          <w:vanish/>
        </w:rPr>
        <w:t>290000202058hrs:L3HarrisTechnologiesInc.Member2019-06-290000202058hrs:L3HarrisTechnologiesInc.Membersrt:ScenarioPreviouslyReportedMember2019-09-270000202058hrs:L3HarrisTechnologiesInc.Member2019-09-282020-07-030000202058hrs:L3HarrisTechnologiesInc.Member20</w:t>
      </w:r>
      <w:r>
        <w:rPr>
          <w:rFonts w:eastAsia="Times New Roman"/>
          <w:vanish/>
        </w:rPr>
        <w:t>20-07-030000202058hrs:L3HarrisTechnologiesInc.Member2021-01-022021-12-310000202058hrs:L3HarrisTechnologiesInc.Member2020-01-042021-01-010000202058hrs:L3HarrisTechnologiesInc.Member2019-06-292020-01-030000202058hrs:L3HarrisTechnologiesInc.Member2021-12-3100</w:t>
      </w:r>
      <w:r>
        <w:rPr>
          <w:rFonts w:eastAsia="Times New Roman"/>
          <w:vanish/>
        </w:rPr>
        <w:t>00202058hrs:L3HarrisTechnologiesInc.Memberus-gaap:CustomerRelationshipsMemberus-gaap:GovernmentContractMember2019-06-292019-06-290000202058hrs:L3HarrisTechnologiesInc.Memberus-gaap:CustomerRelationshipsMemberhrs:CommercialContractMember2019-06-292019-06-29</w:t>
      </w:r>
      <w:r>
        <w:rPr>
          <w:rFonts w:eastAsia="Times New Roman"/>
          <w:vanish/>
        </w:rPr>
        <w:t>0000202058hrs:L3HarrisTechnologiesInc.Memberus-gaap:OrderOrProductionBacklogMember2019-06-292019-06-290000202058us-gaap:TradeNamesMemberhrs:L3HarrisTechnologiesInc.Member2019-06-292019-06-290000202058hrs:L3HarrisTechnologiesInc.Memberus-gaap:TechnologyBase</w:t>
      </w:r>
      <w:r>
        <w:rPr>
          <w:rFonts w:eastAsia="Times New Roman"/>
          <w:vanish/>
        </w:rPr>
        <w:t>dIntangibleAssetsMember2019-06-292019-06-290000202058us-gaap:TradeNamesMemberhrs:L3HarrisTechnologiesInc.Member2019-06-292019-06-290000202058hrs:L3HarrisTechnologiesInc.Memberus-gaap:InProcessResearchAndDevelopmentMember2019-06-292019-06-290000202058hrs:L3</w:t>
      </w:r>
      <w:r>
        <w:rPr>
          <w:rFonts w:eastAsia="Times New Roman"/>
          <w:vanish/>
        </w:rPr>
        <w:t>HarrisTechnologiesInc.Member2018-06-302019-06-280000202058hrs:L3HarrisTechnologiesInc.Member2018-12-292020-01-030000202058hrs:L3HarrisTechnologiesInc.Member2018-06-302018-12-280000202058hrs:ReceivableSaleAgreementMember2021-12-31hrs:receivableSaleAgreement</w:t>
      </w:r>
      <w:r>
        <w:rPr>
          <w:rFonts w:eastAsia="Times New Roman"/>
          <w:vanish/>
        </w:rPr>
        <w:t>0000202058hrs:ReceivableSaleAgreementTwoMember2021-12-310000202058hrs:ReceivableSaleAgreementOneMember2021-12-310000202058hrs:ReceivableSaleAgreementMember2021-01-010000202058hrs:IntegratedMissionSystemsMember2021-12-3100002020582019-06-292021-01-010000202</w:t>
      </w:r>
      <w:r>
        <w:rPr>
          <w:rFonts w:eastAsia="Times New Roman"/>
          <w:vanish/>
        </w:rPr>
        <w:t>0582018-12-292020-01-030000202058hrs:CommercialTrainingSolutionsMember2021-01-022021-12-310000202058hrs:CommercialAviationSolutionsMemberhrs:COVID19PandemicMember2020-10-032021-01-0100002020582019-06-292019-06-290000202058hrs:IntegratedMissionSystemsMember</w:t>
      </w:r>
      <w:r>
        <w:rPr>
          <w:rFonts w:eastAsia="Times New Roman"/>
          <w:vanish/>
        </w:rPr>
        <w:t>2020-01-030000202058hrs:SpaceandAirborneSystemsMember2020-01-030000202058hrs:CommunicationSystemsMember2020-01-030000202058hrs:AviationSystemsMember2020-01-030000202058hrs:IntegratedMissionSystemsMember2020-01-042021-01-010000202058hrs:SpaceandAirborneSyst</w:t>
      </w:r>
      <w:r>
        <w:rPr>
          <w:rFonts w:eastAsia="Times New Roman"/>
          <w:vanish/>
        </w:rPr>
        <w:t>emsMember2020-01-042021-01-010000202058hrs:CommunicationSystemsMember2020-01-042021-01-010000202058hrs:AviationSystemsMember2020-01-042021-01-010000202058hrs:IntegratedMissionSystemsMember2021-01-010000202058hrs:SpaceandAirborneSystemsMember2021-01-0100002</w:t>
      </w:r>
      <w:r>
        <w:rPr>
          <w:rFonts w:eastAsia="Times New Roman"/>
          <w:vanish/>
        </w:rPr>
        <w:t>02058hrs:CommunicationSystemsMember2021-01-010000202058hrs:AviationSystemsMember2021-01-010000202058hrs:IntegratedMissionSystemsMember2021-01-022021-12-310000202058hrs:SpaceandAirborneSystemsMember2021-01-022021-12-310000202058hrs:CommunicationSystemsMembe</w:t>
      </w:r>
      <w:r>
        <w:rPr>
          <w:rFonts w:eastAsia="Times New Roman"/>
          <w:vanish/>
        </w:rPr>
        <w:t>r2021-01-022021-12-310000202058hrs:AviationSystemsMember2021-01-022021-12-310000202058hrs:SpaceandAirborneSystemsMember2021-12-310000202058hrs:CommunicationSystemsMember2021-12-310000202058hrs:AviationSystemsMember2021-12-310000202058us-gaap:DisposalGroupD</w:t>
      </w:r>
      <w:r>
        <w:rPr>
          <w:rFonts w:eastAsia="Times New Roman"/>
          <w:vanish/>
        </w:rPr>
        <w:t>isposedOfBySaleNotDiscontinuedOperationsMemberhrs:AppliedKilovoltsAndAnalyticalInstrumentationAirportSecurityAndAutomationAndEOTechBusinessesMember2021-01-022021-12-31hrs:divestiture0000202058us-gaap:DisposalGroupDisposedOfBySaleNotDiscontinuedOperationsMe</w:t>
      </w:r>
      <w:r>
        <w:rPr>
          <w:rFonts w:eastAsia="Times New Roman"/>
          <w:vanish/>
        </w:rPr>
        <w:t>mberhrs:AppliedKilovoltsAndAnalyticalInstrumentationAirportSecurityAndAutomationAndEOTechBusinessesMember2020-01-042021-01-010000202058hrs:AviationSystemsMemberhrs:CombatPropulsionSystemsMemberus-gaap:DisposalGroupHeldforsaleNotDiscontinuedOperationsMember</w:t>
      </w:r>
      <w:r>
        <w:rPr>
          <w:rFonts w:eastAsia="Times New Roman"/>
          <w:vanish/>
        </w:rPr>
        <w:t>2021-04-020000202058hrs:AviationSystemsMemberhrs:CombatPropulsionSystemsMemberus-gaap:DisposalGroupHeldforsaleNotDiscontinuedOperationsMember2021-01-022021-04-020000202058hrs:CommercialAviationSolutionsMemberhrs:COVID19PandemicMember2020-01-042021-01-01000</w:t>
      </w:r>
      <w:r>
        <w:rPr>
          <w:rFonts w:eastAsia="Times New Roman"/>
          <w:vanish/>
        </w:rPr>
        <w:t>0202058hrs:CommercialAviationSolutionsMember2020-10-032021-01-010000202058hrs:AppliedKilovoltsandAnalyticalInstrumentationBusinessMemberhrs:SpaceandAirborneSystemsMemberus-gaap:DisposalGroupHeldforsaleNotDiscontinuedOperationsMember2020-04-030000202058hrs:</w:t>
      </w:r>
      <w:r>
        <w:rPr>
          <w:rFonts w:eastAsia="Times New Roman"/>
          <w:vanish/>
        </w:rPr>
        <w:t>AppliedKilovoltsandAnalyticalInstrumentationBusinessMemberhrs:SpaceandAirborneSystemsMemberus-gaap:DisposalGroupHeldforsaleNotDiscontinuedOperationsMember2020-01-042021-01-010000202058hrs:AviationSystemsMemberus-gaap:DisposalGroupHeldforsaleNotDiscontinued</w:t>
      </w:r>
      <w:r>
        <w:rPr>
          <w:rFonts w:eastAsia="Times New Roman"/>
          <w:vanish/>
        </w:rPr>
        <w:t>OperationsMemberhrs:VoiceSwitchEnterpriseMember2020-07-030000202058hrs:CommercialTrainingSolutionsMember2021-04-032021-07-020000202058hrs:CommercialTrainingSolutionsMemberhrs:AviationSystemsMember2021-01-022021-12-310000202058hrs:CommercialAviationSolution</w:t>
      </w:r>
      <w:r>
        <w:rPr>
          <w:rFonts w:eastAsia="Times New Roman"/>
          <w:vanish/>
        </w:rPr>
        <w:t>sMember2020-01-042021-01-010000202058us-gaap:CustomerRelationshipsMember2021-12-310000202058us-gaap:CustomerRelationshipsMember2021-01-010000202058us-gaap:DevelopedTechnologyRightsMember2021-12-310000202058us-gaap:DevelopedTechnologyRightsMember2021-01-010</w:t>
      </w:r>
      <w:r>
        <w:rPr>
          <w:rFonts w:eastAsia="Times New Roman"/>
          <w:vanish/>
        </w:rPr>
        <w:t>000202058us-gaap:OrderOrProductionBacklogMember2021-12-310000202058us-gaap:OrderOrProductionBacklogMember2021-01-010000202058us-gaap:TradeNamesMember2021-12-310000202058us-gaap:TradeNamesMember2021-01-010000202058hrs:OtherFiniteLiveIntangibleMember2021-12-</w:t>
      </w:r>
      <w:r>
        <w:rPr>
          <w:rFonts w:eastAsia="Times New Roman"/>
          <w:vanish/>
        </w:rPr>
        <w:t>310000202058hrs:OtherFiniteLiveIntangibleMember2021-01-010000202058us-gaap:InProcessResearchAndDevelopmentMember2021-12-310000202058us-gaap:InProcessResearchAndDevelopmentMember2021-01-010000202058us-gaap:TradeNamesMember2021-12-310000202058us-gaap:TradeNa</w:t>
      </w:r>
      <w:r>
        <w:rPr>
          <w:rFonts w:eastAsia="Times New Roman"/>
          <w:vanish/>
        </w:rPr>
        <w:t>mesMember2021-01-010000202058us-gaap:DisposalGroupDisposedOfBySaleNotDiscontinuedOperationsMember2021-01-022021-12-310000202058us-gaap:DisposalGroupDisposedOfBySaleNotDiscontinuedOperationsMember2020-01-042021-01-010000202058us-gaap:DisposalGroupHeldforsal</w:t>
      </w:r>
      <w:r>
        <w:rPr>
          <w:rFonts w:eastAsia="Times New Roman"/>
          <w:vanish/>
        </w:rPr>
        <w:t>eNotDiscontinuedOperationsMember2021-01-010000202058hrs:ExelisMember2018-06-302019-06-2800002020582020-01-042021-01-030000202058hrs:CreditFacility2019Memberus-gaap:UnsecuredDebtMemberus-gaap:RevolvingCreditFacilityMember2019-06-280000202058hrs:CreditFacili</w:t>
      </w:r>
      <w:r>
        <w:rPr>
          <w:rFonts w:eastAsia="Times New Roman"/>
          <w:vanish/>
        </w:rPr>
        <w:t>ty2019Memberus-gaap:UnsecuredDebtMemberus-gaap:RevolvingCreditFacilityMember2019-06-282019-06-280000202058hrs:CreditFacility2019Memberus-gaap:UnsecuredDebtMemberus-gaap:LondonInterbankOfferedRateLIBORMemberus-gaap:RevolvingCreditFacilityMember2019-06-28000</w:t>
      </w:r>
      <w:r>
        <w:rPr>
          <w:rFonts w:eastAsia="Times New Roman"/>
          <w:vanish/>
        </w:rPr>
        <w:t>0202058hrs:CreditFacility2019Memberus-gaap:UnsecuredDebtMemberus-gaap:EurodollarMemberus-gaap:RevolvingCreditFacilityMember2019-06-282019-06-280000202058hrs:CreditFacility2019Memberus-gaap:UnsecuredDebtMemberus-gaap:EurodollarMembersrt:MaximumMemberus-gaap</w:t>
      </w:r>
      <w:r>
        <w:rPr>
          <w:rFonts w:eastAsia="Times New Roman"/>
          <w:vanish/>
        </w:rPr>
        <w:t>:RevolvingCreditFacilityMember2019-06-282019-06-280000202058srt:MinimumMemberhrs:CreditFacility2019Memberus-gaap:UnsecuredDebtMemberus-gaap:EurodollarMemberus-gaap:RevolvingCreditFacilityMember2019-06-282019-06-280000202058hrs:CreditFacility2019Memberus-ga</w:t>
      </w:r>
      <w:r>
        <w:rPr>
          <w:rFonts w:eastAsia="Times New Roman"/>
          <w:vanish/>
        </w:rPr>
        <w:t>ap:UnsecuredDebtMemberhrs:FederalReserveBankofNewYorkNYFRBMemberus-gaap:RevolvingCreditFacilityMember2019-06-282019-06-280000202058hrs:CreditFacility2019Memberus-gaap:UnsecuredDebtMembersrt:MaximumMemberus-gaap:RevolvingCreditFacilityMember2019-06-282019-0</w:t>
      </w:r>
      <w:r>
        <w:rPr>
          <w:rFonts w:eastAsia="Times New Roman"/>
          <w:vanish/>
        </w:rPr>
        <w:t>6-280000202058srt:MinimumMemberhrs:CreditFacility2019Memberus-gaap:UnsecuredDebtMemberus-gaap:RevolvingCreditFacilityMember2019-06-282019-06-280000202058hrs:CreditFacility2019Memberus-gaap:UnsecuredDebtMemberus-gaap:RevolvingCreditFacilityMember2021-12-31h</w:t>
      </w:r>
      <w:r>
        <w:rPr>
          <w:rFonts w:eastAsia="Times New Roman"/>
          <w:vanish/>
        </w:rPr>
        <w:t>rs:extension0000202058us-gaap:UnsecuredDebtMemberhrs:Floatingratesnotes2023Member2021-12-310000202058us-gaap:UnsecuredDebtMemberhrs:Floatingratesnotes2023Member2021-01-010000202058us-gaap:LoansPayableMemberhrs:A3.850SeniorNotesdueJune152023Member2021-12-31</w:t>
      </w:r>
      <w:r>
        <w:rPr>
          <w:rFonts w:eastAsia="Times New Roman"/>
          <w:vanish/>
        </w:rPr>
        <w:t>0000202058us-gaap:LoansPayableMemberhrs:A3.850SeniorNotesdueJune152023Member2021-01-010000202058us-gaap:LoansPayableMemberhrs:A3.950SeniorNotesdueMay282024Member2021-12-310000202058us-gaap:LoansPayableMemberhrs:A3.950SeniorNotesdueMay282024Member2021-01-01</w:t>
      </w:r>
      <w:r>
        <w:rPr>
          <w:rFonts w:eastAsia="Times New Roman"/>
          <w:vanish/>
        </w:rPr>
        <w:t>0000202058us-gaap:LoansPayableMemberhrs:A3.832notesdueApril272025Member2021-12-310000202058us-gaap:LoansPayableMemberhrs:A3.832notesdueApril272025Member2021-01-010000202058us-gaap:LoansPayableMemberhrs:DebentureTwoMember2021-12-310000202058us-gaap:LoansPay</w:t>
      </w:r>
      <w:r>
        <w:rPr>
          <w:rFonts w:eastAsia="Times New Roman"/>
          <w:vanish/>
        </w:rPr>
        <w:t>ableMemberhrs:DebentureTwoMember2021-01-010000202058us-gaap:LoansPayableMemberhrs:A3.850SeniorNotesdueDecember152026Member2021-12-310000202058us-gaap:LoansPayableMemberhrs:A3.850SeniorNotesdueDecember152026Member2021-01-010000202058us-gaap:LoansPayableMemb</w:t>
      </w:r>
      <w:r>
        <w:rPr>
          <w:rFonts w:eastAsia="Times New Roman"/>
          <w:vanish/>
        </w:rPr>
        <w:t>erhrs:DebentureOneMember2021-12-310000202058us-gaap:LoansPayableMemberhrs:DebentureOneMember2021-01-010000202058us-gaap:LoansPayableMemberhrs:A4.400SeniorNotesdueJune152028Member2021-12-310000202058us-gaap:LoansPayableMemberhrs:A4.400SeniorNotesdueJune1520</w:t>
      </w:r>
      <w:r>
        <w:rPr>
          <w:rFonts w:eastAsia="Times New Roman"/>
          <w:vanish/>
        </w:rPr>
        <w:t>28Member2021-01-010000202058us-gaap:LoansPayableMemberhrs:A2.900Notesduedec152029Member2021-12-310000202058us-gaap:LoansPayableMemberhrs:A2.900Notesduedec152029Member2021-01-010000202058us-gaap:LoansPayableMemberhrs:A180NotesDueJanuary152031Member2021-12-3</w:t>
      </w:r>
      <w:r>
        <w:rPr>
          <w:rFonts w:eastAsia="Times New Roman"/>
          <w:vanish/>
        </w:rPr>
        <w:t>10000202058us-gaap:LoansPayableMemberhrs:A180NotesDueJanuary152031Member2021-01-010000202058us-gaap:LoansPayableMemberhrs:A4.854notesdueApril272035Member2021-12-310000202058us-gaap:LoansPayableMemberhrs:A4.854notesdueApril272035Member2021-01-010000202058us</w:t>
      </w:r>
      <w:r>
        <w:rPr>
          <w:rFonts w:eastAsia="Times New Roman"/>
          <w:vanish/>
        </w:rPr>
        <w:t>-gaap:LoansPayableMemberhrs:A6.15notesdueDecember152040Member2021-12-310000202058us-gaap:LoansPayableMemberhrs:A6.15notesdueDecember152040Member2021-01-010000202058us-gaap:LoansPayableMemberhrs:A5.054notesdueApril272045Member2021-12-310000202058us-gaap:Loa</w:t>
      </w:r>
      <w:r>
        <w:rPr>
          <w:rFonts w:eastAsia="Times New Roman"/>
          <w:vanish/>
        </w:rPr>
        <w:t>nsPayableMemberhrs:A5.054notesdueApril272045Member2021-01-010000202058us-gaap:LoansPayableMember2021-12-310000202058us-gaap:LoansPayableMember2021-01-010000202058us-gaap:LoansPayableMemberhrs:A4.950SeniorNotesdueFebruary152021Member2020-12-140000202058us-g</w:t>
      </w:r>
      <w:r>
        <w:rPr>
          <w:rFonts w:eastAsia="Times New Roman"/>
          <w:vanish/>
        </w:rPr>
        <w:t>aap:LoansPayableMemberhrs:A4.950SeniorNotesdueFebruary152021Member2020-12-142020-12-140000202058hrs:Floatingratesnotes2020Memberus-gaap:UnsecuredDebtMember2020-07-030000202058us-gaap:LoansPayableMemberhrs:A180NotesDueJanuary152031Member2020-11-250000202058</w:t>
      </w:r>
      <w:r>
        <w:rPr>
          <w:rFonts w:eastAsia="Times New Roman"/>
          <w:vanish/>
        </w:rPr>
        <w:t>us-gaap:LoansPayableMemberhrs:A180NotesDueJanuary152031Member2020-11-252020-11-250000202058us-gaap:LoansPayableMemberhrs:A180NotesDueJanuary152031Memberhrs:TreasuryRateMember2020-11-252020-11-250000202058us-gaap:UnsecuredDebtMemberhrs:Floatingratesnotes202</w:t>
      </w:r>
      <w:r>
        <w:rPr>
          <w:rFonts w:eastAsia="Times New Roman"/>
          <w:vanish/>
        </w:rPr>
        <w:t>3Member2020-04-030000202058us-gaap:UnsecuredDebtMemberus-gaap:LondonInterbankOfferedRateLIBORMemberhrs:Floatingratesnotes2023Member2020-01-042020-04-030000202058us-gaap:UnsecuredDebtMemberhrs:L3HarrisTechnologiesInc.Member2019-07-022019-07-020000202058us-g</w:t>
      </w:r>
      <w:r>
        <w:rPr>
          <w:rFonts w:eastAsia="Times New Roman"/>
          <w:vanish/>
        </w:rPr>
        <w:t>aap:UnsecuredDebtMemberhrs:L3HarrisTechnologiesInc.Memberhrs:A4.950SeniorNotesdueFebruary152021Member2019-07-012019-07-010000202058us-gaap:UnsecuredDebtMemberhrs:L3HarrisTechnologiesInc.Memberhrs:A4.950SeniorNotesdueFebruary152021Member2019-07-022019-07-02</w:t>
      </w:r>
      <w:r>
        <w:rPr>
          <w:rFonts w:eastAsia="Times New Roman"/>
          <w:vanish/>
        </w:rPr>
        <w:t>0000202058hrs:L3TechnologiesInc.Memberus-gaap:UnsecuredDebtMemberhrs:A4.950SeniorNotesdueFebruary152021Member2019-07-012019-07-010000202058hrs:L3TechnologiesInc.Memberus-gaap:UnsecuredDebtMemberhrs:A4.950SeniorNotesdueFebruary152021Member2019-07-0200002020</w:t>
      </w:r>
      <w:r>
        <w:rPr>
          <w:rFonts w:eastAsia="Times New Roman"/>
          <w:vanish/>
        </w:rPr>
        <w:t>58us-gaap:UnsecuredDebtMemberhrs:L3HarrisTechnologiesInc.Memberhrs:A3.850SeniorNotesdueJune152023Member2019-07-012019-07-010000202058us-gaap:UnsecuredDebtMemberhrs:L3HarrisTechnologiesInc.Memberhrs:A3.850SeniorNotesdueJune152023Member2019-07-022019-07-0200</w:t>
      </w:r>
      <w:r>
        <w:rPr>
          <w:rFonts w:eastAsia="Times New Roman"/>
          <w:vanish/>
        </w:rPr>
        <w:t>00202058hrs:L3TechnologiesInc.Memberus-gaap:UnsecuredDebtMemberhrs:A3.850SeniorNotesdueJune152023Member2019-07-012019-07-010000202058hrs:L3TechnologiesInc.Memberus-gaap:UnsecuredDebtMemberhrs:A3.850SeniorNotesdueJune152023Member2019-07-020000202058us-gaap:</w:t>
      </w:r>
      <w:r>
        <w:rPr>
          <w:rFonts w:eastAsia="Times New Roman"/>
          <w:vanish/>
        </w:rPr>
        <w:t>UnsecuredDebtMemberhrs:L3HarrisTechnologiesInc.Memberhrs:A3.950SeniorNotesdueMay282024Member2019-07-022019-07-020000202058us-gaap:UnsecuredDebtMemberhrs:L3HarrisTechnologiesInc.Memberhrs:A3.950SeniorNotesdueMay282024Member2019-07-012019-07-010000202058hrs:</w:t>
      </w:r>
      <w:r>
        <w:rPr>
          <w:rFonts w:eastAsia="Times New Roman"/>
          <w:vanish/>
        </w:rPr>
        <w:t>L3TechnologiesInc.Memberus-gaap:UnsecuredDebtMemberhrs:A3.950SeniorNotesdueMay282024Member2019-07-012019-07-010000202058hrs:L3TechnologiesInc.Memberus-gaap:UnsecuredDebtMemberhrs:A3.950SeniorNotesdueMay282024Member2019-07-020000202058us-gaap:UnsecuredDebtM</w:t>
      </w:r>
      <w:r>
        <w:rPr>
          <w:rFonts w:eastAsia="Times New Roman"/>
          <w:vanish/>
        </w:rPr>
        <w:t>emberhrs:L3HarrisTechnologiesInc.Memberhrs:A3.850SeniorNotesdueDecember152026Member2019-07-022019-07-020000202058us-gaap:UnsecuredDebtMemberhrs:L3HarrisTechnologiesInc.Memberhrs:A3.850SeniorNotesdueDecember152026Member2019-07-012019-07-010000202058hrs:L3Te</w:t>
      </w:r>
      <w:r>
        <w:rPr>
          <w:rFonts w:eastAsia="Times New Roman"/>
          <w:vanish/>
        </w:rPr>
        <w:t>chnologiesInc.Memberus-gaap:UnsecuredDebtMemberhrs:A3.850SeniorNotesdueDecember152026Member2019-07-012019-07-010000202058hrs:L3TechnologiesInc.Memberus-gaap:UnsecuredDebtMemberhrs:A3.850SeniorNotesdueDecember152026Member2019-07-020000202058hrs:A4.400Senior</w:t>
      </w:r>
      <w:r>
        <w:rPr>
          <w:rFonts w:eastAsia="Times New Roman"/>
          <w:vanish/>
        </w:rPr>
        <w:t>NotesdueJune152028Memberus-gaap:UnsecuredDebtMemberhrs:L3HarrisTechnologiesInc.Member2019-07-012019-07-010000202058hrs:A4.400SeniorNotesdueJune152028Memberus-gaap:UnsecuredDebtMemberhrs:L3HarrisTechnologiesInc.Member2019-07-022019-07-020000202058hrs:A4.400</w:t>
      </w:r>
      <w:r>
        <w:rPr>
          <w:rFonts w:eastAsia="Times New Roman"/>
          <w:vanish/>
        </w:rPr>
        <w:t>SeniorNotesdueJune152028Memberhrs:L3TechnologiesInc.Memberus-gaap:UnsecuredDebtMember2019-07-012019-07-010000202058hrs:A4.400SeniorNotesdueJune152028Memberhrs:L3TechnologiesInc.Memberus-gaap:UnsecuredDebtMember2019-07-020000202058hrs:L3TechnologiesInc.Memb</w:t>
      </w:r>
      <w:r>
        <w:rPr>
          <w:rFonts w:eastAsia="Times New Roman"/>
          <w:vanish/>
        </w:rPr>
        <w:t>erus-gaap:UnsecuredDebtMember2019-07-012019-07-010000202058hrs:L3TechnologiesInc.Memberus-gaap:UnsecuredDebtMember2019-07-020000202058hrs:L3TechnologiesInc.Memberus-gaap:UnsecuredDebtMemberhrs:L3HarrisTechnologiesInc.Member2019-07-020000202058hrs:L3Technol</w:t>
      </w:r>
      <w:r>
        <w:rPr>
          <w:rFonts w:eastAsia="Times New Roman"/>
          <w:vanish/>
        </w:rPr>
        <w:t>ogiesInc.Memberus-gaap:UnsecuredDebtMemberhrs:A4.950SeniorNotesdueFebruary152021Member2020-12-140000202058us-gaap:UnsecuredDebtMemberhrs:L3HarrisTechnologiesInc.Memberhrs:A3.850SeniorNotesdueJune152023Member2019-07-020000202058us-gaap:UnsecuredDebtMemberhr</w:t>
      </w:r>
      <w:r>
        <w:rPr>
          <w:rFonts w:eastAsia="Times New Roman"/>
          <w:vanish/>
        </w:rPr>
        <w:t>s:L3HarrisTechnologiesInc.Memberhrs:A3.850SeniorNotesdueDecember152026Member2019-07-020000202058hrs:A4.400SeniorNotesdueJune152028Memberus-gaap:UnsecuredDebtMemberhrs:L3HarrisTechnologiesInc.Member2019-07-020000202058us-gaap:UnsecuredDebtMemberhrs:L3Harris</w:t>
      </w:r>
      <w:r>
        <w:rPr>
          <w:rFonts w:eastAsia="Times New Roman"/>
          <w:vanish/>
        </w:rPr>
        <w:t>TechnologiesInc.Memberhrs:A3.950SeniorNotesdueMay282024Member2019-07-020000202058us-gaap:UnsecuredDebtMemberhrs:A3.850SeniorNotesdueDecember152026Member2020-05-050000202058us-gaap:UnsecuredDebtMemberhrs:A3.950SeniorNotesdueMay282024Member2020-05-0500002020</w:t>
      </w:r>
      <w:r>
        <w:rPr>
          <w:rFonts w:eastAsia="Times New Roman"/>
          <w:vanish/>
        </w:rPr>
        <w:t>58us-gaap:UnsecuredDebtMemberhrs:A3.850SeniorNotesdueJune152023Member2020-05-050000202058us-gaap:UnsecuredDebtMemberhrs:A4.950SeniorNotesdueFebruary152021Member2020-05-050000202058us-gaap:UnsecuredDebtMemberhrs:A4.950SeniorNotesdueFebruary152021Member2020-</w:t>
      </w:r>
      <w:r>
        <w:rPr>
          <w:rFonts w:eastAsia="Times New Roman"/>
          <w:vanish/>
        </w:rPr>
        <w:t>05-052020-05-050000202058us-gaap:UnsecuredDebtMemberhrs:A3.850SeniorNotesdueJune152023Member2020-05-052020-05-050000202058us-gaap:UnsecuredDebtMemberhrs:A3.950SeniorNotesdueMay282024Member2020-05-052020-05-050000202058us-gaap:UnsecuredDebtMemberhrs:A3.850S</w:t>
      </w:r>
      <w:r>
        <w:rPr>
          <w:rFonts w:eastAsia="Times New Roman"/>
          <w:vanish/>
        </w:rPr>
        <w:t>eniorNotesdueDecember152026Member2020-05-052020-05-050000202058hrs:A4.400SeniorNotesdueJune152028Memberus-gaap:UnsecuredDebtMember2020-05-050000202058hrs:A4.400SeniorNotesdueJune152028Memberus-gaap:UnsecuredDebtMember2020-05-052020-05-050000202058us-gaap:L</w:t>
      </w:r>
      <w:r>
        <w:rPr>
          <w:rFonts w:eastAsia="Times New Roman"/>
          <w:vanish/>
        </w:rPr>
        <w:t>oansPayableMemberhrs:A2.900SeniorNotesdueDecember152029Member2019-11-270000202058us-gaap:LoansPayableMemberhrs:A2.900SeniorNotesdueDecember152029Member2019-11-272019-11-270000202058us-gaap:LoansPayableMemberhrs:TreasuryRateMemberhrs:A2.900SeniorNotesdueDec</w:t>
      </w:r>
      <w:r>
        <w:rPr>
          <w:rFonts w:eastAsia="Times New Roman"/>
          <w:vanish/>
        </w:rPr>
        <w:t>ember152029Member2019-11-272019-11-270000202058us-gaap:LoansPayableMemberhrs:NotePayableSeventeenMember2018-06-040000202058us-gaap:LoansPayableMemberhrs:NotePayableSeventeenMember2018-06-042018-06-040000202058us-gaap:LoansPayableMemberhrs:NewNotesMember201</w:t>
      </w:r>
      <w:r>
        <w:rPr>
          <w:rFonts w:eastAsia="Times New Roman"/>
          <w:vanish/>
        </w:rPr>
        <w:t>5-04-270000202058us-gaap:LoansPayableMemberhrs:A3.832notesdueApril272025Member2015-04-270000202058us-gaap:LoansPayableMemberhrs:A4.854notesdueApril272035Member2015-04-270000202058us-gaap:LoansPayableMemberhrs:A5.054notesdueApril272045Member2015-04-27000020</w:t>
      </w:r>
      <w:r>
        <w:rPr>
          <w:rFonts w:eastAsia="Times New Roman"/>
          <w:vanish/>
        </w:rPr>
        <w:t>2058us-gaap:LoansPayableMemberhrs:NewNotesMember2015-04-272015-04-270000202058us-gaap:LoansPayableMemberhrs:TreasuryRateMemberhrs:A3.832notesdueApril272025Member2015-04-272015-04-270000202058us-gaap:LoansPayableMemberhrs:A4.854notesdueApril272035Memberhrs:</w:t>
      </w:r>
      <w:r>
        <w:rPr>
          <w:rFonts w:eastAsia="Times New Roman"/>
          <w:vanish/>
        </w:rPr>
        <w:t>TreasuryRateMember2015-04-272015-04-270000202058us-gaap:LoansPayableMemberhrs:TreasuryRateMemberhrs:A5.054notesdueApril272045Member2015-04-272015-04-270000202058us-gaap:LoansPayableMemberhrs:A6.15notesdueDecember152040Member2010-12-030000202058us-gaap:Loan</w:t>
      </w:r>
      <w:r>
        <w:rPr>
          <w:rFonts w:eastAsia="Times New Roman"/>
          <w:vanish/>
        </w:rPr>
        <w:t>sPayableMemberhrs:A6.15notesdueDecember152040Member2010-12-032010-12-030000202058us-gaap:LoansPayableMemberhrs:DebentureTwoMember1996-01-310000202058us-gaap:LoansPayableMemberhrs:DebentureOneMember1998-02-280000202058us-gaap:LoansPayableMemberhrs:Debenture</w:t>
      </w:r>
      <w:r>
        <w:rPr>
          <w:rFonts w:eastAsia="Times New Roman"/>
          <w:vanish/>
        </w:rPr>
        <w:t>OneMember2007-12-050000202058us-gaap:LoansPayableMemberhrs:DebentureOneMember2008-02-010000202058us-gaap:CarryingReportedAmountFairValueDisclosureMember2021-12-310000202058us-gaap:MarketApproachValuationTechniqueMemberus-gaap:FairValueInputsLevel2Memberus-</w:t>
      </w:r>
      <w:r>
        <w:rPr>
          <w:rFonts w:eastAsia="Times New Roman"/>
          <w:vanish/>
        </w:rPr>
        <w:t>gaap:EstimateOfFairValueFairValueDisclosureMember2021-12-310000202058us-gaap:CarryingReportedAmountFairValueDisclosureMember2021-01-010000202058us-gaap:MarketApproachValuationTechniqueMemberus-gaap:FairValueInputsLevel2Memberus-gaap:EstimateOfFairValueFair</w:t>
      </w:r>
      <w:r>
        <w:rPr>
          <w:rFonts w:eastAsia="Times New Roman"/>
          <w:vanish/>
        </w:rPr>
        <w:t>ValueDisclosureMember2021-01-010000202058us-gaap:UnsecuredDebtMemberhrs:L3HarrisTechnologiesInc.Member2019-07-020000202058us-gaap:EquitySecuritiesMemberus-gaap:EstimateOfFairValueFairValueDisclosureMember2021-12-310000202058us-gaap:EquitySecuritiesMemberus</w:t>
      </w:r>
      <w:r>
        <w:rPr>
          <w:rFonts w:eastAsia="Times New Roman"/>
          <w:vanish/>
        </w:rPr>
        <w:t>-gaap:FairValueInputsLevel1Memberus-gaap:EstimateOfFairValueFairValueDisclosureMember2021-12-310000202058us-gaap:EquitySecuritiesMemberus-gaap:EstimateOfFairValueFairValueDisclosureMember2021-01-010000202058us-gaap:EquitySecuritiesMemberus-gaap:FairValueIn</w:t>
      </w:r>
      <w:r>
        <w:rPr>
          <w:rFonts w:eastAsia="Times New Roman"/>
          <w:vanish/>
        </w:rPr>
        <w:t>putsLevel1Memberus-gaap:EstimateOfFairValueFairValueDisclosureMember2021-01-010000202058hrs:CorporateownedlifeinsuranceMemberus-gaap:EstimateOfFairValueFairValueDisclosureMemberus-gaap:FairValueMeasuredAtNetAssetValuePerShareMember2021-12-310000202058hrs:C</w:t>
      </w:r>
      <w:r>
        <w:rPr>
          <w:rFonts w:eastAsia="Times New Roman"/>
          <w:vanish/>
        </w:rPr>
        <w:t>orporateownedlifeinsuranceMemberus-gaap:EstimateOfFairValueFairValueDisclosureMemberus-gaap:FairValueMeasuredAtNetAssetValuePerShareMember2021-01-010000202058us-gaap:EstimateOfFairValueFairValueDisclosureMember2021-12-310000202058us-gaap:EstimateOfFairValu</w:t>
      </w:r>
      <w:r>
        <w:rPr>
          <w:rFonts w:eastAsia="Times New Roman"/>
          <w:vanish/>
        </w:rPr>
        <w:t>eFairValueDisclosureMember2021-01-010000202058us-gaap:MutualFundMemberus-gaap:EstimateOfFairValueFairValueDisclosureMember2021-12-310000202058us-gaap:MutualFundMemberus-gaap:FairValueInputsLevel1Memberus-gaap:EstimateOfFairValueFairValueDisclosureMember202</w:t>
      </w:r>
      <w:r>
        <w:rPr>
          <w:rFonts w:eastAsia="Times New Roman"/>
          <w:vanish/>
        </w:rPr>
        <w:t>1-12-310000202058us-gaap:MutualFundMemberus-gaap:EstimateOfFairValueFairValueDisclosureMember2021-01-010000202058us-gaap:MutualFundMemberus-gaap:FairValueInputsLevel1Memberus-gaap:EstimateOfFairValueFairValueDisclosureMember2021-01-010000202058hrs:CommonCo</w:t>
      </w:r>
      <w:r>
        <w:rPr>
          <w:rFonts w:eastAsia="Times New Roman"/>
          <w:vanish/>
        </w:rPr>
        <w:t>llectiveTrustsandGuaranteedInvestmentProgramMemberus-gaap:EstimateOfFairValueFairValueDisclosureMemberus-gaap:FairValueMeasuredAtNetAssetValuePerShareMember2021-12-310000202058hrs:CommonCollectiveTrustsandGuaranteedInvestmentProgramMemberus-gaap:EstimateOf</w:t>
      </w:r>
      <w:r>
        <w:rPr>
          <w:rFonts w:eastAsia="Times New Roman"/>
          <w:vanish/>
        </w:rPr>
        <w:t>FairValueFairValueDisclosureMemberus-gaap:FairValueMeasuredAtNetAssetValuePerShareMember2021-01-010000202058country:US2021-12-310000202058us-gaap:PensionPlansDefinedBenefitMember2021-12-310000202058us-gaap:OtherPostretirementBenefitPlansDefinedBenefitMembe</w:t>
      </w:r>
      <w:r>
        <w:rPr>
          <w:rFonts w:eastAsia="Times New Roman"/>
          <w:vanish/>
        </w:rPr>
        <w:t>r2021-12-310000202058us-gaap:PensionPlansDefinedBenefitMember2021-01-010000202058us-gaap:OtherPostretirementBenefitPlansDefinedBenefitMember2021-01-010000202058us-gaap:PensionPlansDefinedBenefitMemberus-gaap:OtherNoncurrentAssetsMember2021-12-310000202058u</w:t>
      </w:r>
      <w:r>
        <w:rPr>
          <w:rFonts w:eastAsia="Times New Roman"/>
          <w:vanish/>
        </w:rPr>
        <w:t>s-gaap:OtherPostretirementBenefitPlansDefinedBenefitMemberus-gaap:OtherNoncurrentAssetsMember2021-12-310000202058us-gaap:PensionPlansDefinedBenefitMemberus-gaap:OtherNoncurrentAssetsMember2021-01-010000202058us-gaap:OtherPostretirementBenefitPlansDefinedBe</w:t>
      </w:r>
      <w:r>
        <w:rPr>
          <w:rFonts w:eastAsia="Times New Roman"/>
          <w:vanish/>
        </w:rPr>
        <w:t>nefitMemberus-gaap:OtherNoncurrentAssetsMember2021-01-010000202058us-gaap:PensionPlansDefinedBenefitMemberhrs:EmployeeRelatedLiabilitiesCurrentMember2021-12-310000202058us-gaap:OtherPostretirementBenefitPlansDefinedBenefitMemberhrs:EmployeeRelatedLiabiliti</w:t>
      </w:r>
      <w:r>
        <w:rPr>
          <w:rFonts w:eastAsia="Times New Roman"/>
          <w:vanish/>
        </w:rPr>
        <w:t>esCurrentMember2021-12-310000202058hrs:EmployeeRelatedLiabilitiesCurrentMember2021-12-310000202058us-gaap:PensionPlansDefinedBenefitMemberhrs:EmployeeRelatedLiabilitiesCurrentMember2021-01-010000202058us-gaap:OtherPostretirementBenefitPlansDefinedBenefitMe</w:t>
      </w:r>
      <w:r>
        <w:rPr>
          <w:rFonts w:eastAsia="Times New Roman"/>
          <w:vanish/>
        </w:rPr>
        <w:t>mberhrs:EmployeeRelatedLiabilitiesCurrentMember2021-01-010000202058hrs:EmployeeRelatedLiabilitiesCurrentMember2021-01-010000202058hrs:DisposalGroupIncludingDiscontinuedOperationLiabilitiesCurrentMemberus-gaap:PensionPlansDefinedBenefitMember2021-12-3100002</w:t>
      </w:r>
      <w:r>
        <w:rPr>
          <w:rFonts w:eastAsia="Times New Roman"/>
          <w:vanish/>
        </w:rPr>
        <w:t>02058hrs:DisposalGroupIncludingDiscontinuedOperationLiabilitiesCurrentMemberus-gaap:OtherPostretirementBenefitPlansDefinedBenefitMember2021-12-310000202058hrs:DisposalGroupIncludingDiscontinuedOperationLiabilitiesCurrentMember2021-12-310000202058hrs:Dispos</w:t>
      </w:r>
      <w:r>
        <w:rPr>
          <w:rFonts w:eastAsia="Times New Roman"/>
          <w:vanish/>
        </w:rPr>
        <w:t>alGroupIncludingDiscontinuedOperationLiabilitiesCurrentMemberus-gaap:PensionPlansDefinedBenefitMember2021-01-010000202058hrs:DisposalGroupIncludingDiscontinuedOperationLiabilitiesCurrentMemberus-gaap:OtherPostretirementBenefitPlansDefinedBenefitMember2021-</w:t>
      </w:r>
      <w:r>
        <w:rPr>
          <w:rFonts w:eastAsia="Times New Roman"/>
          <w:vanish/>
        </w:rPr>
        <w:t>01-010000202058hrs:DisposalGroupIncludingDiscontinuedOperationLiabilitiesCurrentMember2021-01-010000202058hrs:DefinedBenefitPlanLiabilitiesMemberus-gaap:PensionPlansDefinedBenefitMember2021-12-310000202058hrs:DefinedBenefitPlanLiabilitiesMemberus-gaap:Othe</w:t>
      </w:r>
      <w:r>
        <w:rPr>
          <w:rFonts w:eastAsia="Times New Roman"/>
          <w:vanish/>
        </w:rPr>
        <w:t>rPostretirementBenefitPlansDefinedBenefitMember2021-12-310000202058hrs:DefinedBenefitPlanLiabilitiesMember2021-12-310000202058hrs:DefinedBenefitPlanLiabilitiesMemberus-gaap:PensionPlansDefinedBenefitMember2021-01-010000202058hrs:DefinedBenefitPlanLiabiliti</w:t>
      </w:r>
      <w:r>
        <w:rPr>
          <w:rFonts w:eastAsia="Times New Roman"/>
          <w:vanish/>
        </w:rPr>
        <w:t>esMemberus-gaap:OtherPostretirementBenefitPlansDefinedBenefitMember2021-01-010000202058hrs:DefinedBenefitPlanLiabilitiesMember2021-01-010000202058us-gaap:PensionPlansDefinedBenefitMember2020-01-030000202058us-gaap:OtherPostretirementBenefitPlansDefinedBene</w:t>
      </w:r>
      <w:r>
        <w:rPr>
          <w:rFonts w:eastAsia="Times New Roman"/>
          <w:vanish/>
        </w:rPr>
        <w:t>fitMember2020-01-030000202058us-gaap:PensionPlansDefinedBenefitMember2021-01-022021-12-310000202058us-gaap:OtherPostretirementBenefitPlansDefinedBenefitMember2021-01-022021-12-310000202058us-gaap:PensionPlansDefinedBenefitMember2020-01-042021-01-0100002020</w:t>
      </w:r>
      <w:r>
        <w:rPr>
          <w:rFonts w:eastAsia="Times New Roman"/>
          <w:vanish/>
        </w:rPr>
        <w:t>58us-gaap:OtherPostretirementBenefitPlansDefinedBenefitMember2020-01-042021-01-010000202058us-gaap:PensionPlansDefinedBenefitMember2019-06-292020-01-030000202058us-gaap:PensionPlansDefinedBenefitMember2018-06-302019-06-280000202058country:UShrs:L3Technolog</w:t>
      </w:r>
      <w:r>
        <w:rPr>
          <w:rFonts w:eastAsia="Times New Roman"/>
          <w:vanish/>
        </w:rPr>
        <w:t>iesInc.Memberus-gaap:PensionPlansDefinedBenefitMember2020-01-010000202058country:UShrs:L3TechnologiesInc.Memberus-gaap:PensionPlansDefinedBenefitMember2019-06-292020-01-030000202058us-gaap:OtherPostretirementBenefitPlansDefinedBenefitMember2019-06-292020-0</w:t>
      </w:r>
      <w:r>
        <w:rPr>
          <w:rFonts w:eastAsia="Times New Roman"/>
          <w:vanish/>
        </w:rPr>
        <w:t>1-030000202058us-gaap:OtherPostretirementBenefitPlansDefinedBenefitMember2018-06-302019-06-280000202058country:USus-gaap:PensionPlansDefinedBenefitMember2021-12-310000202058country:USus-gaap:PensionPlansDefinedBenefitMember2021-01-022021-12-310000202058cou</w:t>
      </w:r>
      <w:r>
        <w:rPr>
          <w:rFonts w:eastAsia="Times New Roman"/>
          <w:vanish/>
        </w:rPr>
        <w:t>ntry:USsrt:ScenarioForecastMemberus-gaap:PensionPlansDefinedBenefitMember2022-01-012022-12-300000202058country:USus-gaap:OtherPensionPlansDefinedBenefitMember2021-12-310000202058country:USsrt:ScenarioForecastMember2022-01-012022-12-300000202058srt:Scenario</w:t>
      </w:r>
      <w:r>
        <w:rPr>
          <w:rFonts w:eastAsia="Times New Roman"/>
          <w:vanish/>
        </w:rPr>
        <w:t>ForecastMemberus-gaap:PensionPlansDefinedBenefitMember2022-01-012022-12-300000202058srt:ScenarioForecastMember2030-12-310000202058srt:MinimumMemberus-gaap:DefinedBenefitPlanEquitySecuritiesMember2021-12-310000202058us-gaap:DefinedBenefitPlanEquitySecuritie</w:t>
      </w:r>
      <w:r>
        <w:rPr>
          <w:rFonts w:eastAsia="Times New Roman"/>
          <w:vanish/>
        </w:rPr>
        <w:t>sMembersrt:MaximumMember2021-12-310000202058srt:MinimumMemberus-gaap:FixedIncomeSecuritiesMember2021-12-310000202058srt:MaximumMemberus-gaap:FixedIncomeSecuritiesMember2021-12-310000202058srt:MinimumMemberus-gaap:HedgeFundsMember2021-12-310000202058us-gaap</w:t>
      </w:r>
      <w:r>
        <w:rPr>
          <w:rFonts w:eastAsia="Times New Roman"/>
          <w:vanish/>
        </w:rPr>
        <w:t>:HedgeFundsMembersrt:MaximumMember2021-12-310000202058srt:MinimumMemberus-gaap:DefinedBenefitPlanCashAndCashEquivalentsMember2021-12-310000202058us-gaap:DefinedBenefitPlanCashAndCashEquivalentsMembersrt:MaximumMember2021-12-310000202058us-gaap:PrivateEquit</w:t>
      </w:r>
      <w:r>
        <w:rPr>
          <w:rFonts w:eastAsia="Times New Roman"/>
          <w:vanish/>
        </w:rPr>
        <w:t>yFundsMember2021-12-310000202058us-gaap:PrivateEquityFundsMember2021-01-010000202058us-gaap:DefinedBenefitPlanRealEstateMember2021-01-022021-12-310000202058us-gaap:DefinedBenefitPlanRealEstateMember2021-12-310000202058us-gaap:DefinedBenefitPlanRealEstateMe</w:t>
      </w:r>
      <w:r>
        <w:rPr>
          <w:rFonts w:eastAsia="Times New Roman"/>
          <w:vanish/>
        </w:rPr>
        <w:t>mber2021-01-010000202058us-gaap:HedgeFundsMember2021-01-022021-12-310000202058us-gaap:HedgeFundsMember2021-01-010000202058us-gaap:HedgeFundsMember2021-12-310000202058us-gaap:DefinedBenefitPlanEquitySecuritiesUsMember2021-12-310000202058us-gaap:DefinedBenef</w:t>
      </w:r>
      <w:r>
        <w:rPr>
          <w:rFonts w:eastAsia="Times New Roman"/>
          <w:vanish/>
        </w:rPr>
        <w:t>itPlanEquitySecuritiesUsMemberus-gaap:FairValueInputsLevel1Member2021-12-310000202058us-gaap:DefinedBenefitPlanEquitySecuritiesUsMemberus-gaap:FairValueInputsLevel2Member2021-12-310000202058us-gaap:DefinedBenefitPlanEquitySecuritiesUsMemberus-gaap:FairValu</w:t>
      </w:r>
      <w:r>
        <w:rPr>
          <w:rFonts w:eastAsia="Times New Roman"/>
          <w:vanish/>
        </w:rPr>
        <w:t>eInputsLevel3Member2021-12-310000202058us-gaap:DefinedBenefitPlanEquitySecuritiesNonUsMember2021-12-310000202058us-gaap:DefinedBenefitPlanEquitySecuritiesNonUsMemberus-gaap:FairValueInputsLevel1Member2021-12-310000202058us-gaap:FairValueInputsLevel2Memberu</w:t>
      </w:r>
      <w:r>
        <w:rPr>
          <w:rFonts w:eastAsia="Times New Roman"/>
          <w:vanish/>
        </w:rPr>
        <w:t>s-gaap:DefinedBenefitPlanEquitySecuritiesNonUsMember2021-12-310000202058us-gaap:DefinedBenefitPlanEquitySecuritiesNonUsMemberus-gaap:FairValueInputsLevel3Member2021-12-310000202058hrs:DefinedBenefitPlanEquitySecuritiesRealEstateInvestmentTrustsMember2021-1</w:t>
      </w:r>
      <w:r>
        <w:rPr>
          <w:rFonts w:eastAsia="Times New Roman"/>
          <w:vanish/>
        </w:rPr>
        <w:t>2-310000202058hrs:DefinedBenefitPlanEquitySecuritiesRealEstateInvestmentTrustsMemberus-gaap:FairValueInputsLevel1Member2021-12-310000202058us-gaap:FairValueInputsLevel2Memberhrs:DefinedBenefitPlanEquitySecuritiesRealEstateInvestmentTrustsMember2021-12-3100</w:t>
      </w:r>
      <w:r>
        <w:rPr>
          <w:rFonts w:eastAsia="Times New Roman"/>
          <w:vanish/>
        </w:rPr>
        <w:t>00202058us-gaap:FairValueInputsLevel3Memberhrs:DefinedBenefitPlanEquitySecuritiesRealEstateInvestmentTrustsMember2021-12-310000202058us-gaap:CorporateBondSecuritiesMember2021-12-310000202058us-gaap:CorporateBondSecuritiesMemberus-gaap:FairValueInputsLevel1</w:t>
      </w:r>
      <w:r>
        <w:rPr>
          <w:rFonts w:eastAsia="Times New Roman"/>
          <w:vanish/>
        </w:rPr>
        <w:t>Member2021-12-310000202058us-gaap:FairValueInputsLevel2Memberus-gaap:CorporateBondSecuritiesMember2021-12-310000202058us-gaap:FairValueInputsLevel3Memberus-gaap:CorporateBondSecuritiesMember2021-12-310000202058us-gaap:USTreasuryAndGovernmentMember2021-12-3</w:t>
      </w:r>
      <w:r>
        <w:rPr>
          <w:rFonts w:eastAsia="Times New Roman"/>
          <w:vanish/>
        </w:rPr>
        <w:t>10000202058us-gaap:FairValueInputsLevel1Memberus-gaap:USTreasuryAndGovernmentMember2021-12-310000202058us-gaap:FairValueInputsLevel2Memberus-gaap:USTreasuryAndGovernmentMember2021-12-310000202058us-gaap:FairValueInputsLevel3Memberus-gaap:USTreasuryAndGover</w:t>
      </w:r>
      <w:r>
        <w:rPr>
          <w:rFonts w:eastAsia="Times New Roman"/>
          <w:vanish/>
        </w:rPr>
        <w:t>nmentMember2021-12-310000202058us-gaap:AssetBackedSecuritiesSecuritizedLoansAndReceivablesMember2021-12-310000202058us-gaap:FairValueInputsLevel1Memberus-gaap:AssetBackedSecuritiesSecuritizedLoansAndReceivablesMember2021-12-310000202058us-gaap:FairValueInp</w:t>
      </w:r>
      <w:r>
        <w:rPr>
          <w:rFonts w:eastAsia="Times New Roman"/>
          <w:vanish/>
        </w:rPr>
        <w:t>utsLevel2Memberus-gaap:AssetBackedSecuritiesSecuritizedLoansAndReceivablesMember2021-12-310000202058us-gaap:FairValueInputsLevel3Memberus-gaap:AssetBackedSecuritiesSecuritizedLoansAndReceivablesMember2021-12-310000202058hrs:DefinedBenefitPlanFixedIncomeInv</w:t>
      </w:r>
      <w:r>
        <w:rPr>
          <w:rFonts w:eastAsia="Times New Roman"/>
          <w:vanish/>
        </w:rPr>
        <w:t>estmentsMember2021-12-310000202058hrs:DefinedBenefitPlanFixedIncomeInvestmentsMemberus-gaap:FairValueInputsLevel1Member2021-12-310000202058us-gaap:FairValueInputsLevel2Memberhrs:DefinedBenefitPlanFixedIncomeInvestmentsMember2021-12-310000202058us-gaap:Fair</w:t>
      </w:r>
      <w:r>
        <w:rPr>
          <w:rFonts w:eastAsia="Times New Roman"/>
          <w:vanish/>
        </w:rPr>
        <w:t>ValueInputsLevel3Memberhrs:DefinedBenefitPlanFixedIncomeInvestmentsMember2021-12-310000202058us-gaap:DefinedBenefitPlanCashAndCashEquivalentsMember2021-12-310000202058us-gaap:DefinedBenefitPlanCashAndCashEquivalentsMemberus-gaap:FairValueInputsLevel1Member</w:t>
      </w:r>
      <w:r>
        <w:rPr>
          <w:rFonts w:eastAsia="Times New Roman"/>
          <w:vanish/>
        </w:rPr>
        <w:t>2021-12-310000202058us-gaap:FairValueInputsLevel2Memberus-gaap:DefinedBenefitPlanCashAndCashEquivalentsMember2021-12-310000202058us-gaap:FairValueInputsLevel3Memberus-gaap:DefinedBenefitPlanCashAndCashEquivalentsMember2021-12-310000202058us-gaap:FairValueI</w:t>
      </w:r>
      <w:r>
        <w:rPr>
          <w:rFonts w:eastAsia="Times New Roman"/>
          <w:vanish/>
        </w:rPr>
        <w:t>nputsLevel12And3Memberhrs:DefinedBenefitPlanAssetsBeforeInvestmentsMeasuredAtNetAssetValuePerShareNAVMember2021-12-310000202058us-gaap:FairValueInputsLevel1Memberhrs:DefinedBenefitPlanAssetsBeforeInvestmentsMeasuredAtNetAssetValuePerShareNAVMember2021-12-3</w:t>
      </w:r>
      <w:r>
        <w:rPr>
          <w:rFonts w:eastAsia="Times New Roman"/>
          <w:vanish/>
        </w:rPr>
        <w:t>10000202058us-gaap:FairValueInputsLevel2Memberhrs:DefinedBenefitPlanAssetsBeforeInvestmentsMeasuredAtNetAssetValuePerShareNAVMember2021-12-310000202058us-gaap:FairValueInputsLevel3Memberhrs:DefinedBenefitPlanAssetsBeforeInvestmentsMeasuredAtNetAssetValuePe</w:t>
      </w:r>
      <w:r>
        <w:rPr>
          <w:rFonts w:eastAsia="Times New Roman"/>
          <w:vanish/>
        </w:rPr>
        <w:t>rShareNAVMember2021-12-310000202058us-gaap:PrivateEquityFundsDomesticMember2021-12-310000202058us-gaap:FixedIncomeFundsMember2021-12-310000202058us-gaap:HedgeFundsMember2021-12-310000202058us-gaap:PrivateEquityFundsMember2021-12-310000202058us-gaap:Defined</w:t>
      </w:r>
      <w:r>
        <w:rPr>
          <w:rFonts w:eastAsia="Times New Roman"/>
          <w:vanish/>
        </w:rPr>
        <w:t>BenefitPlanRealEstateMember2021-12-310000202058hrs:DefinedBenefitPlanOtherFundsMember2021-12-310000202058us-gaap:FairValueMeasuredAtNetAssetValuePerShareMember2021-12-310000202058hrs:DefinedBenefitPlanPayablesReceivablesNetMember2021-12-310000202058us-gaap</w:t>
      </w:r>
      <w:r>
        <w:rPr>
          <w:rFonts w:eastAsia="Times New Roman"/>
          <w:vanish/>
        </w:rPr>
        <w:t>:DefinedBenefitPlanEquitySecuritiesUsMember2021-01-010000202058us-gaap:DefinedBenefitPlanEquitySecuritiesUsMemberus-gaap:FairValueInputsLevel1Member2021-01-010000202058us-gaap:DefinedBenefitPlanEquitySecuritiesUsMemberus-gaap:FairValueInputsLevel2Member202</w:t>
      </w:r>
      <w:r>
        <w:rPr>
          <w:rFonts w:eastAsia="Times New Roman"/>
          <w:vanish/>
        </w:rPr>
        <w:t>1-01-010000202058us-gaap:DefinedBenefitPlanEquitySecuritiesUsMemberus-gaap:FairValueInputsLevel3Member2021-01-010000202058us-gaap:DefinedBenefitPlanEquitySecuritiesNonUsMember2021-01-010000202058us-gaap:DefinedBenefitPlanEquitySecuritiesNonUsMemberus-gaap:</w:t>
      </w:r>
      <w:r>
        <w:rPr>
          <w:rFonts w:eastAsia="Times New Roman"/>
          <w:vanish/>
        </w:rPr>
        <w:t>FairValueInputsLevel1Member2021-01-010000202058us-gaap:FairValueInputsLevel2Memberus-gaap:DefinedBenefitPlanEquitySecuritiesNonUsMember2021-01-010000202058us-gaap:DefinedBenefitPlanEquitySecuritiesNonUsMemberus-gaap:FairValueInputsLevel3Member2021-01-01000</w:t>
      </w:r>
      <w:r>
        <w:rPr>
          <w:rFonts w:eastAsia="Times New Roman"/>
          <w:vanish/>
        </w:rPr>
        <w:t>0202058hrs:DefinedBenefitPlanEquitySecuritiesRealEstateInvestmentTrustsMember2021-01-010000202058hrs:DefinedBenefitPlanEquitySecuritiesRealEstateInvestmentTrustsMemberus-gaap:FairValueInputsLevel1Member2021-01-010000202058us-gaap:FairValueInputsLevel2Membe</w:t>
      </w:r>
      <w:r>
        <w:rPr>
          <w:rFonts w:eastAsia="Times New Roman"/>
          <w:vanish/>
        </w:rPr>
        <w:t>rhrs:DefinedBenefitPlanEquitySecuritiesRealEstateInvestmentTrustsMember2021-01-010000202058us-gaap:FairValueInputsLevel3Memberhrs:DefinedBenefitPlanEquitySecuritiesRealEstateInvestmentTrustsMember2021-01-010000202058us-gaap:CorporateBondSecuritiesMember202</w:t>
      </w:r>
      <w:r>
        <w:rPr>
          <w:rFonts w:eastAsia="Times New Roman"/>
          <w:vanish/>
        </w:rPr>
        <w:t>1-01-010000202058us-gaap:CorporateBondSecuritiesMemberus-gaap:FairValueInputsLevel1Member2021-01-010000202058us-gaap:FairValueInputsLevel2Memberus-gaap:CorporateBondSecuritiesMember2021-01-010000202058us-gaap:FairValueInputsLevel3Memberus-gaap:CorporateBon</w:t>
      </w:r>
      <w:r>
        <w:rPr>
          <w:rFonts w:eastAsia="Times New Roman"/>
          <w:vanish/>
        </w:rPr>
        <w:t>dSecuritiesMember2021-01-010000202058us-gaap:USTreasuryAndGovernmentMember2021-01-010000202058us-gaap:FairValueInputsLevel1Memberus-gaap:USTreasuryAndGovernmentMember2021-01-010000202058us-gaap:FairValueInputsLevel2Memberus-gaap:USTreasuryAndGovernmentMemb</w:t>
      </w:r>
      <w:r>
        <w:rPr>
          <w:rFonts w:eastAsia="Times New Roman"/>
          <w:vanish/>
        </w:rPr>
        <w:t>er2021-01-010000202058us-gaap:FairValueInputsLevel3Memberus-gaap:USTreasuryAndGovernmentMember2021-01-010000202058us-gaap:AssetBackedSecuritiesSecuritizedLoansAndReceivablesMember2021-01-010000202058us-gaap:FairValueInputsLevel1Memberus-gaap:AssetBackedSec</w:t>
      </w:r>
      <w:r>
        <w:rPr>
          <w:rFonts w:eastAsia="Times New Roman"/>
          <w:vanish/>
        </w:rPr>
        <w:t>uritiesSecuritizedLoansAndReceivablesMember2021-01-010000202058us-gaap:FairValueInputsLevel2Memberus-gaap:AssetBackedSecuritiesSecuritizedLoansAndReceivablesMember2021-01-010000202058us-gaap:FairValueInputsLevel3Memberus-gaap:AssetBackedSecuritiesSecuritiz</w:t>
      </w:r>
      <w:r>
        <w:rPr>
          <w:rFonts w:eastAsia="Times New Roman"/>
          <w:vanish/>
        </w:rPr>
        <w:t>edLoansAndReceivablesMember2021-01-010000202058hrs:DefinedBenefitPlanFixedIncomeInvestmentsMember2021-01-010000202058hrs:DefinedBenefitPlanFixedIncomeInvestmentsMemberus-gaap:FairValueInputsLevel1Member2021-01-010000202058us-gaap:FairValueInputsLevel2Membe</w:t>
      </w:r>
      <w:r>
        <w:rPr>
          <w:rFonts w:eastAsia="Times New Roman"/>
          <w:vanish/>
        </w:rPr>
        <w:t>rhrs:DefinedBenefitPlanFixedIncomeInvestmentsMember2021-01-010000202058us-gaap:FairValueInputsLevel3Memberhrs:DefinedBenefitPlanFixedIncomeInvestmentsMember2021-01-010000202058us-gaap:OtherInvestmentsMember2021-01-010000202058us-gaap:FairValueInputsLevel1M</w:t>
      </w:r>
      <w:r>
        <w:rPr>
          <w:rFonts w:eastAsia="Times New Roman"/>
          <w:vanish/>
        </w:rPr>
        <w:t>emberus-gaap:OtherInvestmentsMember2021-01-010000202058us-gaap:FairValueInputsLevel2Memberus-gaap:OtherInvestmentsMember2021-01-010000202058us-gaap:FairValueInputsLevel3Memberus-gaap:OtherInvestmentsMember2021-01-010000202058us-gaap:DefinedBenefitPlanCashA</w:t>
      </w:r>
      <w:r>
        <w:rPr>
          <w:rFonts w:eastAsia="Times New Roman"/>
          <w:vanish/>
        </w:rPr>
        <w:t>ndCashEquivalentsMember2021-01-010000202058us-gaap:DefinedBenefitPlanCashAndCashEquivalentsMemberus-gaap:FairValueInputsLevel1Member2021-01-010000202058us-gaap:FairValueInputsLevel2Memberus-gaap:DefinedBenefitPlanCashAndCashEquivalentsMember2021-01-0100002</w:t>
      </w:r>
      <w:r>
        <w:rPr>
          <w:rFonts w:eastAsia="Times New Roman"/>
          <w:vanish/>
        </w:rPr>
        <w:t>02058us-gaap:FairValueInputsLevel3Memberus-gaap:DefinedBenefitPlanCashAndCashEquivalentsMember2021-01-010000202058us-gaap:FairValueInputsLevel12And3Memberhrs:DefinedBenefitPlanAssetsBeforeInvestmentsMeasuredAtNetAssetValuePerShareNAVMember2021-01-010000202</w:t>
      </w:r>
      <w:r>
        <w:rPr>
          <w:rFonts w:eastAsia="Times New Roman"/>
          <w:vanish/>
        </w:rPr>
        <w:t>058us-gaap:FairValueInputsLevel1Memberhrs:DefinedBenefitPlanAssetsBeforeInvestmentsMeasuredAtNetAssetValuePerShareNAVMember2021-01-010000202058us-gaap:FairValueInputsLevel2Memberhrs:DefinedBenefitPlanAssetsBeforeInvestmentsMeasuredAtNetAssetValuePerShareNA</w:t>
      </w:r>
      <w:r>
        <w:rPr>
          <w:rFonts w:eastAsia="Times New Roman"/>
          <w:vanish/>
        </w:rPr>
        <w:t>VMember2021-01-010000202058us-gaap:FairValueInputsLevel3Memberhrs:DefinedBenefitPlanAssetsBeforeInvestmentsMeasuredAtNetAssetValuePerShareNAVMember2021-01-010000202058us-gaap:PrivateEquityFundsDomesticMember2021-01-010000202058us-gaap:FixedIncomeFundsMembe</w:t>
      </w:r>
      <w:r>
        <w:rPr>
          <w:rFonts w:eastAsia="Times New Roman"/>
          <w:vanish/>
        </w:rPr>
        <w:t>r2021-01-010000202058us-gaap:HedgeFundsMember2021-01-010000202058us-gaap:PrivateEquityFundsMember2021-01-010000202058hrs:DefinedBenefitPlanOtherFundsMember2021-01-010000202058us-gaap:FairValueMeasuredAtNetAssetValuePerShareMember2021-01-010000202058hrs:Def</w:t>
      </w:r>
      <w:r>
        <w:rPr>
          <w:rFonts w:eastAsia="Times New Roman"/>
          <w:vanish/>
        </w:rPr>
        <w:t>inedBenefitPlanPayablesReceivablesNetMember2021-01-010000202058country:USus-gaap:PensionPlansDefinedBenefitMember2019-06-292020-01-030000202058country:USus-gaap:PensionPlansDefinedBenefitMember2016-07-022017-06-300000202058country:USus-gaap:PensionPlansDef</w:t>
      </w:r>
      <w:r>
        <w:rPr>
          <w:rFonts w:eastAsia="Times New Roman"/>
          <w:vanish/>
        </w:rPr>
        <w:t>inedBenefitMember2017-07-012018-06-29hrs:plan0000202058us-gaap:CostOfSalesMember2021-01-022021-12-310000202058us-gaap:CostOfSalesMember2020-01-042021-01-010000202058us-gaap:CostOfSalesMember2019-06-292020-01-030000202058us-gaap:CostOfSalesMember2018-06-302</w:t>
      </w:r>
      <w:r>
        <w:rPr>
          <w:rFonts w:eastAsia="Times New Roman"/>
          <w:vanish/>
        </w:rPr>
        <w:t>019-06-280000202058us-gaap:SellingGeneralAndAdministrativeExpensesMember2021-01-022021-12-310000202058us-gaap:SellingGeneralAndAdministrativeExpensesMember2020-01-042021-01-010000202058us-gaap:SellingGeneralAndAdministrativeExpensesMember2019-06-292020-01-</w:t>
      </w:r>
      <w:r>
        <w:rPr>
          <w:rFonts w:eastAsia="Times New Roman"/>
          <w:vanish/>
        </w:rPr>
        <w:t>030000202058us-gaap:SellingGeneralAndAdministrativeExpensesMember2018-06-302019-06-280000202058hrs:IncomeLossFromContinuingOperationsMember2021-01-022021-12-310000202058hrs:IncomeLossFromContinuingOperationsMember2020-01-042021-01-010000202058hrs:IncomeLos</w:t>
      </w:r>
      <w:r>
        <w:rPr>
          <w:rFonts w:eastAsia="Times New Roman"/>
          <w:vanish/>
        </w:rPr>
        <w:t>sFromContinuingOperationsMember2019-06-292020-01-030000202058hrs:IncomeLossFromContinuingOperationsMember2018-06-302019-06-280000202058hrs:EquityIncentivePlan2015Member2021-12-310000202058us-gaap:EmployeeStockOptionMember2021-01-022021-12-310000202058us-ga</w:t>
      </w:r>
      <w:r>
        <w:rPr>
          <w:rFonts w:eastAsia="Times New Roman"/>
          <w:vanish/>
        </w:rPr>
        <w:t>ap:RestrictedStockMember2021-12-310000202058us-gaap:RestrictedStockUnitsRSUMember2021-12-310000202058hrs:RestrictedStockAndRestrictedStockUnitMember2021-01-010000202058hrs:RestrictedStockAndRestrictedStockUnitMember2021-01-022021-12-310000202058hrs:Restric</w:t>
      </w:r>
      <w:r>
        <w:rPr>
          <w:rFonts w:eastAsia="Times New Roman"/>
          <w:vanish/>
        </w:rPr>
        <w:t>tedStockAndRestrictedStockUnitMember2021-12-310000202058hrs:RestrictedStockAndRestrictedStockUnitMember2020-01-042021-01-010000202058hrs:RestrictedStockAndRestrictedStockUnitMember2019-06-292020-01-030000202058hrs:RestrictedStockAndRestrictedStockUnitMembe</w:t>
      </w:r>
      <w:r>
        <w:rPr>
          <w:rFonts w:eastAsia="Times New Roman"/>
          <w:vanish/>
        </w:rPr>
        <w:t>r2018-06-302019-06-280000202058hrs:PerformanceStockUnitsMember2021-01-022021-12-310000202058hrs:PerformanceStockUnitsMember2021-01-010000202058hrs:PerformanceStockUnitsMember2021-12-310000202058hrs:PerformanceStockUnitsMember2020-01-042021-01-010000202058h</w:t>
      </w:r>
      <w:r>
        <w:rPr>
          <w:rFonts w:eastAsia="Times New Roman"/>
          <w:vanish/>
        </w:rPr>
        <w:t>rs:PerformanceStockUnitsMember2019-06-292020-01-030000202058hrs:PerformanceStockUnitsMember2018-06-302019-06-280000202058stpr:CAhrs:LandAndManufacturingFacilityMember2020-11-242020-11-240000202058stpr:CAhrs:LandAndManufacturingFacilityMember2020-11-24hrs:e</w:t>
      </w:r>
      <w:r>
        <w:rPr>
          <w:rFonts w:eastAsia="Times New Roman"/>
          <w:vanish/>
        </w:rPr>
        <w:t>ngineer0000202058stpr:CAhrs:LandAndManufacturingFacilityMember2020-01-042021-01-010000202058hrs:CommercialAviationSolutionsMemberus-gaap:ContractTerminationMemberhrs:COVID19PandemicMember2020-01-042021-01-010000202058srt:MinimumMember2021-12-310000202058sr</w:t>
      </w:r>
      <w:r>
        <w:rPr>
          <w:rFonts w:eastAsia="Times New Roman"/>
          <w:vanish/>
        </w:rPr>
        <w:t>t:MaximumMember2021-12-310000202058us-gaap:ForeignExchangeForwardMemberus-gaap:CashFlowHedgingMember2021-12-310000202058us-gaap:ForeignExchangeForwardMemberus-gaap:CashFlowHedgingMember2021-01-010000202058us-gaap:OtherCurrentLiabilitiesMember2021-12-310000</w:t>
      </w:r>
      <w:r>
        <w:rPr>
          <w:rFonts w:eastAsia="Times New Roman"/>
          <w:vanish/>
        </w:rPr>
        <w:t>202058us-gaap:OtherCurrentLiabilitiesMember2021-01-010000202058us-gaap:OtherNoncurrentLiabilitiesMember2021-12-310000202058us-gaap:OtherNoncurrentLiabilitiesMember2021-01-010000202058us-gaap:ForeignExchangeForwardMemberus-gaap:CashFlowHedgingMember2020-01-</w:t>
      </w:r>
      <w:r>
        <w:rPr>
          <w:rFonts w:eastAsia="Times New Roman"/>
          <w:vanish/>
        </w:rPr>
        <w:t>042021-01-010000202058us-gaap:ForeignExchangeForwardMemberus-gaap:CashFlowHedgingMember2021-01-022021-12-310000202058us-gaap:CashFlowHedgingMemberhrs:L3HarrisTechnologiesInc.Memberus-gaap:TreasuryLockMember2021-01-01hrs:contract0000202058us-gaap:CashFlowHe</w:t>
      </w:r>
      <w:r>
        <w:rPr>
          <w:rFonts w:eastAsia="Times New Roman"/>
          <w:vanish/>
        </w:rPr>
        <w:t>dgingMemberhrs:L3HarrisTechnologiesInc.Memberus-gaap:TreasuryLockMember2021-12-310000202058us-gaap:LoansPayableMemberhrs:TreasuryRateMemberhrs:A4.950SeniorNotesdueFebruary152021Member2020-11-250000202058us-gaap:LoansPayableMemberhrs:A180NotesDueJanuary1520</w:t>
      </w:r>
      <w:r>
        <w:rPr>
          <w:rFonts w:eastAsia="Times New Roman"/>
          <w:vanish/>
        </w:rPr>
        <w:t>31Memberhrs:TreasuryRateMember2020-11-250000202058us-gaap:CashFlowHedgingMemberhrs:L3HarrisTechnologiesInc.Memberus-gaap:TreasuryLockMember2019-06-290000202058us-gaap:CashFlowHedgingMemberus-gaap:TreasuryLockMember2021-01-010000202058us-gaap:LoansPayableMe</w:t>
      </w:r>
      <w:r>
        <w:rPr>
          <w:rFonts w:eastAsia="Times New Roman"/>
          <w:vanish/>
        </w:rPr>
        <w:t>mberhrs:A4.950SeniorNotesdueFebruary152021Member2021-12-310000202058us-gaap:LoansPayableMemberhrs:NotePayableNineMember2021-12-310000202058us-gaap:AccumulatedTranslationAdjustmentMember2020-01-030000202058us-gaap:AccumulatedGainLossNetCashFlowHedgeParentMe</w:t>
      </w:r>
      <w:r>
        <w:rPr>
          <w:rFonts w:eastAsia="Times New Roman"/>
          <w:vanish/>
        </w:rPr>
        <w:t>mber2020-01-030000202058us-gaap:AccumulatedDefinedBenefitPlansAdjustmentMember2020-01-030000202058us-gaap:AccumulatedTranslationAdjustmentMember2020-01-042021-01-010000202058us-gaap:AccumulatedGainLossNetCashFlowHedgeParentMember2020-01-042021-01-010000202</w:t>
      </w:r>
      <w:r>
        <w:rPr>
          <w:rFonts w:eastAsia="Times New Roman"/>
          <w:vanish/>
        </w:rPr>
        <w:t>058us-gaap:AccumulatedDefinedBenefitPlansAdjustmentMember2020-01-042021-01-010000202058us-gaap:AccumulatedTranslationAdjustmentMember2021-01-010000202058us-gaap:AccumulatedGainLossNetCashFlowHedgeParentMember2021-01-010000202058us-gaap:AccumulatedDefinedBe</w:t>
      </w:r>
      <w:r>
        <w:rPr>
          <w:rFonts w:eastAsia="Times New Roman"/>
          <w:vanish/>
        </w:rPr>
        <w:t>nefitPlansAdjustmentMember2021-01-010000202058us-gaap:AccumulatedTranslationAdjustmentMember2021-01-022021-12-310000202058us-gaap:AccumulatedGainLossNetCashFlowHedgeParentMember2021-01-022021-12-310000202058us-gaap:AccumulatedDefinedBenefitPlansAdjustmentM</w:t>
      </w:r>
      <w:r>
        <w:rPr>
          <w:rFonts w:eastAsia="Times New Roman"/>
          <w:vanish/>
        </w:rPr>
        <w:t>ember2021-01-022021-12-310000202058us-gaap:AccumulatedTranslationAdjustmentMember2021-12-310000202058us-gaap:AccumulatedGainLossNetCashFlowHedgeParentMember2021-12-310000202058us-gaap:AccumulatedDefinedBenefitPlansAdjustmentMember2021-12-310000202058us-gaa</w:t>
      </w:r>
      <w:r>
        <w:rPr>
          <w:rFonts w:eastAsia="Times New Roman"/>
          <w:vanish/>
        </w:rPr>
        <w:t>p:DomesticCountryMember2021-12-310000202058us-gaap:ForeignCountryMember2021-12-310000202058us-gaap:StateAndLocalJurisdictionMember2021-12-3100002020582022-01-012021-12-3100002020582023-01-012021-12-31hrs:segment0000202058us-gaap:SubsequentEventMember2022-0</w:t>
      </w:r>
      <w:r>
        <w:rPr>
          <w:rFonts w:eastAsia="Times New Roman"/>
          <w:vanish/>
        </w:rPr>
        <w:t>1-012022-01-010000202058hrs:IntegratedMissionSystemsMemberus-gaap:OperatingSegmentsMember2021-01-022021-12-310000202058hrs:IntegratedMissionSystemsMemberus-gaap:OperatingSegmentsMember2020-01-042021-01-010000202058hrs:IntegratedMissionSystemsMemberus-gaap:</w:t>
      </w:r>
      <w:r>
        <w:rPr>
          <w:rFonts w:eastAsia="Times New Roman"/>
          <w:vanish/>
        </w:rPr>
        <w:t>OperatingSegmentsMember2019-06-292020-01-030000202058hrs:IntegratedMissionSystemsMemberus-gaap:OperatingSegmentsMember2018-06-302019-06-280000202058us-gaap:OperatingSegmentsMemberhrs:SpaceandAirborneSystemsMember2021-01-022021-12-310000202058us-gaap:Operat</w:t>
      </w:r>
      <w:r>
        <w:rPr>
          <w:rFonts w:eastAsia="Times New Roman"/>
          <w:vanish/>
        </w:rPr>
        <w:t>ingSegmentsMemberhrs:SpaceandAirborneSystemsMember2020-01-042021-01-010000202058us-gaap:OperatingSegmentsMemberhrs:SpaceandAirborneSystemsMember2019-06-292020-01-030000202058us-gaap:OperatingSegmentsMemberhrs:SpaceandAirborneSystemsMember2018-06-302019-06-</w:t>
      </w:r>
      <w:r>
        <w:rPr>
          <w:rFonts w:eastAsia="Times New Roman"/>
          <w:vanish/>
        </w:rPr>
        <w:t>280000202058us-gaap:OperatingSegmentsMemberhrs:CommunicationSystemsMember2021-01-022021-12-310000202058us-gaap:OperatingSegmentsMemberhrs:CommunicationSystemsMember2020-01-042021-01-010000202058us-gaap:OperatingSegmentsMemberhrs:CommunicationSystemsMember2</w:t>
      </w:r>
      <w:r>
        <w:rPr>
          <w:rFonts w:eastAsia="Times New Roman"/>
          <w:vanish/>
        </w:rPr>
        <w:t>019-06-292020-01-030000202058us-gaap:OperatingSegmentsMemberhrs:CommunicationSystemsMember2018-06-302019-06-280000202058us-gaap:OperatingSegmentsMemberhrs:AviationSystemsMember2021-01-022021-12-310000202058us-gaap:OperatingSegmentsMemberhrs:AviationSystems</w:t>
      </w:r>
      <w:r>
        <w:rPr>
          <w:rFonts w:eastAsia="Times New Roman"/>
          <w:vanish/>
        </w:rPr>
        <w:t>Member2020-01-042021-01-010000202058us-gaap:OperatingSegmentsMemberhrs:AviationSystemsMember2019-06-292020-01-030000202058us-gaap:OperatingSegmentsMemberhrs:AviationSystemsMember2018-06-302019-06-280000202058us-gaap:MaterialReconcilingItemsMember2021-01-02</w:t>
      </w:r>
      <w:r>
        <w:rPr>
          <w:rFonts w:eastAsia="Times New Roman"/>
          <w:vanish/>
        </w:rPr>
        <w:t>2021-12-310000202058us-gaap:MaterialReconcilingItemsMember2020-01-042021-01-010000202058us-gaap:MaterialReconcilingItemsMember2019-06-292020-01-030000202058us-gaap:MaterialReconcilingItemsMember2018-06-302019-06-280000202058us-gaap:CorporateNonSegmentMembe</w:t>
      </w:r>
      <w:r>
        <w:rPr>
          <w:rFonts w:eastAsia="Times New Roman"/>
          <w:vanish/>
        </w:rPr>
        <w:t>r2021-01-022021-12-310000202058us-gaap:CorporateNonSegmentMember2020-01-042021-01-010000202058us-gaap:CorporateNonSegmentMember2019-06-292020-01-030000202058us-gaap:CorporateNonSegmentMember2018-06-302019-06-280000202058us-gaap:DisposalGroupDisposedOfBySal</w:t>
      </w:r>
      <w:r>
        <w:rPr>
          <w:rFonts w:eastAsia="Times New Roman"/>
          <w:vanish/>
        </w:rPr>
        <w:t>eNotDiscontinuedOperationsMemberhrs:CombatPropulsionSystemsMember2021-01-022021-12-310000202058hrs:CommercialTrainingSolutionsMemberus-gaap:DisposalGroupDisposedOfBySaleNotDiscontinuedOperationsMember2021-01-022021-12-310000202058us-gaap:DisposalGroupDispo</w:t>
      </w:r>
      <w:r>
        <w:rPr>
          <w:rFonts w:eastAsia="Times New Roman"/>
          <w:vanish/>
        </w:rPr>
        <w:t>sedOfBySaleNotDiscontinuedOperationsMemberhrs:VoiceSwitchEnterpriseMember2020-01-042021-01-010000202058hrs:AppliedKilovoltsandAnalyticalInstrumentationBusinessMemberus-gaap:DisposalGroupDisposedOfBySaleNotDiscontinuedOperationsMember2020-01-042021-01-01000</w:t>
      </w:r>
      <w:r>
        <w:rPr>
          <w:rFonts w:eastAsia="Times New Roman"/>
          <w:vanish/>
        </w:rPr>
        <w:t>0202058hrs:IntegratedMissionSystemsMemberus-gaap:SalesChannelDirectlyToConsumerMemberus-gaap:TransferredOverTimeMember2021-01-022021-12-310000202058hrs:IntegratedMissionSystemsMemberus-gaap:SalesChannelDirectlyToConsumerMemberus-gaap:TransferredOverTimeMem</w:t>
      </w:r>
      <w:r>
        <w:rPr>
          <w:rFonts w:eastAsia="Times New Roman"/>
          <w:vanish/>
        </w:rPr>
        <w:t>ber2020-01-042021-01-010000202058hrs:IntegratedMissionSystemsMemberus-gaap:SalesChannelDirectlyToConsumerMemberus-gaap:TransferredOverTimeMember2019-06-292020-01-030000202058hrs:IntegratedMissionSystemsMemberus-gaap:SalesChannelDirectlyToConsumerMemberus-g</w:t>
      </w:r>
      <w:r>
        <w:rPr>
          <w:rFonts w:eastAsia="Times New Roman"/>
          <w:vanish/>
        </w:rPr>
        <w:t>aap:TransferredOverTimeMember2018-06-302019-06-280000202058us-gaap:SalesChannelThroughIntermediaryMemberhrs:IntegratedMissionSystemsMemberus-gaap:TransferredOverTimeMember2021-01-022021-12-310000202058us-gaap:SalesChannelThroughIntermediaryMemberhrs:Integr</w:t>
      </w:r>
      <w:r>
        <w:rPr>
          <w:rFonts w:eastAsia="Times New Roman"/>
          <w:vanish/>
        </w:rPr>
        <w:t>atedMissionSystemsMemberus-gaap:TransferredOverTimeMember2020-01-042021-01-010000202058us-gaap:SalesChannelThroughIntermediaryMemberhrs:IntegratedMissionSystemsMemberus-gaap:TransferredOverTimeMember2019-06-292020-01-030000202058us-gaap:SalesChannelThrough</w:t>
      </w:r>
      <w:r>
        <w:rPr>
          <w:rFonts w:eastAsia="Times New Roman"/>
          <w:vanish/>
        </w:rPr>
        <w:t>IntermediaryMemberhrs:IntegratedMissionSystemsMemberus-gaap:TransferredOverTimeMember2018-06-302019-06-280000202058hrs:IntegratedMissionSystemsMemberus-gaap:IntersegmentEliminationMemberus-gaap:TransferredOverTimeMember2021-01-022021-12-310000202058hrs:Int</w:t>
      </w:r>
      <w:r>
        <w:rPr>
          <w:rFonts w:eastAsia="Times New Roman"/>
          <w:vanish/>
        </w:rPr>
        <w:t>egratedMissionSystemsMemberus-gaap:IntersegmentEliminationMemberus-gaap:TransferredOverTimeMember2020-01-042021-01-010000202058hrs:IntegratedMissionSystemsMemberus-gaap:IntersegmentEliminationMemberus-gaap:TransferredOverTimeMember2019-06-292020-01-0300002</w:t>
      </w:r>
      <w:r>
        <w:rPr>
          <w:rFonts w:eastAsia="Times New Roman"/>
          <w:vanish/>
        </w:rPr>
        <w:t>02058hrs:IntegratedMissionSystemsMemberus-gaap:IntersegmentEliminationMemberus-gaap:TransferredOverTimeMember2018-06-302019-06-280000202058hrs:IntegratedMissionSystemsMemberus-gaap:TransferredOverTimeMember2021-01-022021-12-310000202058hrs:IntegratedMissio</w:t>
      </w:r>
      <w:r>
        <w:rPr>
          <w:rFonts w:eastAsia="Times New Roman"/>
          <w:vanish/>
        </w:rPr>
        <w:t>nSystemsMemberus-gaap:TransferredOverTimeMember2020-01-042021-01-010000202058hrs:IntegratedMissionSystemsMemberus-gaap:TransferredOverTimeMember2019-06-292020-01-030000202058hrs:IntegratedMissionSystemsMemberus-gaap:TransferredOverTimeMember2018-06-302019-</w:t>
      </w:r>
      <w:r>
        <w:rPr>
          <w:rFonts w:eastAsia="Times New Roman"/>
          <w:vanish/>
        </w:rPr>
        <w:t>06-280000202058us-gaap:FixedPriceContractMemberhrs:IntegratedMissionSystemsMemberus-gaap:TransferredOverTimeMember2021-01-022021-12-310000202058us-gaap:FixedPriceContractMemberhrs:IntegratedMissionSystemsMemberus-gaap:TransferredOverTimeMember2020-01-04202</w:t>
      </w:r>
      <w:r>
        <w:rPr>
          <w:rFonts w:eastAsia="Times New Roman"/>
          <w:vanish/>
        </w:rPr>
        <w:t>1-01-010000202058us-gaap:FixedPriceContractMemberhrs:IntegratedMissionSystemsMemberus-gaap:TransferredOverTimeMember2019-06-292020-01-030000202058us-gaap:FixedPriceContractMemberhrs:IntegratedMissionSystemsMemberus-gaap:TransferredOverTimeMember2018-06-302</w:t>
      </w:r>
      <w:r>
        <w:rPr>
          <w:rFonts w:eastAsia="Times New Roman"/>
          <w:vanish/>
        </w:rPr>
        <w:t>019-06-280000202058hrs:CostreimbursableMemberhrs:IntegratedMissionSystemsMemberus-gaap:TransferredOverTimeMember2021-01-022021-12-310000202058hrs:CostreimbursableMemberhrs:IntegratedMissionSystemsMemberus-gaap:TransferredOverTimeMember2020-01-042021-01-010</w:t>
      </w:r>
      <w:r>
        <w:rPr>
          <w:rFonts w:eastAsia="Times New Roman"/>
          <w:vanish/>
        </w:rPr>
        <w:t>000202058hrs:CostreimbursableMemberhrs:IntegratedMissionSystemsMemberus-gaap:TransferredOverTimeMember2019-06-292020-01-030000202058hrs:CostreimbursableMemberhrs:IntegratedMissionSystemsMemberus-gaap:TransferredOverTimeMember2018-06-302019-06-280000202058h</w:t>
      </w:r>
      <w:r>
        <w:rPr>
          <w:rFonts w:eastAsia="Times New Roman"/>
          <w:vanish/>
        </w:rPr>
        <w:t>rs:IntegratedMissionSystemsMemberus-gaap:TransferredOverTimeMembercountry:US2021-01-022021-12-310000202058hrs:IntegratedMissionSystemsMemberus-gaap:TransferredOverTimeMembercountry:US2020-01-042021-01-010000202058hrs:IntegratedMissionSystemsMemberus-gaap:T</w:t>
      </w:r>
      <w:r>
        <w:rPr>
          <w:rFonts w:eastAsia="Times New Roman"/>
          <w:vanish/>
        </w:rPr>
        <w:t>ransferredOverTimeMembercountry:US2019-06-292020-01-030000202058hrs:IntegratedMissionSystemsMemberus-gaap:TransferredOverTimeMembercountry:US2018-06-302019-06-280000202058hrs:IntegratedMissionSystemsMemberus-gaap:TransferredOverTimeMemberus-gaap:NonUsMembe</w:t>
      </w:r>
      <w:r>
        <w:rPr>
          <w:rFonts w:eastAsia="Times New Roman"/>
          <w:vanish/>
        </w:rPr>
        <w:t>r2021-01-022021-12-310000202058hrs:IntegratedMissionSystemsMemberus-gaap:TransferredOverTimeMemberus-gaap:NonUsMember2020-01-042021-01-010000202058hrs:IntegratedMissionSystemsMemberus-gaap:TransferredOverTimeMemberus-gaap:NonUsMember2019-06-292020-01-03000</w:t>
      </w:r>
      <w:r>
        <w:rPr>
          <w:rFonts w:eastAsia="Times New Roman"/>
          <w:vanish/>
        </w:rPr>
        <w:t>0202058hrs:IntegratedMissionSystemsMemberus-gaap:TransferredOverTimeMemberus-gaap:NonUsMember2018-06-302019-06-280000202058us-gaap:SalesChannelDirectlyToConsumerMemberus-gaap:TransferredOverTimeMemberhrs:SpaceandAirborneSystemsMember2021-01-022021-12-31000</w:t>
      </w:r>
      <w:r>
        <w:rPr>
          <w:rFonts w:eastAsia="Times New Roman"/>
          <w:vanish/>
        </w:rPr>
        <w:t>0202058us-gaap:SalesChannelDirectlyToConsumerMemberus-gaap:TransferredOverTimeMemberhrs:SpaceandAirborneSystemsMember2020-01-042021-01-010000202058us-gaap:SalesChannelDirectlyToConsumerMemberus-gaap:TransferredOverTimeMemberhrs:SpaceandAirborneSystemsMembe</w:t>
      </w:r>
      <w:r>
        <w:rPr>
          <w:rFonts w:eastAsia="Times New Roman"/>
          <w:vanish/>
        </w:rPr>
        <w:t>r2019-06-292020-01-030000202058us-gaap:SalesChannelDirectlyToConsumerMemberus-gaap:TransferredOverTimeMemberhrs:SpaceandAirborneSystemsMember2018-06-302019-06-280000202058us-gaap:SalesChannelThroughIntermediaryMemberus-gaap:TransferredOverTimeMemberhrs:Spa</w:t>
      </w:r>
      <w:r>
        <w:rPr>
          <w:rFonts w:eastAsia="Times New Roman"/>
          <w:vanish/>
        </w:rPr>
        <w:t>ceandAirborneSystemsMember2021-01-022021-12-310000202058us-gaap:SalesChannelThroughIntermediaryMemberus-gaap:TransferredOverTimeMemberhrs:SpaceandAirborneSystemsMember2020-01-042021-01-010000202058us-gaap:SalesChannelThroughIntermediaryMemberus-gaap:Transf</w:t>
      </w:r>
      <w:r>
        <w:rPr>
          <w:rFonts w:eastAsia="Times New Roman"/>
          <w:vanish/>
        </w:rPr>
        <w:t>erredOverTimeMemberhrs:SpaceandAirborneSystemsMember2019-06-292020-01-030000202058us-gaap:SalesChannelThroughIntermediaryMemberus-gaap:TransferredOverTimeMemberhrs:SpaceandAirborneSystemsMember2018-06-302019-06-280000202058us-gaap:IntersegmentEliminationMe</w:t>
      </w:r>
      <w:r>
        <w:rPr>
          <w:rFonts w:eastAsia="Times New Roman"/>
          <w:vanish/>
        </w:rPr>
        <w:t>mberus-gaap:TransferredOverTimeMemberhrs:SpaceandAirborneSystemsMember2021-01-022021-12-310000202058us-gaap:IntersegmentEliminationMemberus-gaap:TransferredOverTimeMemberhrs:SpaceandAirborneSystemsMember2020-01-042021-01-010000202058us-gaap:IntersegmentEli</w:t>
      </w:r>
      <w:r>
        <w:rPr>
          <w:rFonts w:eastAsia="Times New Roman"/>
          <w:vanish/>
        </w:rPr>
        <w:t>minationMemberus-gaap:TransferredOverTimeMemberhrs:SpaceandAirborneSystemsMember2019-06-292020-01-030000202058us-gaap:IntersegmentEliminationMemberus-gaap:TransferredOverTimeMemberhrs:SpaceandAirborneSystemsMember2018-06-302019-06-280000202058us-gaap:Trans</w:t>
      </w:r>
      <w:r>
        <w:rPr>
          <w:rFonts w:eastAsia="Times New Roman"/>
          <w:vanish/>
        </w:rPr>
        <w:t>ferredOverTimeMemberhrs:SpaceandAirborneSystemsMember2021-01-022021-12-310000202058us-gaap:TransferredOverTimeMemberhrs:SpaceandAirborneSystemsMember2020-01-042021-01-010000202058us-gaap:TransferredOverTimeMemberhrs:SpaceandAirborneSystemsMember2019-06-292</w:t>
      </w:r>
      <w:r>
        <w:rPr>
          <w:rFonts w:eastAsia="Times New Roman"/>
          <w:vanish/>
        </w:rPr>
        <w:t>020-01-030000202058us-gaap:TransferredOverTimeMemberhrs:SpaceandAirborneSystemsMember2018-06-302019-06-280000202058us-gaap:FixedPriceContractMemberus-gaap:TransferredOverTimeMemberhrs:SpaceandAirborneSystemsMember2021-01-022021-12-310000202058us-gaap:Fixed</w:t>
      </w:r>
      <w:r>
        <w:rPr>
          <w:rFonts w:eastAsia="Times New Roman"/>
          <w:vanish/>
        </w:rPr>
        <w:t>PriceContractMemberus-gaap:TransferredOverTimeMemberhrs:SpaceandAirborneSystemsMember2020-01-042021-01-010000202058us-gaap:FixedPriceContractMemberus-gaap:TransferredOverTimeMemberhrs:SpaceandAirborneSystemsMember2019-06-292020-01-030000202058us-gaap:Fixed</w:t>
      </w:r>
      <w:r>
        <w:rPr>
          <w:rFonts w:eastAsia="Times New Roman"/>
          <w:vanish/>
        </w:rPr>
        <w:t>PriceContractMemberus-gaap:TransferredOverTimeMemberhrs:SpaceandAirborneSystemsMember2018-06-302019-06-280000202058hrs:CostreimbursableMemberus-gaap:TransferredOverTimeMemberhrs:SpaceandAirborneSystemsMember2021-01-022021-12-310000202058hrs:Costreimbursabl</w:t>
      </w:r>
      <w:r>
        <w:rPr>
          <w:rFonts w:eastAsia="Times New Roman"/>
          <w:vanish/>
        </w:rPr>
        <w:t>eMemberus-gaap:TransferredOverTimeMemberhrs:SpaceandAirborneSystemsMember2020-01-042021-01-010000202058hrs:CostreimbursableMemberus-gaap:TransferredOverTimeMemberhrs:SpaceandAirborneSystemsMember2019-06-292020-01-030000202058hrs:CostreimbursableMemberus-ga</w:t>
      </w:r>
      <w:r>
        <w:rPr>
          <w:rFonts w:eastAsia="Times New Roman"/>
          <w:vanish/>
        </w:rPr>
        <w:t>ap:TransferredOverTimeMemberhrs:SpaceandAirborneSystemsMember2018-06-302019-06-280000202058us-gaap:TransferredOverTimeMembercountry:UShrs:SpaceandAirborneSystemsMember2021-01-022021-12-310000202058us-gaap:TransferredOverTimeMembercountry:UShrs:SpaceandAirb</w:t>
      </w:r>
      <w:r>
        <w:rPr>
          <w:rFonts w:eastAsia="Times New Roman"/>
          <w:vanish/>
        </w:rPr>
        <w:t>orneSystemsMember2020-01-042021-01-010000202058us-gaap:TransferredOverTimeMembercountry:UShrs:SpaceandAirborneSystemsMember2019-06-292020-01-030000202058us-gaap:TransferredOverTimeMembercountry:UShrs:SpaceandAirborneSystemsMember2018-06-302019-06-280000202</w:t>
      </w:r>
      <w:r>
        <w:rPr>
          <w:rFonts w:eastAsia="Times New Roman"/>
          <w:vanish/>
        </w:rPr>
        <w:t>058us-gaap:TransferredOverTimeMemberus-gaap:NonUsMemberhrs:SpaceandAirborneSystemsMember2021-01-022021-12-310000202058us-gaap:TransferredOverTimeMemberus-gaap:NonUsMemberhrs:SpaceandAirborneSystemsMember2020-01-042021-01-010000202058us-gaap:TransferredOver</w:t>
      </w:r>
      <w:r>
        <w:rPr>
          <w:rFonts w:eastAsia="Times New Roman"/>
          <w:vanish/>
        </w:rPr>
        <w:t>TimeMemberus-gaap:NonUsMemberhrs:SpaceandAirborneSystemsMember2019-06-292020-01-030000202058us-gaap:TransferredOverTimeMemberus-gaap:NonUsMemberhrs:SpaceandAirborneSystemsMember2018-06-302019-06-280000202058us-gaap:TransferredAtPointInTimeMemberus-gaap:Sal</w:t>
      </w:r>
      <w:r>
        <w:rPr>
          <w:rFonts w:eastAsia="Times New Roman"/>
          <w:vanish/>
        </w:rPr>
        <w:t>esChannelDirectlyToConsumerMemberhrs:CommunicationSystemsMember2021-01-022021-12-310000202058us-gaap:TransferredAtPointInTimeMemberus-gaap:SalesChannelDirectlyToConsumerMemberhrs:CommunicationSystemsMember2020-01-042021-01-010000202058us-gaap:TransferredAt</w:t>
      </w:r>
      <w:r>
        <w:rPr>
          <w:rFonts w:eastAsia="Times New Roman"/>
          <w:vanish/>
        </w:rPr>
        <w:t>PointInTimeMemberus-gaap:SalesChannelDirectlyToConsumerMemberhrs:CommunicationSystemsMember2019-06-292020-01-030000202058us-gaap:TransferredAtPointInTimeMemberus-gaap:SalesChannelThroughIntermediaryMemberhrs:CommunicationSystemsMember2021-01-022021-12-3100</w:t>
      </w:r>
      <w:r>
        <w:rPr>
          <w:rFonts w:eastAsia="Times New Roman"/>
          <w:vanish/>
        </w:rPr>
        <w:t>00202058us-gaap:TransferredAtPointInTimeMemberus-gaap:SalesChannelThroughIntermediaryMemberhrs:CommunicationSystemsMember2020-01-042021-01-010000202058us-gaap:TransferredAtPointInTimeMemberus-gaap:SalesChannelThroughIntermediaryMemberhrs:CommunicationSyste</w:t>
      </w:r>
      <w:r>
        <w:rPr>
          <w:rFonts w:eastAsia="Times New Roman"/>
          <w:vanish/>
        </w:rPr>
        <w:t>msMember2019-06-292020-01-030000202058us-gaap:TransferredAtPointInTimeMemberus-gaap:IntersegmentEliminationMemberhrs:CommunicationSystemsMember2021-01-022021-12-310000202058us-gaap:TransferredAtPointInTimeMemberus-gaap:IntersegmentEliminationMemberhrs:Comm</w:t>
      </w:r>
      <w:r>
        <w:rPr>
          <w:rFonts w:eastAsia="Times New Roman"/>
          <w:vanish/>
        </w:rPr>
        <w:t>unicationSystemsMember2020-01-042021-01-010000202058us-gaap:TransferredAtPointInTimeMemberus-gaap:IntersegmentEliminationMemberhrs:CommunicationSystemsMember2019-06-292020-01-030000202058us-gaap:TransferredAtPointInTimeMemberhrs:CommunicationSystemsMember2</w:t>
      </w:r>
      <w:r>
        <w:rPr>
          <w:rFonts w:eastAsia="Times New Roman"/>
          <w:vanish/>
        </w:rPr>
        <w:t>021-01-022021-12-310000202058us-gaap:TransferredAtPointInTimeMemberhrs:CommunicationSystemsMember2020-01-042021-01-010000202058us-gaap:TransferredAtPointInTimeMemberhrs:CommunicationSystemsMember2019-06-292020-01-030000202058us-gaap:TransferredAtPointInTim</w:t>
      </w:r>
      <w:r>
        <w:rPr>
          <w:rFonts w:eastAsia="Times New Roman"/>
          <w:vanish/>
        </w:rPr>
        <w:t>eMemberus-gaap:FixedPriceContractMemberhrs:CommunicationSystemsMember2021-01-022021-12-310000202058us-gaap:TransferredAtPointInTimeMemberus-gaap:FixedPriceContractMemberhrs:CommunicationSystemsMember2020-01-042021-01-010000202058us-gaap:TransferredAtPointI</w:t>
      </w:r>
      <w:r>
        <w:rPr>
          <w:rFonts w:eastAsia="Times New Roman"/>
          <w:vanish/>
        </w:rPr>
        <w:t>nTimeMemberus-gaap:FixedPriceContractMemberhrs:CommunicationSystemsMember2019-06-292020-01-030000202058us-gaap:TransferredAtPointInTimeMemberhrs:CostreimbursableMemberhrs:CommunicationSystemsMember2021-01-022021-12-310000202058us-gaap:TransferredAtPointInT</w:t>
      </w:r>
      <w:r>
        <w:rPr>
          <w:rFonts w:eastAsia="Times New Roman"/>
          <w:vanish/>
        </w:rPr>
        <w:t>imeMemberhrs:CostreimbursableMemberhrs:CommunicationSystemsMember2020-01-042021-01-010000202058us-gaap:TransferredAtPointInTimeMemberhrs:CostreimbursableMemberhrs:CommunicationSystemsMember2019-06-292020-01-030000202058us-gaap:TransferredAtPointInTimeMembe</w:t>
      </w:r>
      <w:r>
        <w:rPr>
          <w:rFonts w:eastAsia="Times New Roman"/>
          <w:vanish/>
        </w:rPr>
        <w:t>rhrs:CommunicationSystemsMembercountry:US2021-01-022021-12-310000202058us-gaap:TransferredAtPointInTimeMemberhrs:CommunicationSystemsMembercountry:US2020-01-042021-01-010000202058us-gaap:TransferredAtPointInTimeMemberhrs:CommunicationSystemsMembercountry:U</w:t>
      </w:r>
      <w:r>
        <w:rPr>
          <w:rFonts w:eastAsia="Times New Roman"/>
          <w:vanish/>
        </w:rPr>
        <w:t>S2019-06-292020-01-030000202058us-gaap:TransferredAtPointInTimeMemberhrs:CommunicationSystemsMembercountry:US2018-06-302019-06-280000202058us-gaap:TransferredAtPointInTimeMemberhrs:CommunicationSystemsMemberus-gaap:NonUsMember2021-01-022021-12-310000202058</w:t>
      </w:r>
      <w:r>
        <w:rPr>
          <w:rFonts w:eastAsia="Times New Roman"/>
          <w:vanish/>
        </w:rPr>
        <w:t>us-gaap:TransferredAtPointInTimeMemberhrs:CommunicationSystemsMemberus-gaap:NonUsMember2020-01-042021-01-010000202058us-gaap:TransferredAtPointInTimeMemberhrs:CommunicationSystemsMemberus-gaap:NonUsMember2019-06-292020-01-030000202058us-gaap:TransferredAtP</w:t>
      </w:r>
      <w:r>
        <w:rPr>
          <w:rFonts w:eastAsia="Times New Roman"/>
          <w:vanish/>
        </w:rPr>
        <w:t>ointInTimeMemberhrs:CommunicationSystemsMemberus-gaap:NonUsMember2018-06-302019-06-280000202058us-gaap:TransferredAtPointInTimeMemberus-gaap:IntersegmentEliminationMemberhrs:CommunicationSystemsMember2018-06-302019-06-280000202058us-gaap:TransferredAtPoint</w:t>
      </w:r>
      <w:r>
        <w:rPr>
          <w:rFonts w:eastAsia="Times New Roman"/>
          <w:vanish/>
        </w:rPr>
        <w:t>InTimeMemberhrs:CommunicationSystemsMember2018-06-302019-06-280000202058us-gaap:TransferredAtPointInTimeMemberus-gaap:SalesChannelDirectlyToConsumerMemberhrs:AviationSystemsMember2021-01-022021-12-310000202058us-gaap:TransferredAtPointInTimeMemberus-gaap:S</w:t>
      </w:r>
      <w:r>
        <w:rPr>
          <w:rFonts w:eastAsia="Times New Roman"/>
          <w:vanish/>
        </w:rPr>
        <w:t>alesChannelDirectlyToConsumerMemberhrs:AviationSystemsMember2020-01-042021-01-010000202058us-gaap:TransferredAtPointInTimeMemberus-gaap:SalesChannelDirectlyToConsumerMemberhrs:AviationSystemsMember2019-06-292020-01-030000202058us-gaap:TransferredAtPointInT</w:t>
      </w:r>
      <w:r>
        <w:rPr>
          <w:rFonts w:eastAsia="Times New Roman"/>
          <w:vanish/>
        </w:rPr>
        <w:t>imeMemberus-gaap:SalesChannelDirectlyToConsumerMemberhrs:AviationSystemsMember2018-06-302019-06-280000202058us-gaap:TransferredAtPointInTimeMemberus-gaap:SalesChannelThroughIntermediaryMemberhrs:AviationSystemsMember2021-01-022021-12-310000202058us-gaap:Tr</w:t>
      </w:r>
      <w:r>
        <w:rPr>
          <w:rFonts w:eastAsia="Times New Roman"/>
          <w:vanish/>
        </w:rPr>
        <w:t>ansferredAtPointInTimeMemberus-gaap:SalesChannelThroughIntermediaryMemberhrs:AviationSystemsMember2020-01-042021-01-010000202058us-gaap:TransferredAtPointInTimeMemberus-gaap:SalesChannelThroughIntermediaryMemberhrs:AviationSystemsMember2019-06-292020-01-03</w:t>
      </w:r>
      <w:r>
        <w:rPr>
          <w:rFonts w:eastAsia="Times New Roman"/>
          <w:vanish/>
        </w:rPr>
        <w:t>0000202058us-gaap:TransferredAtPointInTimeMemberus-gaap:SalesChannelThroughIntermediaryMemberhrs:AviationSystemsMember2018-06-302019-06-280000202058us-gaap:TransferredAtPointInTimeMemberus-gaap:IntersegmentEliminationMemberhrs:AviationSystemsMember2021-01-</w:t>
      </w:r>
      <w:r>
        <w:rPr>
          <w:rFonts w:eastAsia="Times New Roman"/>
          <w:vanish/>
        </w:rPr>
        <w:t>022021-12-310000202058us-gaap:TransferredAtPointInTimeMemberus-gaap:IntersegmentEliminationMemberhrs:AviationSystemsMember2020-01-042021-01-010000202058us-gaap:TransferredAtPointInTimeMemberus-gaap:IntersegmentEliminationMemberhrs:AviationSystemsMember2019</w:t>
      </w:r>
      <w:r>
        <w:rPr>
          <w:rFonts w:eastAsia="Times New Roman"/>
          <w:vanish/>
        </w:rPr>
        <w:t>-06-292020-01-030000202058us-gaap:TransferredAtPointInTimeMemberus-gaap:IntersegmentEliminationMemberhrs:AviationSystemsMember2018-06-302019-06-280000202058us-gaap:TransferredAtPointInTimeMemberhrs:AviationSystemsMember2021-01-022021-12-310000202058us-gaap</w:t>
      </w:r>
      <w:r>
        <w:rPr>
          <w:rFonts w:eastAsia="Times New Roman"/>
          <w:vanish/>
        </w:rPr>
        <w:t>:TransferredAtPointInTimeMemberhrs:AviationSystemsMember2020-01-042021-01-010000202058us-gaap:TransferredAtPointInTimeMemberhrs:AviationSystemsMember2019-06-292020-01-030000202058us-gaap:TransferredAtPointInTimeMemberhrs:AviationSystemsMember2018-06-302019</w:t>
      </w:r>
      <w:r>
        <w:rPr>
          <w:rFonts w:eastAsia="Times New Roman"/>
          <w:vanish/>
        </w:rPr>
        <w:t>-06-280000202058us-gaap:TransferredAtPointInTimeMemberus-gaap:FixedPriceContractMemberhrs:AviationSystemsMember2021-01-022021-12-310000202058us-gaap:TransferredAtPointInTimeMemberus-gaap:FixedPriceContractMemberhrs:AviationSystemsMember2020-01-042021-01-01</w:t>
      </w:r>
      <w:r>
        <w:rPr>
          <w:rFonts w:eastAsia="Times New Roman"/>
          <w:vanish/>
        </w:rPr>
        <w:t>0000202058us-gaap:TransferredAtPointInTimeMemberus-gaap:FixedPriceContractMemberhrs:AviationSystemsMember2019-06-292020-01-030000202058us-gaap:TransferredAtPointInTimeMemberus-gaap:FixedPriceContractMemberhrs:AviationSystemsMember2018-06-302019-06-28000020</w:t>
      </w:r>
      <w:r>
        <w:rPr>
          <w:rFonts w:eastAsia="Times New Roman"/>
          <w:vanish/>
        </w:rPr>
        <w:t>2058us-gaap:TransferredAtPointInTimeMemberhrs:CostreimbursableMemberhrs:AviationSystemsMember2021-01-022021-12-310000202058us-gaap:TransferredAtPointInTimeMemberhrs:CostreimbursableMemberhrs:AviationSystemsMember2020-01-042021-01-010000202058us-gaap:Transf</w:t>
      </w:r>
      <w:r>
        <w:rPr>
          <w:rFonts w:eastAsia="Times New Roman"/>
          <w:vanish/>
        </w:rPr>
        <w:t>erredAtPointInTimeMemberhrs:CostreimbursableMemberhrs:AviationSystemsMember2019-06-292020-01-030000202058us-gaap:TransferredAtPointInTimeMemberhrs:CostreimbursableMemberhrs:AviationSystemsMember2018-06-302019-06-280000202058us-gaap:TransferredAtPointInTime</w:t>
      </w:r>
      <w:r>
        <w:rPr>
          <w:rFonts w:eastAsia="Times New Roman"/>
          <w:vanish/>
        </w:rPr>
        <w:t>Membercountry:UShrs:AviationSystemsMember2021-01-022021-12-310000202058us-gaap:TransferredAtPointInTimeMembercountry:UShrs:AviationSystemsMember2020-01-042021-01-010000202058us-gaap:TransferredAtPointInTimeMembercountry:UShrs:AviationSystemsMember2019-06-2</w:t>
      </w:r>
      <w:r>
        <w:rPr>
          <w:rFonts w:eastAsia="Times New Roman"/>
          <w:vanish/>
        </w:rPr>
        <w:t>92020-01-030000202058us-gaap:TransferredAtPointInTimeMembercountry:UShrs:AviationSystemsMember2018-06-302019-06-280000202058us-gaap:TransferredAtPointInTimeMemberus-gaap:NonUsMemberhrs:AviationSystemsMember2021-01-022021-12-310000202058us-gaap:TransferredA</w:t>
      </w:r>
      <w:r>
        <w:rPr>
          <w:rFonts w:eastAsia="Times New Roman"/>
          <w:vanish/>
        </w:rPr>
        <w:t>tPointInTimeMemberus-gaap:NonUsMemberhrs:AviationSystemsMember2020-01-042021-01-010000202058us-gaap:TransferredAtPointInTimeMemberus-gaap:NonUsMemberhrs:AviationSystemsMember2019-06-292020-01-030000202058us-gaap:TransferredAtPointInTimeMemberus-gaap:NonUsM</w:t>
      </w:r>
      <w:r>
        <w:rPr>
          <w:rFonts w:eastAsia="Times New Roman"/>
          <w:vanish/>
        </w:rPr>
        <w:t>emberhrs:AviationSystemsMember2018-06-302019-06-280000202058hrs:IntegratedMissionSystemsMemberus-gaap:OperatingSegmentsMember2021-12-310000202058hrs:IntegratedMissionSystemsMemberus-gaap:OperatingSegmentsMember2021-01-010000202058us-gaap:OperatingSegmentsM</w:t>
      </w:r>
      <w:r>
        <w:rPr>
          <w:rFonts w:eastAsia="Times New Roman"/>
          <w:vanish/>
        </w:rPr>
        <w:t>emberhrs:SpaceandAirborneSystemsMember2021-12-310000202058us-gaap:OperatingSegmentsMemberhrs:SpaceandAirborneSystemsMember2021-01-010000202058us-gaap:OperatingSegmentsMemberhrs:CommunicationSystemsMember2021-12-310000202058us-gaap:OperatingSegmentsMemberhr</w:t>
      </w:r>
      <w:r>
        <w:rPr>
          <w:rFonts w:eastAsia="Times New Roman"/>
          <w:vanish/>
        </w:rPr>
        <w:t>s:CommunicationSystemsMember2021-01-010000202058us-gaap:OperatingSegmentsMemberhrs:AviationSystemsMember2021-12-310000202058us-gaap:OperatingSegmentsMemberhrs:AviationSystemsMember2021-01-010000202058us-gaap:CorporateNonSegmentMember2021-12-310000202058us-</w:t>
      </w:r>
      <w:r>
        <w:rPr>
          <w:rFonts w:eastAsia="Times New Roman"/>
          <w:vanish/>
        </w:rPr>
        <w:t>gaap:CorporateNonSegmentMember2021-01-010000202058us-gaap:OperatingSegmentsMemberus-gaap:AllOtherSegmentsMember2021-01-022021-12-310000202058us-gaap:OperatingSegmentsMemberus-gaap:AllOtherSegmentsMember2020-01-042021-01-010000202058us-gaap:OperatingSegment</w:t>
      </w:r>
      <w:r>
        <w:rPr>
          <w:rFonts w:eastAsia="Times New Roman"/>
          <w:vanish/>
        </w:rPr>
        <w:t>sMemberus-gaap:AllOtherSegmentsMember2019-06-292020-01-030000202058us-gaap:OperatingSegmentsMemberus-gaap:AllOtherSegmentsMember2018-06-302019-06-280000202058country:US2021-01-022021-12-310000202058country:US2020-01-042021-01-010000202058country:US2019-06-</w:t>
      </w:r>
      <w:r>
        <w:rPr>
          <w:rFonts w:eastAsia="Times New Roman"/>
          <w:vanish/>
        </w:rPr>
        <w:t>292020-01-030000202058country:US2018-06-302019-06-280000202058country:US2021-12-310000202058country:US2021-01-010000202058country:US2020-01-030000202058country:US2019-06-280000202058us-gaap:NonUsMember2021-01-022021-12-310000202058us-gaap:NonUsMember2020-0</w:t>
      </w:r>
      <w:r>
        <w:rPr>
          <w:rFonts w:eastAsia="Times New Roman"/>
          <w:vanish/>
        </w:rPr>
        <w:t>1-042021-01-010000202058us-gaap:NonUsMember2019-06-292020-01-030000202058us-gaap:NonUsMember2018-06-302019-06-280000202058us-gaap:NonUsMember2021-12-310000202058us-gaap:NonUsMember2021-01-010000202058us-gaap:NonUsMember2020-01-030000202058us-gaap:NonUsMemb</w:t>
      </w:r>
      <w:r>
        <w:rPr>
          <w:rFonts w:eastAsia="Times New Roman"/>
          <w:vanish/>
        </w:rPr>
        <w:t>er2019-06-280000202058hrs:USGovernmentMemberus-gaap:RevenueFromContractWithCustomerMemberus-gaap:GovernmentContractsConcentrationRiskMember2021-01-022021-12-310000202058hrs:USGovernmentMemberus-gaap:RevenueFromContractWithCustomerMemberus-gaap:GovernmentCo</w:t>
      </w:r>
      <w:r>
        <w:rPr>
          <w:rFonts w:eastAsia="Times New Roman"/>
          <w:vanish/>
        </w:rPr>
        <w:t>ntractsConcentrationRiskMember2020-01-042021-01-010000202058hrs:USGovernmentMemberus-gaap:RevenueFromContractWithCustomerMemberus-gaap:GovernmentContractsConcentrationRiskMember2019-06-292020-01-030000202058hrs:USGovernmentMemberus-gaap:RevenueFromContract</w:t>
      </w:r>
      <w:r>
        <w:rPr>
          <w:rFonts w:eastAsia="Times New Roman"/>
          <w:vanish/>
        </w:rPr>
        <w:t>WithCustomerMemberus-gaap:GovernmentContractsConcentrationRiskMember2018-06-302019-06-280000202058us-gaap:RevenueFromContractWithCustomerSegmentBenchmarkMemberhrs:IntegratedMissionSystemsMemberus-gaap:ProductConcentrationRiskMember2021-01-022021-12-3100002</w:t>
      </w:r>
      <w:r>
        <w:rPr>
          <w:rFonts w:eastAsia="Times New Roman"/>
          <w:vanish/>
        </w:rPr>
        <w:t>02058us-gaap:RevenueFromContractWithCustomerSegmentBenchmarkMemberus-gaap:ProductConcentrationRiskMemberhrs:SpaceandAirborneSystemsMember2020-01-042021-01-010000202058us-gaap:RevenueFromContractWithCustomerSegmentBenchmarkMemberus-gaap:ProductConcentration</w:t>
      </w:r>
      <w:r>
        <w:rPr>
          <w:rFonts w:eastAsia="Times New Roman"/>
          <w:vanish/>
        </w:rPr>
        <w:t>RiskMemberhrs:CommunicationSystemsMember2019-06-292020-01-030000202058us-gaap:RevenueFromContractWithCustomerSegmentBenchmarkMemberus-gaap:ProductConcentrationRiskMemberhrs:AviationSystemsMember2018-06-302019-06-280000202058us-gaap:RevenueFromContractWithC</w:t>
      </w:r>
      <w:r>
        <w:rPr>
          <w:rFonts w:eastAsia="Times New Roman"/>
          <w:vanish/>
        </w:rPr>
        <w:t>ustomerProductAndServiceBenchmarkMemberus-gaap:GeographicConcentrationRiskMemberus-gaap:NonUsMember2021-01-022021-12-310000202058us-gaap:RevenueFromContractWithCustomerProductAndServiceBenchmarkMemberus-gaap:GeographicConcentrationRiskMemberus-gaap:NonUsMe</w:t>
      </w:r>
      <w:r>
        <w:rPr>
          <w:rFonts w:eastAsia="Times New Roman"/>
          <w:vanish/>
        </w:rPr>
        <w:t>mber2020-01-042021-01-010000202058us-gaap:RevenueFromContractWithCustomerProductAndServiceBenchmarkMemberus-gaap:GeographicConcentrationRiskMemberus-gaap:NonUsMember2019-06-292020-01-030000202058us-gaap:RevenueFromContractWithCustomerProductAndServiceBench</w:t>
      </w:r>
      <w:r>
        <w:rPr>
          <w:rFonts w:eastAsia="Times New Roman"/>
          <w:vanish/>
        </w:rPr>
        <w:t>markMemberus-gaap:GeographicConcentrationRiskMemberus-gaap:NonUsMember2018-06-302019-06-280000202058us-gaap:SettledLitigationMemberus-gaap:UnfavorableRegulatoryActionMember2019-09-300000202058us-gaap:SettledLitigationMemberus-gaap:UnfavorableRegulatoryActi</w:t>
      </w:r>
      <w:r>
        <w:rPr>
          <w:rFonts w:eastAsia="Times New Roman"/>
          <w:vanish/>
        </w:rPr>
        <w:t>onMember2019-09-012019-09-300000202058hrs:ExelisMemberhrs:PassaicRiverAlaskaMember2016-03-012016-03-31hrs:responsible_party0000202058hrs:ExelisMemberhrs:PassaicRiverAlaskaMember2021-01-022021-12-310000202058hrs:ExelisMemberhrs:PassaicRiverAlaskaMember2021-</w:t>
      </w:r>
      <w:r>
        <w:rPr>
          <w:rFonts w:eastAsia="Times New Roman"/>
          <w:vanish/>
        </w:rPr>
        <w:t>10-022021-12-3100002020582018-06-302018-12-28</w:t>
      </w:r>
    </w:p>
    <w:p w:rsidR="00000000" w:rsidRDefault="00AE54EE">
      <w:pPr>
        <w:ind w:firstLine="450"/>
        <w:jc w:val="center"/>
        <w:divId w:val="1133065079"/>
        <w:rPr>
          <w:rFonts w:eastAsia="Times New Roman"/>
        </w:rPr>
      </w:pPr>
    </w:p>
    <w:p w:rsidR="00000000" w:rsidRDefault="00AE54EE">
      <w:pPr>
        <w:ind w:firstLine="450"/>
        <w:jc w:val="center"/>
        <w:divId w:val="1709799679"/>
        <w:rPr>
          <w:rFonts w:eastAsia="Times New Roman"/>
        </w:rPr>
      </w:pPr>
    </w:p>
    <w:p w:rsidR="00000000" w:rsidRDefault="00AE54EE">
      <w:pPr>
        <w:ind w:firstLine="450"/>
        <w:jc w:val="center"/>
        <w:divId w:val="110711592"/>
        <w:rPr>
          <w:rFonts w:eastAsia="Times New Roman"/>
        </w:rPr>
      </w:pPr>
    </w:p>
    <w:p w:rsidR="00000000" w:rsidRDefault="00AE54EE">
      <w:pPr>
        <w:ind w:firstLine="450"/>
        <w:jc w:val="center"/>
        <w:divId w:val="1478105241"/>
        <w:rPr>
          <w:rFonts w:eastAsia="Times New Roman"/>
        </w:rPr>
      </w:pPr>
    </w:p>
    <w:p w:rsidR="00000000" w:rsidRDefault="00AE54EE">
      <w:pPr>
        <w:ind w:firstLine="450"/>
        <w:jc w:val="center"/>
        <w:rPr>
          <w:rFonts w:eastAsia="Times New Roman"/>
        </w:rPr>
      </w:pPr>
      <w:r>
        <w:rPr>
          <w:rFonts w:eastAsia="Times New Roman"/>
          <w:b/>
          <w:bCs/>
          <w:color w:val="000000"/>
          <w:sz w:val="20"/>
          <w:szCs w:val="20"/>
        </w:rPr>
        <w:t>UNITED STATES</w:t>
      </w:r>
    </w:p>
    <w:p w:rsidR="00000000" w:rsidRDefault="00AE54EE">
      <w:pPr>
        <w:ind w:firstLine="450"/>
        <w:jc w:val="center"/>
        <w:rPr>
          <w:rFonts w:eastAsia="Times New Roman"/>
        </w:rPr>
      </w:pPr>
      <w:r>
        <w:rPr>
          <w:rFonts w:eastAsia="Times New Roman"/>
          <w:b/>
          <w:bCs/>
          <w:color w:val="000000"/>
          <w:sz w:val="28"/>
          <w:szCs w:val="28"/>
        </w:rPr>
        <w:t>SECURITIES AND EXCHANGE COMMISSION</w:t>
      </w:r>
    </w:p>
    <w:p w:rsidR="00000000" w:rsidRDefault="00AE54EE">
      <w:pPr>
        <w:ind w:firstLine="450"/>
        <w:jc w:val="center"/>
        <w:rPr>
          <w:rFonts w:eastAsia="Times New Roman"/>
        </w:rPr>
      </w:pPr>
      <w:r>
        <w:rPr>
          <w:rFonts w:eastAsia="Times New Roman"/>
          <w:b/>
          <w:bCs/>
          <w:color w:val="000000"/>
          <w:sz w:val="20"/>
          <w:szCs w:val="20"/>
        </w:rPr>
        <w:t>WASHINGTON, D.C. 20549</w:t>
      </w:r>
    </w:p>
    <w:p w:rsidR="00000000" w:rsidRDefault="00AE54EE">
      <w:pPr>
        <w:ind w:firstLine="450"/>
        <w:jc w:val="center"/>
        <w:rPr>
          <w:rFonts w:eastAsia="Times New Roman"/>
        </w:rPr>
      </w:pPr>
      <w:r>
        <w:rPr>
          <w:rFonts w:eastAsia="Times New Roman"/>
          <w:b/>
          <w:bCs/>
          <w:color w:val="000000"/>
          <w:sz w:val="28"/>
          <w:szCs w:val="28"/>
        </w:rPr>
        <w:t>FORM 10-K</w:t>
      </w:r>
    </w:p>
    <w:p w:rsidR="00000000" w:rsidRDefault="00AE54EE">
      <w:pPr>
        <w:ind w:firstLine="450"/>
        <w:divId w:val="1666469590"/>
        <w:rPr>
          <w:rFonts w:eastAsia="Times New Roman"/>
        </w:rPr>
      </w:pPr>
      <w:r>
        <w:rPr>
          <w:rFonts w:eastAsia="Times New Roman"/>
          <w:b/>
          <w:bCs/>
          <w:color w:val="000000"/>
          <w:sz w:val="16"/>
          <w:szCs w:val="16"/>
        </w:rPr>
        <w:t>(Mark One)</w:t>
      </w:r>
    </w:p>
    <w:tbl>
      <w:tblPr>
        <w:tblW w:w="4913" w:type="pct"/>
        <w:tblCellMar>
          <w:top w:w="15" w:type="dxa"/>
          <w:left w:w="15" w:type="dxa"/>
          <w:bottom w:w="15" w:type="dxa"/>
          <w:right w:w="15" w:type="dxa"/>
        </w:tblCellMar>
        <w:tblLook w:val="04A0" w:firstRow="1" w:lastRow="0" w:firstColumn="1" w:lastColumn="0" w:noHBand="0" w:noVBand="1"/>
      </w:tblPr>
      <w:tblGrid>
        <w:gridCol w:w="67"/>
        <w:gridCol w:w="290"/>
        <w:gridCol w:w="36"/>
        <w:gridCol w:w="68"/>
        <w:gridCol w:w="7664"/>
        <w:gridCol w:w="36"/>
      </w:tblGrid>
      <w:tr w:rsidR="00000000">
        <w:trPr>
          <w:divId w:val="1491095874"/>
        </w:trPr>
        <w:tc>
          <w:tcPr>
            <w:tcW w:w="50" w:type="pct"/>
            <w:vAlign w:val="center"/>
            <w:hideMark/>
          </w:tcPr>
          <w:p w:rsidR="00000000" w:rsidRDefault="00AE54EE">
            <w:pPr>
              <w:ind w:firstLine="450"/>
              <w:rPr>
                <w:rFonts w:eastAsia="Times New Roman"/>
              </w:rPr>
            </w:pPr>
          </w:p>
        </w:tc>
        <w:tc>
          <w:tcPr>
            <w:tcW w:w="18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70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491095874"/>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ANNUAL REPORT PURSUANT TO SECTION 13 OR 15(d) OF THE SECURITIES EXCHANGE ACT OF 1934</w:t>
            </w:r>
          </w:p>
        </w:tc>
      </w:tr>
    </w:tbl>
    <w:p w:rsidR="00000000" w:rsidRDefault="00AE54EE">
      <w:pPr>
        <w:ind w:firstLine="450"/>
        <w:jc w:val="center"/>
        <w:rPr>
          <w:rFonts w:eastAsia="Times New Roman"/>
        </w:rPr>
      </w:pPr>
      <w:r>
        <w:rPr>
          <w:rFonts w:eastAsia="Times New Roman"/>
          <w:b/>
          <w:bCs/>
          <w:color w:val="000000"/>
          <w:sz w:val="20"/>
          <w:szCs w:val="20"/>
        </w:rPr>
        <w:t xml:space="preserve">For the fiscal year ended December 31, 2021 </w:t>
      </w:r>
    </w:p>
    <w:p w:rsidR="00000000" w:rsidRDefault="00AE54EE">
      <w:pPr>
        <w:ind w:firstLine="450"/>
        <w:jc w:val="center"/>
        <w:rPr>
          <w:rFonts w:eastAsia="Times New Roman"/>
        </w:rPr>
      </w:pPr>
      <w:r>
        <w:rPr>
          <w:rFonts w:eastAsia="Times New Roman"/>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7"/>
        <w:gridCol w:w="37"/>
      </w:tblGrid>
      <w:tr w:rsidR="00000000">
        <w:trPr>
          <w:divId w:val="516889954"/>
        </w:trPr>
        <w:tc>
          <w:tcPr>
            <w:tcW w:w="50" w:type="pct"/>
            <w:vAlign w:val="center"/>
            <w:hideMark/>
          </w:tcPr>
          <w:p w:rsidR="00000000" w:rsidRDefault="00AE54EE">
            <w:pPr>
              <w:ind w:firstLine="450"/>
              <w:jc w:val="center"/>
              <w:rPr>
                <w:rFonts w:eastAsia="Times New Roman"/>
              </w:rPr>
            </w:pPr>
          </w:p>
        </w:tc>
        <w:tc>
          <w:tcPr>
            <w:tcW w:w="18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70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51688995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ascii="Wingdings" w:eastAsia="Times New Roman" w:hAnsi="Wingdings"/>
                <w:color w:val="000000"/>
                <w:sz w:val="18"/>
                <w:szCs w:val="18"/>
              </w:rPr>
              <w:t>☐</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TRANSITION REPORT PURSUANT TO SECTION 13 OR 15(d) OF THE SECURITIES EXCHANGE ACT OF 1934</w:t>
            </w:r>
          </w:p>
        </w:tc>
      </w:tr>
      <w:tr w:rsidR="00000000">
        <w:trPr>
          <w:divId w:val="516889954"/>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20"/>
                <w:szCs w:val="20"/>
              </w:rPr>
              <w:t>For the transition period from _______________ to ______________</w:t>
            </w:r>
          </w:p>
        </w:tc>
      </w:tr>
    </w:tbl>
    <w:p w:rsidR="00000000" w:rsidRDefault="00AE54EE">
      <w:pPr>
        <w:ind w:firstLine="450"/>
        <w:jc w:val="center"/>
        <w:rPr>
          <w:rFonts w:eastAsia="Times New Roman"/>
        </w:rPr>
      </w:pPr>
      <w:r>
        <w:rPr>
          <w:rFonts w:eastAsia="Times New Roman"/>
          <w:color w:val="000000"/>
          <w:sz w:val="20"/>
          <w:szCs w:val="20"/>
        </w:rPr>
        <w:t xml:space="preserve">Commission File Number 1-3863 </w:t>
      </w:r>
    </w:p>
    <w:p w:rsidR="00000000" w:rsidRDefault="00AE54EE">
      <w:pPr>
        <w:ind w:firstLine="45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E54EE">
      <w:pPr>
        <w:ind w:firstLine="450"/>
        <w:jc w:val="center"/>
        <w:rPr>
          <w:rFonts w:eastAsia="Times New Roman"/>
        </w:rPr>
      </w:pPr>
      <w:r>
        <w:rPr>
          <w:rFonts w:eastAsia="Times New Roman"/>
          <w:b/>
          <w:bCs/>
          <w:color w:val="000000"/>
          <w:sz w:val="40"/>
          <w:szCs w:val="40"/>
        </w:rPr>
        <w:t xml:space="preserve">L3HARRIS TECHNOLOGIES, INC. </w:t>
      </w:r>
    </w:p>
    <w:p w:rsidR="00000000" w:rsidRDefault="00AE54EE">
      <w:pPr>
        <w:ind w:firstLine="450"/>
        <w:jc w:val="center"/>
        <w:rPr>
          <w:rFonts w:eastAsia="Times New Roman"/>
        </w:rPr>
      </w:pPr>
      <w:r>
        <w:rPr>
          <w:rFonts w:eastAsia="Times New Roman"/>
          <w:color w:val="000000"/>
          <w:sz w:val="16"/>
          <w:szCs w:val="16"/>
        </w:rPr>
        <w:t>(Exact name of registrant as specified in its charter)</w:t>
      </w:r>
    </w:p>
    <w:tbl>
      <w:tblPr>
        <w:tblW w:w="4913" w:type="pct"/>
        <w:jc w:val="center"/>
        <w:tblCellMar>
          <w:top w:w="15" w:type="dxa"/>
          <w:left w:w="15" w:type="dxa"/>
          <w:bottom w:w="15" w:type="dxa"/>
          <w:right w:w="15" w:type="dxa"/>
        </w:tblCellMar>
        <w:tblLook w:val="04A0" w:firstRow="1" w:lastRow="0" w:firstColumn="1" w:lastColumn="0" w:noHBand="0" w:noVBand="1"/>
      </w:tblPr>
      <w:tblGrid>
        <w:gridCol w:w="67"/>
        <w:gridCol w:w="3009"/>
        <w:gridCol w:w="38"/>
        <w:gridCol w:w="67"/>
        <w:gridCol w:w="647"/>
        <w:gridCol w:w="36"/>
        <w:gridCol w:w="68"/>
        <w:gridCol w:w="1148"/>
        <w:gridCol w:w="36"/>
        <w:gridCol w:w="68"/>
        <w:gridCol w:w="2940"/>
        <w:gridCol w:w="37"/>
      </w:tblGrid>
      <w:tr w:rsidR="00000000">
        <w:trPr>
          <w:jc w:val="center"/>
        </w:trPr>
        <w:tc>
          <w:tcPr>
            <w:tcW w:w="50" w:type="pct"/>
            <w:vAlign w:val="center"/>
            <w:hideMark/>
          </w:tcPr>
          <w:p w:rsidR="00000000" w:rsidRDefault="00AE54EE">
            <w:pPr>
              <w:ind w:firstLine="450"/>
              <w:jc w:val="center"/>
              <w:rPr>
                <w:rFonts w:eastAsia="Times New Roman"/>
              </w:rPr>
            </w:pPr>
          </w:p>
        </w:tc>
        <w:tc>
          <w:tcPr>
            <w:tcW w:w="185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0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1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80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hideMark/>
          </w:tcPr>
          <w:p w:rsidR="00000000" w:rsidRDefault="00AE54EE">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jc w:val="center"/>
              <w:rPr>
                <w:rFonts w:eastAsia="Times New Roman"/>
              </w:rPr>
            </w:pPr>
            <w:r>
              <w:rPr>
                <w:rFonts w:eastAsia="Times New Roman"/>
                <w:b/>
                <w:bCs/>
                <w:color w:val="000000"/>
                <w:sz w:val="18"/>
                <w:szCs w:val="18"/>
              </w:rPr>
              <w:t>34-0276860</w:t>
            </w:r>
          </w:p>
        </w:tc>
      </w:tr>
      <w:tr w:rsidR="00000000">
        <w:trPr>
          <w:jc w:val="center"/>
        </w:trPr>
        <w:tc>
          <w:tcPr>
            <w:tcW w:w="0" w:type="auto"/>
            <w:gridSpan w:val="6"/>
            <w:tcMar>
              <w:top w:w="30" w:type="dxa"/>
              <w:left w:w="20" w:type="dxa"/>
              <w:bottom w:w="30" w:type="dxa"/>
              <w:right w:w="20" w:type="dxa"/>
            </w:tcMar>
            <w:hideMark/>
          </w:tcPr>
          <w:p w:rsidR="00000000" w:rsidRDefault="00AE54EE">
            <w:pPr>
              <w:spacing w:after="100"/>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jc w:val="center"/>
              <w:rPr>
                <w:rFonts w:eastAsia="Times New Roman"/>
              </w:rPr>
            </w:pPr>
            <w:r>
              <w:rPr>
                <w:rFonts w:eastAsia="Times New Roman"/>
                <w:color w:val="000000"/>
                <w:sz w:val="16"/>
                <w:szCs w:val="16"/>
              </w:rPr>
              <w:t>(I.R.S. Employer Identification No.)</w:t>
            </w:r>
          </w:p>
        </w:tc>
      </w:tr>
    </w:tbl>
    <w:p w:rsidR="00000000" w:rsidRDefault="00AE54EE">
      <w:pPr>
        <w:ind w:firstLine="450"/>
        <w:divId w:val="507137083"/>
        <w:rPr>
          <w:rFonts w:eastAsia="Times New Roman"/>
          <w:vanish/>
        </w:rPr>
      </w:pPr>
    </w:p>
    <w:tbl>
      <w:tblPr>
        <w:tblW w:w="4906" w:type="pct"/>
        <w:tblCellMar>
          <w:top w:w="15" w:type="dxa"/>
          <w:left w:w="15" w:type="dxa"/>
          <w:bottom w:w="15" w:type="dxa"/>
          <w:right w:w="15" w:type="dxa"/>
        </w:tblCellMar>
        <w:tblLook w:val="04A0" w:firstRow="1" w:lastRow="0" w:firstColumn="1" w:lastColumn="0" w:noHBand="0" w:noVBand="1"/>
      </w:tblPr>
      <w:tblGrid>
        <w:gridCol w:w="60"/>
        <w:gridCol w:w="1714"/>
        <w:gridCol w:w="38"/>
        <w:gridCol w:w="86"/>
        <w:gridCol w:w="516"/>
        <w:gridCol w:w="37"/>
        <w:gridCol w:w="61"/>
        <w:gridCol w:w="1094"/>
        <w:gridCol w:w="36"/>
        <w:gridCol w:w="61"/>
        <w:gridCol w:w="1381"/>
        <w:gridCol w:w="36"/>
        <w:gridCol w:w="61"/>
        <w:gridCol w:w="2933"/>
        <w:gridCol w:w="36"/>
      </w:tblGrid>
      <w:tr w:rsidR="00000000">
        <w:trPr>
          <w:divId w:val="507137083"/>
        </w:trPr>
        <w:tc>
          <w:tcPr>
            <w:tcW w:w="50" w:type="pct"/>
            <w:vAlign w:val="center"/>
            <w:hideMark/>
          </w:tcPr>
          <w:p w:rsidR="00000000" w:rsidRDefault="00AE54EE">
            <w:pPr>
              <w:ind w:firstLine="450"/>
              <w:jc w:val="center"/>
              <w:rPr>
                <w:rFonts w:eastAsia="Times New Roman"/>
              </w:rPr>
            </w:pPr>
          </w:p>
        </w:tc>
        <w:tc>
          <w:tcPr>
            <w:tcW w:w="106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0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8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86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81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507137083"/>
        </w:trPr>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8"/>
                <w:szCs w:val="18"/>
              </w:rPr>
              <w:t>1025 West NASA Boulevard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07137083"/>
        </w:trPr>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b/>
                <w:bCs/>
                <w:color w:val="000000"/>
                <w:sz w:val="18"/>
                <w:szCs w:val="18"/>
              </w:rPr>
              <w:t>Melbourne,</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8"/>
                <w:szCs w:val="18"/>
              </w:rPr>
              <w:t>Florida</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8"/>
                <w:szCs w:val="18"/>
              </w:rPr>
              <w:t>32919</w:t>
            </w:r>
          </w:p>
        </w:tc>
      </w:tr>
      <w:tr w:rsidR="00000000">
        <w:trPr>
          <w:divId w:val="507137083"/>
        </w:trPr>
        <w:tc>
          <w:tcPr>
            <w:tcW w:w="0" w:type="auto"/>
            <w:gridSpan w:val="9"/>
            <w:tcMar>
              <w:top w:w="30" w:type="dxa"/>
              <w:left w:w="20" w:type="dxa"/>
              <w:bottom w:w="30" w:type="dxa"/>
              <w:right w:w="20" w:type="dxa"/>
            </w:tcMar>
            <w:hideMark/>
          </w:tcPr>
          <w:p w:rsidR="00000000" w:rsidRDefault="00AE54EE">
            <w:pPr>
              <w:spacing w:after="100"/>
              <w:jc w:val="center"/>
              <w:rPr>
                <w:rFonts w:eastAsia="Times New Roman"/>
              </w:rPr>
            </w:pPr>
            <w:r>
              <w:rPr>
                <w:rFonts w:eastAsia="Times New Roman"/>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E54EE">
            <w:pPr>
              <w:spacing w:after="100"/>
              <w:jc w:val="center"/>
              <w:rPr>
                <w:rFonts w:eastAsia="Times New Roman"/>
              </w:rPr>
            </w:pPr>
            <w:r>
              <w:rPr>
                <w:rFonts w:eastAsia="Times New Roman"/>
                <w:color w:val="000000"/>
                <w:sz w:val="16"/>
                <w:szCs w:val="16"/>
              </w:rPr>
              <w:t>(Zip Code)</w:t>
            </w:r>
          </w:p>
        </w:tc>
      </w:tr>
    </w:tbl>
    <w:p w:rsidR="00000000" w:rsidRDefault="00AE54EE">
      <w:pPr>
        <w:ind w:firstLine="450"/>
        <w:jc w:val="center"/>
        <w:rPr>
          <w:rFonts w:eastAsia="Times New Roman"/>
        </w:rPr>
      </w:pPr>
      <w:r>
        <w:rPr>
          <w:rFonts w:eastAsia="Times New Roman"/>
          <w:b/>
          <w:bCs/>
          <w:color w:val="000000"/>
          <w:sz w:val="18"/>
          <w:szCs w:val="18"/>
        </w:rPr>
        <w:t xml:space="preserve">Registrant’s telephone number, including area code: (321) 727-9100 </w:t>
      </w:r>
    </w:p>
    <w:tbl>
      <w:tblPr>
        <w:tblW w:w="4892" w:type="pct"/>
        <w:jc w:val="center"/>
        <w:tblCellMar>
          <w:top w:w="15" w:type="dxa"/>
          <w:left w:w="15" w:type="dxa"/>
          <w:bottom w:w="15" w:type="dxa"/>
          <w:right w:w="15" w:type="dxa"/>
        </w:tblCellMar>
        <w:tblLook w:val="04A0" w:firstRow="1" w:lastRow="0" w:firstColumn="1" w:lastColumn="0" w:noHBand="0" w:noVBand="1"/>
      </w:tblPr>
      <w:tblGrid>
        <w:gridCol w:w="66"/>
        <w:gridCol w:w="2844"/>
        <w:gridCol w:w="39"/>
        <w:gridCol w:w="66"/>
        <w:gridCol w:w="218"/>
        <w:gridCol w:w="37"/>
        <w:gridCol w:w="67"/>
        <w:gridCol w:w="1483"/>
        <w:gridCol w:w="37"/>
        <w:gridCol w:w="67"/>
        <w:gridCol w:w="218"/>
        <w:gridCol w:w="36"/>
        <w:gridCol w:w="67"/>
        <w:gridCol w:w="2845"/>
        <w:gridCol w:w="37"/>
      </w:tblGrid>
      <w:tr w:rsidR="00000000">
        <w:trPr>
          <w:jc w:val="center"/>
        </w:trPr>
        <w:tc>
          <w:tcPr>
            <w:tcW w:w="50" w:type="pct"/>
            <w:vAlign w:val="center"/>
            <w:hideMark/>
          </w:tcPr>
          <w:p w:rsidR="00000000" w:rsidRDefault="00AE54EE">
            <w:pPr>
              <w:ind w:firstLine="450"/>
              <w:jc w:val="center"/>
              <w:rPr>
                <w:rFonts w:eastAsia="Times New Roman"/>
              </w:rPr>
            </w:pPr>
          </w:p>
        </w:tc>
        <w:tc>
          <w:tcPr>
            <w:tcW w:w="175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4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92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4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75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Securities registered pursuant to Section 12(b) of the Act:</w:t>
            </w:r>
          </w:p>
        </w:tc>
      </w:tr>
      <w:tr w:rsidR="00000000">
        <w:trPr>
          <w:jc w:val="center"/>
        </w:trPr>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Name of each exchange on which registered</w:t>
            </w: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16"/>
                <w:szCs w:val="16"/>
              </w:rPr>
              <w:t>Common Stock, par value $1.00 per share</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16"/>
                <w:szCs w:val="16"/>
              </w:rPr>
              <w:t>LHX</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16"/>
                <w:szCs w:val="16"/>
              </w:rPr>
              <w:t>New York Stock Exchange</w:t>
            </w:r>
          </w:p>
        </w:tc>
      </w:tr>
    </w:tbl>
    <w:p w:rsidR="00000000" w:rsidRDefault="00AE54EE">
      <w:pPr>
        <w:ind w:firstLine="450"/>
        <w:jc w:val="center"/>
        <w:divId w:val="316039192"/>
        <w:rPr>
          <w:rFonts w:eastAsia="Times New Roman"/>
        </w:rPr>
      </w:pPr>
      <w:r>
        <w:rPr>
          <w:rFonts w:eastAsia="Times New Roman"/>
          <w:b/>
          <w:bCs/>
          <w:color w:val="000000"/>
          <w:sz w:val="18"/>
          <w:szCs w:val="18"/>
        </w:rPr>
        <w:t>Securities Registered Pursuant to Section 12(g) of the Act:</w:t>
      </w:r>
      <w:r>
        <w:rPr>
          <w:rFonts w:eastAsia="Times New Roman"/>
          <w:color w:val="000000"/>
          <w:sz w:val="18"/>
          <w:szCs w:val="18"/>
        </w:rPr>
        <w:t xml:space="preserve"> None </w:t>
      </w:r>
    </w:p>
    <w:p w:rsidR="00000000" w:rsidRDefault="00AE54EE">
      <w:pPr>
        <w:ind w:firstLine="450"/>
        <w:divId w:val="592974799"/>
        <w:rPr>
          <w:rFonts w:eastAsia="Times New Roman"/>
        </w:rPr>
      </w:pPr>
      <w:r>
        <w:rPr>
          <w:rFonts w:eastAsia="Times New Roman"/>
          <w:color w:val="000000"/>
          <w:sz w:val="18"/>
          <w:szCs w:val="18"/>
        </w:rPr>
        <w:t>Indicate by check mark if the registrant is a well-known seasoned issuer, as defined in Rule 405 of the Securities Act.   Yes  </w:t>
      </w:r>
      <w:r>
        <w:rPr>
          <w:rFonts w:ascii="Wingdings" w:eastAsia="Times New Roman" w:hAnsi="Wingdings"/>
          <w:color w:val="000000"/>
          <w:sz w:val="18"/>
          <w:szCs w:val="18"/>
        </w:rPr>
        <w:t>þ</w:t>
      </w:r>
      <w:r>
        <w:rPr>
          <w:rFonts w:eastAsia="Times New Roman"/>
          <w:color w:val="000000"/>
          <w:sz w:val="18"/>
          <w:szCs w:val="18"/>
        </w:rPr>
        <w:t>   No  </w:t>
      </w:r>
      <w:r>
        <w:rPr>
          <w:rFonts w:ascii="Wingdings" w:eastAsia="Times New Roman" w:hAnsi="Wingdings"/>
          <w:color w:val="000000"/>
          <w:sz w:val="18"/>
          <w:szCs w:val="18"/>
        </w:rPr>
        <w:t>¨</w:t>
      </w:r>
    </w:p>
    <w:p w:rsidR="00000000" w:rsidRDefault="00AE54EE">
      <w:pPr>
        <w:ind w:firstLine="450"/>
        <w:divId w:val="1879202298"/>
        <w:rPr>
          <w:rFonts w:eastAsia="Times New Roman"/>
        </w:rPr>
      </w:pPr>
      <w:r>
        <w:rPr>
          <w:rFonts w:eastAsia="Times New Roman"/>
          <w:color w:val="000000"/>
          <w:sz w:val="18"/>
          <w:szCs w:val="18"/>
        </w:rPr>
        <w:t>Indicate by check mark if the registrant is not required to file reports pursuant to Section 13 or Section 15(d) of the</w:t>
      </w:r>
      <w:r>
        <w:rPr>
          <w:rFonts w:eastAsia="Times New Roman"/>
          <w:color w:val="000000"/>
          <w:sz w:val="18"/>
          <w:szCs w:val="18"/>
        </w:rPr>
        <w:t xml:space="preserve"> Act.   Yes  </w:t>
      </w:r>
      <w:r>
        <w:rPr>
          <w:rFonts w:ascii="Wingdings" w:eastAsia="Times New Roman" w:hAnsi="Wingdings"/>
          <w:color w:val="000000"/>
          <w:sz w:val="18"/>
          <w:szCs w:val="18"/>
        </w:rPr>
        <w:t>¨</w:t>
      </w:r>
      <w:r>
        <w:rPr>
          <w:rFonts w:eastAsia="Times New Roman"/>
          <w:color w:val="000000"/>
          <w:sz w:val="18"/>
          <w:szCs w:val="18"/>
        </w:rPr>
        <w:t>   No  </w:t>
      </w:r>
      <w:r>
        <w:rPr>
          <w:rFonts w:ascii="Wingdings" w:eastAsia="Times New Roman" w:hAnsi="Wingdings"/>
          <w:color w:val="000000"/>
          <w:sz w:val="18"/>
          <w:szCs w:val="18"/>
        </w:rPr>
        <w:t>þ</w:t>
      </w:r>
    </w:p>
    <w:p w:rsidR="00000000" w:rsidRDefault="00AE54EE">
      <w:pPr>
        <w:ind w:firstLine="450"/>
        <w:divId w:val="1842701996"/>
        <w:rPr>
          <w:rFonts w:eastAsia="Times New Roman"/>
        </w:rPr>
      </w:pPr>
      <w:r>
        <w:rPr>
          <w:rFonts w:eastAsia="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w:t>
      </w:r>
      <w:r>
        <w:rPr>
          <w:rFonts w:eastAsia="Times New Roman"/>
          <w:color w:val="000000"/>
          <w:sz w:val="18"/>
          <w:szCs w:val="18"/>
        </w:rPr>
        <w:t xml:space="preserve"> was required to file such reports), and (2) has been subject to such filing requirements for the past 90 days.   Yes  </w:t>
      </w:r>
      <w:r>
        <w:rPr>
          <w:rFonts w:ascii="Wingdings" w:eastAsia="Times New Roman" w:hAnsi="Wingdings"/>
          <w:color w:val="000000"/>
          <w:sz w:val="18"/>
          <w:szCs w:val="18"/>
        </w:rPr>
        <w:t>þ</w:t>
      </w:r>
      <w:r>
        <w:rPr>
          <w:rFonts w:eastAsia="Times New Roman"/>
          <w:color w:val="000000"/>
          <w:sz w:val="18"/>
          <w:szCs w:val="18"/>
        </w:rPr>
        <w:t>   No  </w:t>
      </w:r>
      <w:r>
        <w:rPr>
          <w:rFonts w:ascii="Wingdings" w:eastAsia="Times New Roman" w:hAnsi="Wingdings"/>
          <w:color w:val="000000"/>
          <w:sz w:val="18"/>
          <w:szCs w:val="18"/>
        </w:rPr>
        <w:t>¨</w:t>
      </w:r>
    </w:p>
    <w:p w:rsidR="00000000" w:rsidRDefault="00AE54EE">
      <w:pPr>
        <w:ind w:firstLine="450"/>
        <w:divId w:val="1989555575"/>
        <w:rPr>
          <w:rFonts w:eastAsia="Times New Roman"/>
        </w:rPr>
      </w:pPr>
      <w:r>
        <w:rPr>
          <w:rFonts w:eastAsia="Times New Roman"/>
          <w:color w:val="000000"/>
          <w:sz w:val="18"/>
          <w:szCs w:val="18"/>
        </w:rPr>
        <w:t>Indicate by check mark whether the registrant has submitted electronically every Interactive Data File required to be submitted</w:t>
      </w:r>
      <w:r>
        <w:rPr>
          <w:rFonts w:eastAsia="Times New Roman"/>
          <w:color w:val="000000"/>
          <w:sz w:val="18"/>
          <w:szCs w:val="18"/>
        </w:rPr>
        <w:t xml:space="preserve"> pursuant to Rule 405 of Regulation S-T during the preceding 12 months (or for such shorter period that the registrant was required to submit such files).   Yes  </w:t>
      </w:r>
      <w:r>
        <w:rPr>
          <w:rFonts w:ascii="Wingdings" w:eastAsia="Times New Roman" w:hAnsi="Wingdings"/>
          <w:color w:val="000000"/>
          <w:sz w:val="18"/>
          <w:szCs w:val="18"/>
        </w:rPr>
        <w:t>þ</w:t>
      </w:r>
      <w:r>
        <w:rPr>
          <w:rFonts w:eastAsia="Times New Roman"/>
          <w:color w:val="000000"/>
          <w:sz w:val="18"/>
          <w:szCs w:val="18"/>
        </w:rPr>
        <w:t xml:space="preserve">   No  </w:t>
      </w:r>
      <w:r>
        <w:rPr>
          <w:rFonts w:ascii="Wingdings" w:eastAsia="Times New Roman" w:hAnsi="Wingdings"/>
          <w:color w:val="000000"/>
          <w:sz w:val="18"/>
          <w:szCs w:val="18"/>
        </w:rPr>
        <w:t>¨</w:t>
      </w:r>
    </w:p>
    <w:p w:rsidR="00000000" w:rsidRDefault="00AE54EE">
      <w:pPr>
        <w:ind w:firstLine="450"/>
        <w:divId w:val="971864239"/>
        <w:rPr>
          <w:rFonts w:eastAsia="Times New Roman"/>
        </w:rPr>
      </w:pPr>
      <w:r>
        <w:rPr>
          <w:rFonts w:eastAsia="Times New Roman"/>
          <w:color w:val="000000"/>
          <w:sz w:val="18"/>
          <w:szCs w:val="18"/>
        </w:rPr>
        <w:t>Indicate by check mark whether the registrant is a large accelerated filer, an accel</w:t>
      </w:r>
      <w:r>
        <w:rPr>
          <w:rFonts w:eastAsia="Times New Roman"/>
          <w:color w:val="000000"/>
          <w:sz w:val="18"/>
          <w:szCs w:val="18"/>
        </w:rPr>
        <w:t>erated filer, a non-accelerated filer, a smaller reporting company or an emerging growth company. See the definitions of “large accelerated filer,” “accelerated filer,” “smaller reporting company” and “emerging growth company” in Rule 12b-2 of the Exchange</w:t>
      </w:r>
      <w:r>
        <w:rPr>
          <w:rFonts w:eastAsia="Times New Roman"/>
          <w:color w:val="000000"/>
          <w:sz w:val="18"/>
          <w:szCs w:val="18"/>
        </w:rPr>
        <w:t xml:space="preserve"> Act.</w:t>
      </w:r>
    </w:p>
    <w:tbl>
      <w:tblPr>
        <w:tblW w:w="4920" w:type="pct"/>
        <w:tblCellMar>
          <w:top w:w="15" w:type="dxa"/>
          <w:left w:w="15" w:type="dxa"/>
          <w:bottom w:w="15" w:type="dxa"/>
          <w:right w:w="15" w:type="dxa"/>
        </w:tblCellMar>
        <w:tblLook w:val="04A0" w:firstRow="1" w:lastRow="0" w:firstColumn="1" w:lastColumn="0" w:noHBand="0" w:noVBand="1"/>
      </w:tblPr>
      <w:tblGrid>
        <w:gridCol w:w="41"/>
        <w:gridCol w:w="1582"/>
        <w:gridCol w:w="36"/>
        <w:gridCol w:w="36"/>
        <w:gridCol w:w="36"/>
        <w:gridCol w:w="36"/>
        <w:gridCol w:w="38"/>
        <w:gridCol w:w="3685"/>
        <w:gridCol w:w="36"/>
        <w:gridCol w:w="39"/>
        <w:gridCol w:w="138"/>
        <w:gridCol w:w="36"/>
        <w:gridCol w:w="87"/>
        <w:gridCol w:w="1915"/>
        <w:gridCol w:w="36"/>
        <w:gridCol w:w="36"/>
        <w:gridCol w:w="70"/>
        <w:gridCol w:w="36"/>
        <w:gridCol w:w="37"/>
        <w:gridCol w:w="181"/>
        <w:gridCol w:w="36"/>
      </w:tblGrid>
      <w:tr w:rsidR="00000000">
        <w:trPr>
          <w:divId w:val="1705326000"/>
        </w:trPr>
        <w:tc>
          <w:tcPr>
            <w:tcW w:w="50" w:type="pct"/>
            <w:vAlign w:val="center"/>
            <w:hideMark/>
          </w:tcPr>
          <w:p w:rsidR="00000000" w:rsidRDefault="00AE54EE">
            <w:pPr>
              <w:ind w:firstLine="450"/>
              <w:rPr>
                <w:rFonts w:eastAsia="Times New Roman"/>
              </w:rPr>
            </w:pPr>
          </w:p>
        </w:tc>
        <w:tc>
          <w:tcPr>
            <w:tcW w:w="99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4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28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1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11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2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705326000"/>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ascii="Wingdings" w:eastAsia="Times New Roman" w:hAnsi="Wingdings"/>
                <w:color w:val="000000"/>
                <w:sz w:val="18"/>
                <w:szCs w:val="18"/>
              </w:rPr>
              <w:t>þ</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ascii="Segoe UI Symbol" w:eastAsia="Times New Roman" w:hAnsi="Segoe UI Symbol" w:cs="Segoe UI Symbol"/>
                <w:color w:val="000000"/>
                <w:sz w:val="18"/>
                <w:szCs w:val="18"/>
              </w:rPr>
              <w:t>☐</w:t>
            </w:r>
          </w:p>
        </w:tc>
      </w:tr>
      <w:tr w:rsidR="00000000">
        <w:trPr>
          <w:divId w:val="1705326000"/>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lastRenderedPageBreak/>
              <w:t>Non-accelerated filer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AE54EE">
            <w:pPr>
              <w:spacing w:after="100"/>
              <w:divId w:val="216405746"/>
              <w:rPr>
                <w:rFonts w:eastAsia="Times New Roman"/>
              </w:rPr>
            </w:pPr>
            <w:r>
              <w:rPr>
                <w:rFonts w:ascii="Wingdings" w:eastAsia="Times New Roman" w:hAnsi="Wingdings"/>
                <w:color w:val="000000"/>
                <w:sz w:val="18"/>
                <w:szCs w:val="18"/>
              </w:rPr>
              <w:t>¨</w:t>
            </w: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ascii="Segoe UI Symbol" w:eastAsia="Times New Roman" w:hAnsi="Segoe UI Symbol" w:cs="Segoe UI Symbol"/>
                <w:color w:val="000000"/>
                <w:sz w:val="18"/>
                <w:szCs w:val="18"/>
              </w:rPr>
              <w:t>☐</w:t>
            </w:r>
          </w:p>
        </w:tc>
      </w:tr>
      <w:tr w:rsidR="00000000">
        <w:trPr>
          <w:divId w:val="170532600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Emerging growth company</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ascii="Segoe UI Symbol" w:eastAsia="Times New Roman" w:hAnsi="Segoe UI Symbol" w:cs="Segoe UI Symbol"/>
                <w:color w:val="000000"/>
                <w:sz w:val="18"/>
                <w:szCs w:val="18"/>
              </w:rPr>
              <w:t>☐</w:t>
            </w:r>
          </w:p>
        </w:tc>
      </w:tr>
    </w:tbl>
    <w:p w:rsidR="00000000" w:rsidRDefault="00AE54EE">
      <w:pPr>
        <w:ind w:firstLine="450"/>
        <w:divId w:val="913973587"/>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w:t>
      </w:r>
      <w:r>
        <w:rPr>
          <w:rFonts w:eastAsia="Times New Roman"/>
          <w:color w:val="000000"/>
          <w:sz w:val="18"/>
          <w:szCs w:val="18"/>
        </w:rPr>
        <w:t> </w:t>
      </w:r>
    </w:p>
    <w:p w:rsidR="00000000" w:rsidRDefault="00AE54EE">
      <w:pPr>
        <w:ind w:firstLine="450"/>
        <w:divId w:val="172771096"/>
        <w:rPr>
          <w:rFonts w:eastAsia="Times New Roman"/>
        </w:rPr>
      </w:pPr>
      <w:r>
        <w:rPr>
          <w:rFonts w:eastAsia="Times New Roman"/>
          <w:color w:val="000000"/>
          <w:sz w:val="18"/>
          <w:szCs w:val="18"/>
        </w:rPr>
        <w:t>In</w:t>
      </w:r>
      <w:r>
        <w:rPr>
          <w:rFonts w:eastAsia="Times New Roman"/>
          <w:color w:val="000000"/>
          <w:sz w:val="18"/>
          <w:szCs w:val="18"/>
        </w:rPr>
        <w:t>dicate by check mark whether the registrant has filed a report on and attestation to its management’s assessment of the effectiveness of its internal control over financial reporting under Section 404(b) of the Sarbanes-Oxley Act (15 U.S.C. 7262(b)) by the</w:t>
      </w:r>
      <w:r>
        <w:rPr>
          <w:rFonts w:eastAsia="Times New Roman"/>
          <w:color w:val="000000"/>
          <w:sz w:val="18"/>
          <w:szCs w:val="18"/>
        </w:rPr>
        <w:t xml:space="preserve"> registered public accounting firm that prepared or issued its audit report. </w:t>
      </w:r>
      <w:r>
        <w:rPr>
          <w:rFonts w:ascii="Segoe UI Emoji" w:eastAsia="Times New Roman" w:hAnsi="Segoe UI Emoji" w:cs="Segoe UI Emoji"/>
          <w:color w:val="000000"/>
          <w:sz w:val="18"/>
          <w:szCs w:val="18"/>
        </w:rPr>
        <w:t>☑</w:t>
      </w:r>
    </w:p>
    <w:p w:rsidR="00000000" w:rsidRDefault="00AE54EE">
      <w:pPr>
        <w:ind w:firstLine="450"/>
        <w:divId w:val="2126922608"/>
        <w:rPr>
          <w:rFonts w:eastAsia="Times New Roman"/>
        </w:rPr>
      </w:pPr>
      <w:r>
        <w:rPr>
          <w:rFonts w:eastAsia="Times New Roman"/>
          <w:color w:val="000000"/>
          <w:sz w:val="18"/>
          <w:szCs w:val="18"/>
        </w:rPr>
        <w:t>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Wingdings" w:eastAsia="Times New Roman" w:hAnsi="Wingdings"/>
          <w:color w:val="000000"/>
          <w:sz w:val="18"/>
          <w:szCs w:val="18"/>
        </w:rPr>
        <w:t>þ</w:t>
      </w:r>
    </w:p>
    <w:p w:rsidR="00000000" w:rsidRDefault="00AE54EE">
      <w:pPr>
        <w:ind w:firstLine="450"/>
        <w:divId w:val="1266502286"/>
        <w:rPr>
          <w:rFonts w:eastAsia="Times New Roman"/>
        </w:rPr>
      </w:pPr>
      <w:r>
        <w:rPr>
          <w:rFonts w:eastAsia="Times New Roman"/>
          <w:color w:val="000000"/>
          <w:sz w:val="18"/>
          <w:szCs w:val="18"/>
        </w:rPr>
        <w:t>The aggregate market value of the voting comm</w:t>
      </w:r>
      <w:r>
        <w:rPr>
          <w:rFonts w:eastAsia="Times New Roman"/>
          <w:color w:val="000000"/>
          <w:sz w:val="18"/>
          <w:szCs w:val="18"/>
        </w:rPr>
        <w:t>on equity held by non-affiliates of the registrant at July 2, 2021 was $44,061,543,832 (based on the quoted closing sale price per share of the stock on the New York Stock Exchange). For purposes of this calculation, the registrant has assumed that its dir</w:t>
      </w:r>
      <w:r>
        <w:rPr>
          <w:rFonts w:eastAsia="Times New Roman"/>
          <w:color w:val="000000"/>
          <w:sz w:val="18"/>
          <w:szCs w:val="18"/>
        </w:rPr>
        <w:t>ectors and executive officers as of July 2, 2021 are affiliates.</w:t>
      </w:r>
    </w:p>
    <w:p w:rsidR="00000000" w:rsidRDefault="00AE54EE">
      <w:pPr>
        <w:ind w:firstLine="450"/>
        <w:divId w:val="930310387"/>
        <w:rPr>
          <w:rFonts w:eastAsia="Times New Roman"/>
        </w:rPr>
      </w:pPr>
      <w:r>
        <w:rPr>
          <w:rFonts w:eastAsia="Times New Roman"/>
          <w:color w:val="000000"/>
          <w:sz w:val="18"/>
          <w:szCs w:val="18"/>
        </w:rPr>
        <w:t>The number of shares outstanding of the registrant’s common stock as of February 18, 2022 was 193,065,899.</w:t>
      </w:r>
    </w:p>
    <w:p w:rsidR="00000000" w:rsidRDefault="00AE54EE">
      <w:pPr>
        <w:ind w:firstLine="450"/>
        <w:jc w:val="center"/>
        <w:rPr>
          <w:rFonts w:eastAsia="Times New Roman"/>
        </w:rPr>
      </w:pPr>
      <w:r>
        <w:rPr>
          <w:rFonts w:eastAsia="Times New Roman"/>
          <w:b/>
          <w:bCs/>
          <w:color w:val="000000"/>
          <w:sz w:val="18"/>
          <w:szCs w:val="18"/>
        </w:rPr>
        <w:t>Documents Incorporated by Reference:</w:t>
      </w:r>
    </w:p>
    <w:p w:rsidR="00000000" w:rsidRDefault="00AE54EE">
      <w:pPr>
        <w:ind w:firstLine="450"/>
        <w:divId w:val="1801067516"/>
        <w:rPr>
          <w:rFonts w:eastAsia="Times New Roman"/>
        </w:rPr>
      </w:pPr>
      <w:r>
        <w:rPr>
          <w:rFonts w:eastAsia="Times New Roman"/>
          <w:color w:val="000000"/>
          <w:sz w:val="18"/>
          <w:szCs w:val="18"/>
        </w:rPr>
        <w:t>Portions of the registrant’s definitive Proxy S</w:t>
      </w:r>
      <w:r>
        <w:rPr>
          <w:rFonts w:eastAsia="Times New Roman"/>
          <w:color w:val="000000"/>
          <w:sz w:val="18"/>
          <w:szCs w:val="18"/>
        </w:rPr>
        <w:t>tatement for the 2022 Annual Meeting of Shareholders scheduled to be held on April 22, 2022, which will be filed with the Securities and Exchange Commission within 120 days after the end of the registrant’s fiscal year ended December 31, 2021, are incorpor</w:t>
      </w:r>
      <w:r>
        <w:rPr>
          <w:rFonts w:eastAsia="Times New Roman"/>
          <w:color w:val="000000"/>
          <w:sz w:val="18"/>
          <w:szCs w:val="18"/>
        </w:rPr>
        <w:t>ated by reference into Part III of this Annual Report on Form 10-K to the extent described therein.</w:t>
      </w:r>
    </w:p>
    <w:p w:rsidR="00000000" w:rsidRDefault="00AE54EE">
      <w:pPr>
        <w:ind w:firstLine="450"/>
        <w:divId w:val="724791088"/>
        <w:rPr>
          <w:rFonts w:eastAsia="Times New Roman"/>
        </w:rPr>
      </w:pPr>
    </w:p>
    <w:p w:rsidR="00000000" w:rsidRDefault="00AE54EE">
      <w:pPr>
        <w:rPr>
          <w:rFonts w:eastAsia="Times New Roman"/>
        </w:rPr>
      </w:pPr>
      <w:r>
        <w:rPr>
          <w:rFonts w:eastAsia="Times New Roman"/>
        </w:rPr>
        <w:pict>
          <v:rect id="_x0000_i1026" style="width:0;height:1.5pt" o:hralign="center" o:hrstd="t" o:hr="t" fillcolor="#a0a0a0" stroked="f"/>
        </w:pict>
      </w:r>
    </w:p>
    <w:p w:rsidR="00000000" w:rsidRDefault="00AE54EE">
      <w:pPr>
        <w:ind w:firstLine="450"/>
        <w:divId w:val="1762608341"/>
        <w:rPr>
          <w:rFonts w:eastAsia="Times New Roman"/>
        </w:rPr>
      </w:pPr>
    </w:p>
    <w:p w:rsidR="00000000" w:rsidRDefault="00AE54EE">
      <w:pPr>
        <w:ind w:firstLine="450"/>
        <w:jc w:val="center"/>
        <w:divId w:val="1157721988"/>
        <w:rPr>
          <w:rFonts w:eastAsia="Times New Roman"/>
        </w:rPr>
      </w:pPr>
      <w:r>
        <w:rPr>
          <w:rFonts w:eastAsia="Times New Roman"/>
          <w:b/>
          <w:bCs/>
          <w:color w:val="000000"/>
          <w:sz w:val="20"/>
          <w:szCs w:val="20"/>
        </w:rPr>
        <w:t>L3HARRIS TECHNOLOGIES, INC.</w:t>
      </w:r>
    </w:p>
    <w:p w:rsidR="00000000" w:rsidRDefault="00AE54EE">
      <w:pPr>
        <w:ind w:firstLine="450"/>
        <w:jc w:val="center"/>
        <w:divId w:val="1453788891"/>
        <w:rPr>
          <w:rFonts w:eastAsia="Times New Roman"/>
        </w:rPr>
      </w:pPr>
      <w:r>
        <w:rPr>
          <w:rFonts w:eastAsia="Times New Roman"/>
          <w:b/>
          <w:bCs/>
          <w:color w:val="000000"/>
          <w:sz w:val="20"/>
          <w:szCs w:val="20"/>
        </w:rPr>
        <w:t>ANNUAL REPORT ON FORM 10-K FOR THE FISCAL YEAR ENDED DECEMBER 31, 2021</w:t>
      </w:r>
    </w:p>
    <w:p w:rsidR="00000000" w:rsidRDefault="00AE54EE">
      <w:pPr>
        <w:ind w:firstLine="450"/>
        <w:jc w:val="center"/>
        <w:divId w:val="1699045693"/>
        <w:rPr>
          <w:rFonts w:eastAsia="Times New Roman"/>
        </w:rPr>
      </w:pPr>
      <w:r>
        <w:rPr>
          <w:rFonts w:eastAsia="Times New Roman"/>
          <w:b/>
          <w:bCs/>
          <w:color w:val="000000"/>
          <w:sz w:val="20"/>
          <w:szCs w:val="20"/>
        </w:rPr>
        <w:t>TABLE OF CONTENTS</w:t>
      </w:r>
    </w:p>
    <w:tbl>
      <w:tblPr>
        <w:tblW w:w="4899" w:type="pct"/>
        <w:jc w:val="center"/>
        <w:tblCellMar>
          <w:top w:w="15" w:type="dxa"/>
          <w:left w:w="15" w:type="dxa"/>
          <w:bottom w:w="15" w:type="dxa"/>
          <w:right w:w="15" w:type="dxa"/>
        </w:tblCellMar>
        <w:tblLook w:val="04A0" w:firstRow="1" w:lastRow="0" w:firstColumn="1" w:lastColumn="0" w:noHBand="0" w:noVBand="1"/>
      </w:tblPr>
      <w:tblGrid>
        <w:gridCol w:w="93"/>
        <w:gridCol w:w="666"/>
        <w:gridCol w:w="36"/>
        <w:gridCol w:w="39"/>
        <w:gridCol w:w="6592"/>
        <w:gridCol w:w="38"/>
        <w:gridCol w:w="74"/>
        <w:gridCol w:w="564"/>
        <w:gridCol w:w="36"/>
      </w:tblGrid>
      <w:tr w:rsidR="00000000">
        <w:trPr>
          <w:divId w:val="1699045693"/>
          <w:jc w:val="center"/>
        </w:trPr>
        <w:tc>
          <w:tcPr>
            <w:tcW w:w="50" w:type="pct"/>
            <w:vAlign w:val="center"/>
            <w:hideMark/>
          </w:tcPr>
          <w:p w:rsidR="00000000" w:rsidRDefault="00AE54EE">
            <w:pPr>
              <w:ind w:firstLine="450"/>
              <w:jc w:val="center"/>
              <w:rPr>
                <w:rFonts w:eastAsia="Times New Roman"/>
              </w:rPr>
            </w:pPr>
          </w:p>
        </w:tc>
        <w:tc>
          <w:tcPr>
            <w:tcW w:w="36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08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8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699045693"/>
          <w:jc w:val="center"/>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Page No.</w:t>
            </w:r>
          </w:p>
        </w:tc>
      </w:tr>
      <w:tr w:rsidR="00000000">
        <w:trPr>
          <w:divId w:val="1699045693"/>
          <w:trHeight w:val="300"/>
          <w:jc w:val="center"/>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9045693"/>
          <w:jc w:val="center"/>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E54EE">
            <w:pPr>
              <w:spacing w:after="100"/>
              <w:divId w:val="42679780"/>
              <w:rPr>
                <w:rFonts w:eastAsia="Times New Roman"/>
              </w:rPr>
            </w:pPr>
            <w:hyperlink w:anchor="i44c89fdeb27a46959d9ea3331e76be4e_16" w:history="1">
              <w:r>
                <w:rPr>
                  <w:rStyle w:val="a3"/>
                  <w:rFonts w:eastAsia="Times New Roman"/>
                  <w:color w:val="000000"/>
                  <w:sz w:val="20"/>
                  <w:szCs w:val="20"/>
                  <w:u w:val="none"/>
                </w:rPr>
                <w:t>ITEM 1.        Business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16" w:history="1">
              <w:r>
                <w:rPr>
                  <w:rStyle w:val="a3"/>
                  <w:rFonts w:eastAsia="Times New Roman"/>
                  <w:color w:val="000000"/>
                  <w:sz w:val="20"/>
                  <w:szCs w:val="20"/>
                  <w:u w:val="none"/>
                </w:rPr>
                <w:t>1</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1966040148"/>
              <w:rPr>
                <w:rFonts w:eastAsia="Times New Roman"/>
              </w:rPr>
            </w:pPr>
            <w:hyperlink w:anchor="i44c89fdeb27a46959d9ea3331e76be4e_19" w:history="1">
              <w:r>
                <w:rPr>
                  <w:rStyle w:val="a3"/>
                  <w:rFonts w:eastAsia="Times New Roman"/>
                  <w:color w:val="000000"/>
                  <w:sz w:val="20"/>
                  <w:szCs w:val="20"/>
                  <w:u w:val="none"/>
                </w:rPr>
                <w:t>ITEM 1A.     Risk Factors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19" w:history="1">
              <w:r>
                <w:rPr>
                  <w:rStyle w:val="a3"/>
                  <w:rFonts w:eastAsia="Times New Roman"/>
                  <w:color w:val="000000"/>
                  <w:sz w:val="20"/>
                  <w:szCs w:val="20"/>
                  <w:u w:val="none"/>
                </w:rPr>
                <w:t>12</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136992516"/>
              <w:rPr>
                <w:rFonts w:eastAsia="Times New Roman"/>
              </w:rPr>
            </w:pPr>
            <w:hyperlink w:anchor="i44c89fdeb27a46959d9ea3331e76be4e_22" w:history="1">
              <w:r>
                <w:rPr>
                  <w:rStyle w:val="a3"/>
                  <w:rFonts w:eastAsia="Times New Roman"/>
                  <w:color w:val="000000"/>
                  <w:sz w:val="20"/>
                  <w:szCs w:val="20"/>
                  <w:u w:val="none"/>
                </w:rPr>
                <w:t>ITEM 1B.     Unresolved Staff Comments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2" w:history="1">
              <w:r>
                <w:rPr>
                  <w:rStyle w:val="a3"/>
                  <w:rFonts w:eastAsia="Times New Roman"/>
                  <w:color w:val="000000"/>
                  <w:sz w:val="20"/>
                  <w:szCs w:val="20"/>
                  <w:u w:val="none"/>
                </w:rPr>
                <w:t>25</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1291545484"/>
              <w:rPr>
                <w:rFonts w:eastAsia="Times New Roman"/>
              </w:rPr>
            </w:pPr>
            <w:hyperlink w:anchor="i44c89fdeb27a46959d9ea3331e76be4e_25" w:history="1">
              <w:r>
                <w:rPr>
                  <w:rStyle w:val="a3"/>
                  <w:rFonts w:eastAsia="Times New Roman"/>
                  <w:color w:val="000000"/>
                  <w:sz w:val="20"/>
                  <w:szCs w:val="20"/>
                  <w:u w:val="none"/>
                </w:rPr>
                <w:t>ITEM 2.        Properties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5" w:history="1">
              <w:r>
                <w:rPr>
                  <w:rStyle w:val="a3"/>
                  <w:rFonts w:eastAsia="Times New Roman"/>
                  <w:color w:val="000000"/>
                  <w:sz w:val="20"/>
                  <w:szCs w:val="20"/>
                  <w:u w:val="none"/>
                </w:rPr>
                <w:t>25</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333262326"/>
              <w:rPr>
                <w:rFonts w:eastAsia="Times New Roman"/>
              </w:rPr>
            </w:pPr>
            <w:hyperlink w:anchor="i44c89fdeb27a46959d9ea3331e76be4e_28" w:history="1">
              <w:r>
                <w:rPr>
                  <w:rStyle w:val="a3"/>
                  <w:rFonts w:eastAsia="Times New Roman"/>
                  <w:color w:val="000000"/>
                  <w:sz w:val="20"/>
                  <w:szCs w:val="20"/>
                  <w:u w:val="none"/>
                </w:rPr>
                <w:t>ITEM 3.        Legal Proceedings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8" w:history="1">
              <w:r>
                <w:rPr>
                  <w:rStyle w:val="a3"/>
                  <w:rFonts w:eastAsia="Times New Roman"/>
                  <w:color w:val="000000"/>
                  <w:sz w:val="20"/>
                  <w:szCs w:val="20"/>
                  <w:u w:val="none"/>
                </w:rPr>
                <w:t>26</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1503162312"/>
              <w:rPr>
                <w:rFonts w:eastAsia="Times New Roman"/>
              </w:rPr>
            </w:pPr>
            <w:hyperlink w:anchor="i44c89fdeb27a46959d9ea3331e76be4e_31" w:history="1">
              <w:r>
                <w:rPr>
                  <w:rStyle w:val="a3"/>
                  <w:rFonts w:eastAsia="Times New Roman"/>
                  <w:color w:val="000000"/>
                  <w:sz w:val="20"/>
                  <w:szCs w:val="20"/>
                  <w:u w:val="none"/>
                </w:rPr>
                <w:t>ITEM 4.        Mine Safety Disclosures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31" w:history="1">
              <w:r>
                <w:rPr>
                  <w:rStyle w:val="a3"/>
                  <w:rFonts w:eastAsia="Times New Roman"/>
                  <w:color w:val="000000"/>
                  <w:sz w:val="20"/>
                  <w:szCs w:val="20"/>
                  <w:u w:val="none"/>
                </w:rPr>
                <w:t>27</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divId w:val="17856723"/>
              <w:rPr>
                <w:rFonts w:eastAsia="Times New Roman"/>
              </w:rPr>
            </w:pPr>
            <w:r>
              <w:rPr>
                <w:rFonts w:eastAsia="Times New Roman"/>
                <w:color w:val="000000"/>
                <w:sz w:val="20"/>
                <w:szCs w:val="20"/>
              </w:rPr>
              <w:t xml:space="preserve">Information about our </w:t>
            </w:r>
            <w:hyperlink w:anchor="i44c89fdeb27a46959d9ea3331e76be4e_34" w:history="1">
              <w:r>
                <w:rPr>
                  <w:rStyle w:val="a3"/>
                  <w:rFonts w:eastAsia="Times New Roman"/>
                  <w:color w:val="000000"/>
                  <w:sz w:val="20"/>
                  <w:szCs w:val="20"/>
                  <w:u w:val="none"/>
                </w:rPr>
                <w:t>Executive Officers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34" w:history="1">
              <w:r>
                <w:rPr>
                  <w:rStyle w:val="a3"/>
                  <w:rFonts w:eastAsia="Times New Roman"/>
                  <w:color w:val="000000"/>
                  <w:sz w:val="20"/>
                  <w:szCs w:val="20"/>
                  <w:u w:val="none"/>
                </w:rPr>
                <w:t>28</w:t>
              </w:r>
            </w:hyperlink>
          </w:p>
        </w:tc>
      </w:tr>
      <w:tr w:rsidR="00000000">
        <w:trPr>
          <w:divId w:val="1699045693"/>
          <w:trHeight w:val="300"/>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9045693"/>
          <w:jc w:val="center"/>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E54EE">
            <w:pPr>
              <w:spacing w:after="100"/>
              <w:ind w:hanging="1080"/>
              <w:divId w:val="1360737105"/>
              <w:rPr>
                <w:rFonts w:eastAsia="Times New Roman"/>
              </w:rPr>
            </w:pPr>
            <w:hyperlink w:anchor="i44c89fdeb27a46959d9ea3331e76be4e_40" w:history="1">
              <w:r>
                <w:rPr>
                  <w:rStyle w:val="a3"/>
                  <w:rFonts w:eastAsia="Times New Roman"/>
                  <w:color w:val="000000"/>
                  <w:sz w:val="20"/>
                  <w:szCs w:val="20"/>
                  <w:u w:val="none"/>
                </w:rPr>
                <w:t>ITEM 5.        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40" w:history="1">
              <w:r>
                <w:rPr>
                  <w:rStyle w:val="a3"/>
                  <w:rFonts w:eastAsia="Times New Roman"/>
                  <w:color w:val="000000"/>
                  <w:sz w:val="20"/>
                  <w:szCs w:val="20"/>
                  <w:u w:val="none"/>
                </w:rPr>
                <w:t>29</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1130200904"/>
              <w:rPr>
                <w:rFonts w:eastAsia="Times New Roman"/>
              </w:rPr>
            </w:pPr>
            <w:hyperlink w:anchor="i44c89fdeb27a46959d9ea3331e76be4e_43" w:history="1">
              <w:r>
                <w:rPr>
                  <w:rStyle w:val="a3"/>
                  <w:rFonts w:eastAsia="Times New Roman"/>
                  <w:color w:val="000000"/>
                  <w:sz w:val="20"/>
                  <w:szCs w:val="20"/>
                  <w:u w:val="none"/>
                </w:rPr>
                <w:t>ITEM 6.    </w:t>
              </w:r>
            </w:hyperlink>
            <w:hyperlink w:anchor="i44c89fdeb27a46959d9ea3331e76be4e_43" w:history="1">
              <w:r>
                <w:rPr>
                  <w:rStyle w:val="a3"/>
                  <w:rFonts w:eastAsia="Times New Roman"/>
                  <w:color w:val="000000"/>
                  <w:sz w:val="20"/>
                  <w:szCs w:val="20"/>
                  <w:u w:val="none"/>
                </w:rPr>
                <w:t>   </w:t>
              </w:r>
            </w:hyperlink>
            <w:hyperlink w:anchor="i44c89fdeb27a46959d9ea3331e76be4e_43" w:history="1">
              <w:r>
                <w:rPr>
                  <w:rStyle w:val="a3"/>
                  <w:rFonts w:eastAsia="Times New Roman"/>
                  <w:color w:val="000000"/>
                  <w:sz w:val="20"/>
                  <w:szCs w:val="20"/>
                  <w:u w:val="none"/>
                </w:rPr>
                <w:t>[Reserved]</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43" w:history="1">
              <w:r>
                <w:rPr>
                  <w:rStyle w:val="a3"/>
                  <w:rFonts w:eastAsia="Times New Roman"/>
                  <w:color w:val="000000"/>
                  <w:sz w:val="20"/>
                  <w:szCs w:val="20"/>
                  <w:u w:val="none"/>
                </w:rPr>
                <w:t>31</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251285105"/>
              <w:rPr>
                <w:rFonts w:eastAsia="Times New Roman"/>
              </w:rPr>
            </w:pPr>
            <w:hyperlink w:anchor="i44c89fdeb27a46959d9ea3331e76be4e_49" w:history="1">
              <w:r>
                <w:rPr>
                  <w:rStyle w:val="a3"/>
                  <w:rFonts w:eastAsia="Times New Roman"/>
                  <w:color w:val="000000"/>
                  <w:sz w:val="20"/>
                  <w:szCs w:val="20"/>
                  <w:u w:val="none"/>
                </w:rPr>
                <w:t>ITEM 7.</w:t>
              </w:r>
            </w:hyperlink>
            <w:r>
              <w:rPr>
                <w:rFonts w:eastAsia="Times New Roman"/>
                <w:color w:val="000000"/>
                <w:sz w:val="20"/>
                <w:szCs w:val="20"/>
              </w:rPr>
              <w:t>  </w:t>
            </w:r>
            <w:hyperlink w:anchor="i44c89fdeb27a46959d9ea3331e76be4e_223" w:history="1">
              <w:r>
                <w:rPr>
                  <w:rStyle w:val="a3"/>
                  <w:rFonts w:eastAsia="Times New Roman"/>
                  <w:color w:val="000000"/>
                  <w:sz w:val="20"/>
                  <w:szCs w:val="20"/>
                  <w:u w:val="none"/>
                </w:rPr>
                <w:t>  </w:t>
              </w:r>
            </w:hyperlink>
            <w:r>
              <w:rPr>
                <w:rFonts w:eastAsia="Times New Roman"/>
                <w:color w:val="000000"/>
                <w:sz w:val="20"/>
                <w:szCs w:val="20"/>
              </w:rPr>
              <w:t>    M</w:t>
            </w:r>
            <w:hyperlink w:anchor="i44c89fdeb27a46959d9ea3331e76be4e_49" w:history="1">
              <w:r>
                <w:rPr>
                  <w:rStyle w:val="a3"/>
                  <w:rFonts w:eastAsia="Times New Roman"/>
                  <w:color w:val="000000"/>
                  <w:sz w:val="20"/>
                  <w:szCs w:val="20"/>
                  <w:u w:val="none"/>
                </w:rPr>
                <w:t>anagement’s Discussion and Analysis of Financi</w:t>
              </w:r>
              <w:r>
                <w:rPr>
                  <w:rStyle w:val="a3"/>
                  <w:rFonts w:eastAsia="Times New Roman"/>
                  <w:color w:val="000000"/>
                  <w:sz w:val="20"/>
                  <w:szCs w:val="20"/>
                  <w:u w:val="none"/>
                </w:rPr>
                <w:t>al Condition and Results of Operations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49" w:history="1">
              <w:r>
                <w:rPr>
                  <w:rStyle w:val="a3"/>
                  <w:rFonts w:eastAsia="Times New Roman"/>
                  <w:color w:val="000000"/>
                  <w:sz w:val="20"/>
                  <w:szCs w:val="20"/>
                  <w:u w:val="none"/>
                </w:rPr>
                <w:t>32</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2000109067"/>
              <w:rPr>
                <w:rFonts w:eastAsia="Times New Roman"/>
              </w:rPr>
            </w:pPr>
            <w:hyperlink w:anchor="i44c89fdeb27a46959d9ea3331e76be4e_67" w:history="1">
              <w:r>
                <w:rPr>
                  <w:rStyle w:val="a3"/>
                  <w:rFonts w:eastAsia="Times New Roman"/>
                  <w:color w:val="000000"/>
                  <w:sz w:val="20"/>
                  <w:szCs w:val="20"/>
                  <w:u w:val="none"/>
                </w:rPr>
                <w:t>ITEM 7A.     </w:t>
              </w:r>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67" w:history="1">
              <w:r>
                <w:rPr>
                  <w:rStyle w:val="a3"/>
                  <w:rFonts w:eastAsia="Times New Roman"/>
                  <w:color w:val="000000"/>
                  <w:sz w:val="20"/>
                  <w:szCs w:val="20"/>
                  <w:u w:val="none"/>
                </w:rPr>
                <w:t>62</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956062142"/>
              <w:rPr>
                <w:rFonts w:eastAsia="Times New Roman"/>
              </w:rPr>
            </w:pPr>
            <w:hyperlink w:anchor="i44c89fdeb27a46959d9ea3331e76be4e_70" w:history="1">
              <w:r>
                <w:rPr>
                  <w:rStyle w:val="a3"/>
                  <w:rFonts w:eastAsia="Times New Roman"/>
                  <w:color w:val="000000"/>
                  <w:sz w:val="20"/>
                  <w:szCs w:val="20"/>
                  <w:u w:val="none"/>
                </w:rPr>
                <w:t>ITEM 8.        </w:t>
              </w:r>
              <w:r>
                <w:rPr>
                  <w:rStyle w:val="a3"/>
                  <w:rFonts w:eastAsia="Times New Roman"/>
                  <w:color w:val="000000"/>
                  <w:sz w:val="20"/>
                  <w:szCs w:val="20"/>
                  <w:u w:val="none"/>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70" w:history="1">
              <w:r>
                <w:rPr>
                  <w:rStyle w:val="a3"/>
                  <w:rFonts w:eastAsia="Times New Roman"/>
                  <w:color w:val="000000"/>
                  <w:sz w:val="20"/>
                  <w:szCs w:val="20"/>
                  <w:u w:val="none"/>
                </w:rPr>
                <w:t>63</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1675836064"/>
              <w:rPr>
                <w:rFonts w:eastAsia="Times New Roman"/>
              </w:rPr>
            </w:pPr>
            <w:hyperlink w:anchor="i44c89fdeb27a46959d9ea3331e76be4e_193" w:history="1">
              <w:r>
                <w:rPr>
                  <w:rStyle w:val="a3"/>
                  <w:rFonts w:eastAsia="Times New Roman"/>
                  <w:color w:val="000000"/>
                  <w:sz w:val="20"/>
                  <w:szCs w:val="20"/>
                  <w:u w:val="none"/>
                </w:rPr>
                <w:t>ITEM 9.        Changes in and Disagreements with Accountants on Accounting and Fin</w:t>
              </w:r>
              <w:r>
                <w:rPr>
                  <w:rStyle w:val="a3"/>
                  <w:rFonts w:eastAsia="Times New Roman"/>
                  <w:color w:val="000000"/>
                  <w:sz w:val="20"/>
                  <w:szCs w:val="20"/>
                  <w:u w:val="none"/>
                </w:rPr>
                <w:t>ancial Disclosure</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193" w:history="1">
              <w:r>
                <w:rPr>
                  <w:rStyle w:val="a3"/>
                  <w:rFonts w:eastAsia="Times New Roman"/>
                  <w:color w:val="000000"/>
                  <w:sz w:val="20"/>
                  <w:szCs w:val="20"/>
                  <w:u w:val="none"/>
                </w:rPr>
                <w:t>125</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728039701"/>
              <w:rPr>
                <w:rFonts w:eastAsia="Times New Roman"/>
              </w:rPr>
            </w:pPr>
            <w:hyperlink w:anchor="i44c89fdeb27a46959d9ea3331e76be4e_196" w:history="1">
              <w:r>
                <w:rPr>
                  <w:rStyle w:val="a3"/>
                  <w:rFonts w:eastAsia="Times New Roman"/>
                  <w:color w:val="000000"/>
                  <w:sz w:val="20"/>
                  <w:szCs w:val="20"/>
                  <w:u w:val="none"/>
                </w:rPr>
                <w:t>ITEM 9A.     Controls and Procedures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196" w:history="1">
              <w:r>
                <w:rPr>
                  <w:rStyle w:val="a3"/>
                  <w:rFonts w:eastAsia="Times New Roman"/>
                  <w:color w:val="000000"/>
                  <w:sz w:val="20"/>
                  <w:szCs w:val="20"/>
                  <w:u w:val="none"/>
                </w:rPr>
                <w:t>125</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274602553"/>
              <w:rPr>
                <w:rFonts w:eastAsia="Times New Roman"/>
              </w:rPr>
            </w:pPr>
            <w:hyperlink w:anchor="i44c89fdeb27a46959d9ea3331e76be4e_199" w:history="1">
              <w:r>
                <w:rPr>
                  <w:rStyle w:val="a3"/>
                  <w:rFonts w:eastAsia="Times New Roman"/>
                  <w:color w:val="000000"/>
                  <w:sz w:val="20"/>
                  <w:szCs w:val="20"/>
                  <w:u w:val="none"/>
                </w:rPr>
                <w:t>ITEM 9B.     Other Information</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199" w:history="1">
              <w:r>
                <w:rPr>
                  <w:rStyle w:val="a3"/>
                  <w:rFonts w:eastAsia="Times New Roman"/>
                  <w:color w:val="000000"/>
                  <w:sz w:val="20"/>
                  <w:szCs w:val="20"/>
                  <w:u w:val="none"/>
                </w:rPr>
                <w:t>126</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513808349"/>
              <w:rPr>
                <w:rFonts w:eastAsia="Times New Roman"/>
              </w:rPr>
            </w:pPr>
            <w:hyperlink w:anchor="i44c89fdeb27a46959d9ea3331e76be4e_2055" w:history="1">
              <w:r>
                <w:rPr>
                  <w:rStyle w:val="a3"/>
                  <w:rFonts w:eastAsia="Times New Roman"/>
                  <w:color w:val="000000"/>
                  <w:sz w:val="20"/>
                  <w:szCs w:val="20"/>
                  <w:u w:val="none"/>
                </w:rPr>
                <w:t xml:space="preserve">ITEM 9C.    </w:t>
              </w:r>
            </w:hyperlink>
            <w:hyperlink w:anchor="i44c89fdeb27a46959d9ea3331e76be4e_2055" w:history="1">
              <w:r>
                <w:rPr>
                  <w:rStyle w:val="a3"/>
                  <w:rFonts w:eastAsia="Times New Roman"/>
                  <w:color w:val="000000"/>
                  <w:sz w:val="20"/>
                  <w:szCs w:val="20"/>
                  <w:u w:val="none"/>
                </w:rPr>
                <w:t>Disclosure Regarding Foreign Jurisdictions That Prevent Inspections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199" w:history="1">
              <w:r>
                <w:rPr>
                  <w:rStyle w:val="a3"/>
                  <w:rFonts w:eastAsia="Times New Roman"/>
                  <w:color w:val="000000"/>
                  <w:sz w:val="20"/>
                  <w:szCs w:val="20"/>
                  <w:u w:val="none"/>
                </w:rPr>
                <w:t>126</w:t>
              </w:r>
            </w:hyperlink>
          </w:p>
        </w:tc>
      </w:tr>
      <w:tr w:rsidR="00000000">
        <w:trPr>
          <w:divId w:val="1699045693"/>
          <w:trHeight w:val="300"/>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9045693"/>
          <w:jc w:val="center"/>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Part III:</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E54EE">
            <w:pPr>
              <w:spacing w:after="100"/>
              <w:divId w:val="74057454"/>
              <w:rPr>
                <w:rFonts w:eastAsia="Times New Roman"/>
              </w:rPr>
            </w:pPr>
            <w:hyperlink w:anchor="i44c89fdeb27a46959d9ea3331e76be4e_205" w:history="1">
              <w:r>
                <w:rPr>
                  <w:rStyle w:val="a3"/>
                  <w:rFonts w:eastAsia="Times New Roman"/>
                  <w:color w:val="000000"/>
                  <w:sz w:val="20"/>
                  <w:szCs w:val="20"/>
                  <w:u w:val="none"/>
                </w:rPr>
                <w:t xml:space="preserve">ITEM 10.      </w:t>
              </w:r>
              <w:r>
                <w:rPr>
                  <w:rStyle w:val="a3"/>
                  <w:rFonts w:eastAsia="Times New Roman"/>
                  <w:color w:val="000000"/>
                  <w:sz w:val="20"/>
                  <w:szCs w:val="20"/>
                  <w:u w:val="none"/>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05" w:history="1">
              <w:r>
                <w:rPr>
                  <w:rStyle w:val="a3"/>
                  <w:rFonts w:eastAsia="Times New Roman"/>
                  <w:color w:val="000000"/>
                  <w:sz w:val="20"/>
                  <w:szCs w:val="20"/>
                  <w:u w:val="none"/>
                </w:rPr>
                <w:t>126</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1693845321"/>
              <w:rPr>
                <w:rFonts w:eastAsia="Times New Roman"/>
              </w:rPr>
            </w:pPr>
            <w:hyperlink w:anchor="i44c89fdeb27a46959d9ea3331e76be4e_208" w:history="1">
              <w:r>
                <w:rPr>
                  <w:rStyle w:val="a3"/>
                  <w:rFonts w:eastAsia="Times New Roman"/>
                  <w:color w:val="000000"/>
                  <w:sz w:val="20"/>
                  <w:szCs w:val="20"/>
                  <w:u w:val="none"/>
                </w:rPr>
                <w:t>ITEM 11.      Executive Compensation</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08" w:history="1">
              <w:r>
                <w:rPr>
                  <w:rStyle w:val="a3"/>
                  <w:rFonts w:eastAsia="Times New Roman"/>
                  <w:color w:val="000000"/>
                  <w:sz w:val="20"/>
                  <w:szCs w:val="20"/>
                  <w:u w:val="none"/>
                </w:rPr>
                <w:t>127</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ind w:hanging="1080"/>
              <w:divId w:val="2113892514"/>
              <w:rPr>
                <w:rFonts w:eastAsia="Times New Roman"/>
              </w:rPr>
            </w:pPr>
            <w:hyperlink w:anchor="i44c89fdeb27a46959d9ea3331e76be4e_211" w:history="1">
              <w:r>
                <w:rPr>
                  <w:rStyle w:val="a3"/>
                  <w:rFonts w:eastAsia="Times New Roman"/>
                  <w:color w:val="000000"/>
                  <w:sz w:val="20"/>
                  <w:szCs w:val="20"/>
                  <w:u w:val="none"/>
                </w:rPr>
                <w:t xml:space="preserve">ITEM 12.      </w:t>
              </w:r>
              <w:r>
                <w:rPr>
                  <w:rStyle w:val="a3"/>
                  <w:rFonts w:eastAsia="Times New Roman"/>
                  <w:color w:val="000000"/>
                  <w:sz w:val="20"/>
                  <w:szCs w:val="20"/>
                  <w:u w:val="none"/>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11" w:history="1">
              <w:r>
                <w:rPr>
                  <w:rStyle w:val="a3"/>
                  <w:rFonts w:eastAsia="Times New Roman"/>
                  <w:color w:val="000000"/>
                  <w:sz w:val="20"/>
                  <w:szCs w:val="20"/>
                  <w:u w:val="none"/>
                </w:rPr>
                <w:t>127</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491683524"/>
              <w:rPr>
                <w:rFonts w:eastAsia="Times New Roman"/>
              </w:rPr>
            </w:pPr>
            <w:hyperlink w:anchor="i44c89fdeb27a46959d9ea3331e76be4e_214" w:history="1">
              <w:r>
                <w:rPr>
                  <w:rStyle w:val="a3"/>
                  <w:rFonts w:eastAsia="Times New Roman"/>
                  <w:color w:val="000000"/>
                  <w:sz w:val="20"/>
                  <w:szCs w:val="20"/>
                  <w:u w:val="none"/>
                </w:rPr>
                <w:t>ITEM 13</w:t>
              </w:r>
            </w:hyperlink>
            <w:hyperlink w:anchor="i44c89fdeb27a46959d9ea3331e76be4e_223" w:history="1">
              <w:r>
                <w:rPr>
                  <w:rStyle w:val="a3"/>
                  <w:rFonts w:eastAsia="Times New Roman"/>
                  <w:color w:val="000000"/>
                  <w:sz w:val="20"/>
                  <w:szCs w:val="20"/>
                  <w:u w:val="none"/>
                </w:rPr>
                <w:t>.      </w:t>
              </w:r>
            </w:hyperlink>
            <w:hyperlink w:anchor="i44c89fdeb27a46959d9ea3331e76be4e_214" w:history="1">
              <w:r>
                <w:rPr>
                  <w:rStyle w:val="a3"/>
                  <w:rFonts w:eastAsia="Times New Roman"/>
                  <w:color w:val="000000"/>
                  <w:sz w:val="20"/>
                  <w:szCs w:val="20"/>
                  <w:u w:val="none"/>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14" w:history="1">
              <w:r>
                <w:rPr>
                  <w:rStyle w:val="a3"/>
                  <w:rFonts w:eastAsia="Times New Roman"/>
                  <w:color w:val="000000"/>
                  <w:sz w:val="20"/>
                  <w:szCs w:val="20"/>
                  <w:u w:val="none"/>
                </w:rPr>
                <w:t>127</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1094788456"/>
              <w:rPr>
                <w:rFonts w:eastAsia="Times New Roman"/>
              </w:rPr>
            </w:pPr>
            <w:hyperlink w:anchor="i44c89fdeb27a46959d9ea3331e76be4e_217" w:history="1">
              <w:r>
                <w:rPr>
                  <w:rStyle w:val="a3"/>
                  <w:rFonts w:eastAsia="Times New Roman"/>
                  <w:color w:val="000000"/>
                  <w:sz w:val="20"/>
                  <w:szCs w:val="20"/>
                  <w:u w:val="none"/>
                </w:rPr>
                <w:t>ITEM 14.      Principal Accounting Fees and Services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17" w:history="1">
              <w:r>
                <w:rPr>
                  <w:rStyle w:val="a3"/>
                  <w:rFonts w:eastAsia="Times New Roman"/>
                  <w:color w:val="000000"/>
                  <w:sz w:val="20"/>
                  <w:szCs w:val="20"/>
                  <w:u w:val="none"/>
                </w:rPr>
                <w:t>127</w:t>
              </w:r>
            </w:hyperlink>
          </w:p>
        </w:tc>
      </w:tr>
      <w:tr w:rsidR="00000000">
        <w:trPr>
          <w:divId w:val="1699045693"/>
          <w:trHeight w:val="300"/>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9045693"/>
          <w:jc w:val="center"/>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Part IV:</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E54EE">
            <w:pPr>
              <w:spacing w:after="100"/>
              <w:divId w:val="719281856"/>
              <w:rPr>
                <w:rFonts w:eastAsia="Times New Roman"/>
              </w:rPr>
            </w:pPr>
            <w:hyperlink w:anchor="i44c89fdeb27a46959d9ea3331e76be4e_223" w:history="1">
              <w:r>
                <w:rPr>
                  <w:rStyle w:val="a3"/>
                  <w:rFonts w:eastAsia="Times New Roman"/>
                  <w:color w:val="000000"/>
                  <w:sz w:val="20"/>
                  <w:szCs w:val="20"/>
                  <w:u w:val="none"/>
                </w:rPr>
                <w:t>ITEM 15.      Exhibits, Financial Statement Schedules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23" w:history="1">
              <w:r>
                <w:rPr>
                  <w:rStyle w:val="a3"/>
                  <w:rFonts w:eastAsia="Times New Roman"/>
                  <w:color w:val="000000"/>
                  <w:sz w:val="20"/>
                  <w:szCs w:val="20"/>
                  <w:u w:val="none"/>
                </w:rPr>
                <w:t>128</w:t>
              </w:r>
            </w:hyperlink>
          </w:p>
        </w:tc>
      </w:tr>
      <w:tr w:rsidR="00000000">
        <w:trPr>
          <w:divId w:val="1699045693"/>
          <w:jc w:val="center"/>
        </w:trPr>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E54EE">
            <w:pPr>
              <w:spacing w:after="100"/>
              <w:divId w:val="2109619682"/>
              <w:rPr>
                <w:rFonts w:eastAsia="Times New Roman"/>
              </w:rPr>
            </w:pPr>
            <w:r>
              <w:rPr>
                <w:rFonts w:eastAsia="Times New Roman"/>
                <w:color w:val="000000"/>
                <w:sz w:val="20"/>
                <w:szCs w:val="20"/>
              </w:rPr>
              <w:t>ITEM 16</w:t>
            </w:r>
            <w:hyperlink w:anchor="i44c89fdeb27a46959d9ea3331e76be4e_223" w:history="1">
              <w:r>
                <w:rPr>
                  <w:rStyle w:val="a3"/>
                  <w:rFonts w:eastAsia="Times New Roman"/>
                  <w:color w:val="000000"/>
                  <w:sz w:val="20"/>
                  <w:szCs w:val="20"/>
                  <w:u w:val="none"/>
                </w:rPr>
                <w:t>.      </w:t>
              </w:r>
            </w:hyperlink>
            <w:r>
              <w:rPr>
                <w:rFonts w:eastAsia="Times New Roman"/>
                <w:color w:val="000000"/>
                <w:sz w:val="20"/>
                <w:szCs w:val="20"/>
              </w:rPr>
              <w:t>Form 10-K Summary</w:t>
            </w:r>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29" w:history="1">
              <w:r>
                <w:rPr>
                  <w:rStyle w:val="a3"/>
                  <w:rFonts w:eastAsia="Times New Roman"/>
                  <w:color w:val="000000"/>
                  <w:sz w:val="20"/>
                  <w:szCs w:val="20"/>
                  <w:u w:val="none"/>
                </w:rPr>
                <w:t>134</w:t>
              </w:r>
            </w:hyperlink>
          </w:p>
        </w:tc>
      </w:tr>
      <w:tr w:rsidR="00000000">
        <w:trPr>
          <w:divId w:val="1699045693"/>
          <w:trHeight w:val="300"/>
          <w:jc w:val="center"/>
        </w:trPr>
        <w:tc>
          <w:tcPr>
            <w:tcW w:w="0" w:type="auto"/>
            <w:gridSpan w:val="6"/>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9045693"/>
          <w:jc w:val="center"/>
        </w:trPr>
        <w:tc>
          <w:tcPr>
            <w:tcW w:w="0" w:type="auto"/>
            <w:gridSpan w:val="6"/>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Signatures</w:t>
            </w:r>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232" w:history="1">
              <w:r>
                <w:rPr>
                  <w:rStyle w:val="a3"/>
                  <w:rFonts w:eastAsia="Times New Roman"/>
                  <w:color w:val="000000"/>
                  <w:sz w:val="20"/>
                  <w:szCs w:val="20"/>
                  <w:u w:val="none"/>
                </w:rPr>
                <w:t>135</w:t>
              </w:r>
            </w:hyperlink>
          </w:p>
        </w:tc>
      </w:tr>
    </w:tbl>
    <w:p w:rsidR="00000000" w:rsidRDefault="00AE54EE">
      <w:pPr>
        <w:divId w:val="13505260"/>
        <w:rPr>
          <w:rFonts w:eastAsia="Times New Roman"/>
        </w:rPr>
      </w:pPr>
      <w:r>
        <w:rPr>
          <w:rFonts w:eastAsia="Times New Roman"/>
          <w:b/>
          <w:bCs/>
          <w:color w:val="000000"/>
          <w:sz w:val="20"/>
          <w:szCs w:val="20"/>
        </w:rPr>
        <w:t>Exhibits</w:t>
      </w:r>
    </w:p>
    <w:p w:rsidR="00000000" w:rsidRDefault="00AE54EE">
      <w:pPr>
        <w:ind w:firstLine="450"/>
        <w:divId w:val="105344724"/>
        <w:rPr>
          <w:rFonts w:eastAsia="Times New Roman"/>
        </w:rPr>
      </w:pPr>
      <w:r>
        <w:rPr>
          <w:rFonts w:eastAsia="Times New Roman"/>
          <w:color w:val="000000"/>
          <w:sz w:val="20"/>
          <w:szCs w:val="20"/>
        </w:rPr>
        <w:t>This Annual Report on Form </w:t>
      </w:r>
      <w:r>
        <w:rPr>
          <w:rFonts w:eastAsia="Times New Roman"/>
          <w:color w:val="000000"/>
          <w:sz w:val="20"/>
          <w:szCs w:val="20"/>
        </w:rPr>
        <w:t xml:space="preserve">10-K contains trademarks, service marks and registered marks of L3Harris Technologies, Inc. and its subsidiaries. All other trademarks are the property of their respective owners. </w:t>
      </w:r>
    </w:p>
    <w:p w:rsidR="00000000" w:rsidRDefault="00AE54EE">
      <w:pPr>
        <w:ind w:firstLine="450"/>
        <w:divId w:val="1864588390"/>
        <w:rPr>
          <w:rFonts w:eastAsia="Times New Roman"/>
        </w:rPr>
      </w:pPr>
    </w:p>
    <w:p w:rsidR="00000000" w:rsidRDefault="00AE54EE">
      <w:pPr>
        <w:rPr>
          <w:rFonts w:eastAsia="Times New Roman"/>
        </w:rPr>
      </w:pPr>
      <w:r>
        <w:rPr>
          <w:rFonts w:eastAsia="Times New Roman"/>
        </w:rPr>
        <w:pict>
          <v:rect id="_x0000_i1027" style="width:0;height:1.5pt" o:hralign="center" o:hrstd="t" o:hr="t" fillcolor="#a0a0a0" stroked="f"/>
        </w:pict>
      </w:r>
    </w:p>
    <w:p w:rsidR="00000000" w:rsidRDefault="00AE54EE">
      <w:pPr>
        <w:ind w:firstLine="450"/>
        <w:divId w:val="679745217"/>
        <w:rPr>
          <w:rFonts w:eastAsia="Times New Roman"/>
        </w:rPr>
      </w:pPr>
    </w:p>
    <w:p w:rsidR="00000000" w:rsidRDefault="00AE54EE">
      <w:pPr>
        <w:divId w:val="973095525"/>
        <w:rPr>
          <w:rFonts w:eastAsia="Times New Roman"/>
        </w:rPr>
      </w:pPr>
      <w:r>
        <w:rPr>
          <w:rFonts w:eastAsia="Times New Roman"/>
          <w:b/>
          <w:bCs/>
          <w:color w:val="000000"/>
          <w:sz w:val="20"/>
          <w:szCs w:val="20"/>
        </w:rPr>
        <w:t>Cautionary Statement Regarding For</w:t>
      </w:r>
      <w:r>
        <w:rPr>
          <w:rFonts w:eastAsia="Times New Roman"/>
          <w:b/>
          <w:bCs/>
          <w:color w:val="000000"/>
          <w:sz w:val="20"/>
          <w:szCs w:val="20"/>
        </w:rPr>
        <w:t>ward-Looking Statements</w:t>
      </w:r>
    </w:p>
    <w:p w:rsidR="00000000" w:rsidRDefault="00AE54EE">
      <w:pPr>
        <w:ind w:firstLine="450"/>
        <w:divId w:val="916014672"/>
        <w:rPr>
          <w:rFonts w:eastAsia="Times New Roman"/>
        </w:rPr>
      </w:pPr>
      <w:r>
        <w:rPr>
          <w:rFonts w:eastAsia="Times New Roman"/>
          <w:color w:val="000000"/>
          <w:sz w:val="20"/>
          <w:szCs w:val="20"/>
        </w:rPr>
        <w:t xml:space="preserve">This Annual Report on Form 10-K (this “Report”), including “Item 7. Management’s Discussion and Analysis of Financial Condition and Results of Operations,” </w:t>
      </w:r>
      <w:r>
        <w:rPr>
          <w:rFonts w:eastAsia="Times New Roman"/>
          <w:color w:val="000000"/>
          <w:sz w:val="20"/>
          <w:szCs w:val="20"/>
        </w:rPr>
        <w:t>contains forward-looking statements that involve risks and uncertainties, as well as assumptions that may not materialize or prove correct, which could cause our results to differ materially from those expressed in or implied by such forward-looking statem</w:t>
      </w:r>
      <w:r>
        <w:rPr>
          <w:rFonts w:eastAsia="Times New Roman"/>
          <w:color w:val="000000"/>
          <w:sz w:val="20"/>
          <w:szCs w:val="20"/>
        </w:rPr>
        <w:t>ents. All statements other than statements of historical fact are statements that could be deemed forward-looking statements, including, but not limited to, statements concerning: our plans, strategies and objectives for future operations; new products, sy</w:t>
      </w:r>
      <w:r>
        <w:rPr>
          <w:rFonts w:eastAsia="Times New Roman"/>
          <w:color w:val="000000"/>
          <w:sz w:val="20"/>
          <w:szCs w:val="20"/>
        </w:rPr>
        <w:t xml:space="preserve">stems, technologies, services or developments; future economic conditions, performance or outlook; future political conditions; the outcome of contingencies or litigation; environmental remediation cost estimates; the potential level of share repurchases, </w:t>
      </w:r>
      <w:r>
        <w:rPr>
          <w:rFonts w:eastAsia="Times New Roman"/>
          <w:color w:val="000000"/>
          <w:sz w:val="20"/>
          <w:szCs w:val="20"/>
        </w:rPr>
        <w:t>dividends or pension contributions; potential acquisitions or divestitures; the integration of our acquisitions; the value of contract awards and programs; expected revenue; expected cash flows or capital expenditures; our beliefs or expectations; activiti</w:t>
      </w:r>
      <w:r>
        <w:rPr>
          <w:rFonts w:eastAsia="Times New Roman"/>
          <w:color w:val="000000"/>
          <w:sz w:val="20"/>
          <w:szCs w:val="20"/>
        </w:rPr>
        <w:t>es, events or developments that we intend, expect, project, believe or anticipate will or may occur in the future; and assumptions underlying any of the foregoing. Forward-looking statements may be identified by their use of forward-looking terminology, su</w:t>
      </w:r>
      <w:r>
        <w:rPr>
          <w:rFonts w:eastAsia="Times New Roman"/>
          <w:color w:val="000000"/>
          <w:sz w:val="20"/>
          <w:szCs w:val="20"/>
        </w:rPr>
        <w:t xml:space="preserve">ch as “believes,” “expects,” “may,” “could,” “should,” “would,” “will,” </w:t>
      </w:r>
      <w:r>
        <w:rPr>
          <w:rFonts w:eastAsia="Times New Roman"/>
          <w:color w:val="000000"/>
          <w:sz w:val="20"/>
          <w:szCs w:val="20"/>
        </w:rPr>
        <w:lastRenderedPageBreak/>
        <w:t xml:space="preserve">“intends,” “plans,” “estimates,” “anticipates,” “projects” and similar words or expressions. You should not place undue reliance on these forward-looking statements, which reflect our </w:t>
      </w:r>
      <w:r>
        <w:rPr>
          <w:rFonts w:eastAsia="Times New Roman"/>
          <w:color w:val="000000"/>
          <w:sz w:val="20"/>
          <w:szCs w:val="20"/>
        </w:rPr>
        <w:t>management’s opinions only as of the date of filing of this Report and are not guarantees of future performance or actual results. Factors that might cause our results to differ materially from those expressed in or implied by these forward-looking stateme</w:t>
      </w:r>
      <w:r>
        <w:rPr>
          <w:rFonts w:eastAsia="Times New Roman"/>
          <w:color w:val="000000"/>
          <w:sz w:val="20"/>
          <w:szCs w:val="20"/>
        </w:rPr>
        <w:t xml:space="preserve">nts, from our current expectations or projections or from our historical results include, but are not limited to, those discussed in “Item 1A. Risk Factors” of this Report. All forward-looking statements are qualified by, and should be read in conjunction </w:t>
      </w:r>
      <w:r>
        <w:rPr>
          <w:rFonts w:eastAsia="Times New Roman"/>
          <w:color w:val="000000"/>
          <w:sz w:val="20"/>
          <w:szCs w:val="20"/>
        </w:rPr>
        <w:t>with, those risk factors. Forward-looking statements are made in reliance on the safe harbor provisions of Section 27A of the Securities Act of 1933, as amended (the “Securities Act”), and Section 21E of the Securities Exchange Act of 1934, as amended (the</w:t>
      </w:r>
      <w:r>
        <w:rPr>
          <w:rFonts w:eastAsia="Times New Roman"/>
          <w:color w:val="000000"/>
          <w:sz w:val="20"/>
          <w:szCs w:val="20"/>
        </w:rPr>
        <w:t xml:space="preserve"> “Exchange Act”), and are made as of the date of filing of this Report, and we disclaim any intention or obligation, other than imposed by law, to update or revise any forward-looking statements, whether as a result of new information, future events or dev</w:t>
      </w:r>
      <w:r>
        <w:rPr>
          <w:rFonts w:eastAsia="Times New Roman"/>
          <w:color w:val="000000"/>
          <w:sz w:val="20"/>
          <w:szCs w:val="20"/>
        </w:rPr>
        <w:t>elopments or otherwise, after the date of filing of this Report or, in the case of any document incorporated by reference, the date of that document.</w:t>
      </w:r>
    </w:p>
    <w:p w:rsidR="00000000" w:rsidRDefault="00AE54EE">
      <w:pPr>
        <w:ind w:firstLine="450"/>
        <w:divId w:val="443113797"/>
        <w:rPr>
          <w:rFonts w:eastAsia="Times New Roman"/>
        </w:rPr>
      </w:pPr>
      <w:r>
        <w:rPr>
          <w:rFonts w:eastAsia="Times New Roman"/>
          <w:color w:val="000000"/>
          <w:sz w:val="20"/>
          <w:szCs w:val="20"/>
        </w:rPr>
        <w:t xml:space="preserve">Amounts contained in this Report may not always add to totals due to rounding. </w:t>
      </w:r>
    </w:p>
    <w:p w:rsidR="00000000" w:rsidRDefault="00AE54EE">
      <w:pPr>
        <w:divId w:val="1197886052"/>
        <w:rPr>
          <w:rFonts w:eastAsia="Times New Roman"/>
        </w:rPr>
      </w:pPr>
      <w:r>
        <w:rPr>
          <w:rFonts w:eastAsia="Times New Roman"/>
          <w:b/>
          <w:bCs/>
          <w:color w:val="000000"/>
          <w:sz w:val="20"/>
          <w:szCs w:val="20"/>
        </w:rPr>
        <w:t>L3Harris Merger</w:t>
      </w:r>
    </w:p>
    <w:p w:rsidR="00000000" w:rsidRDefault="00AE54EE">
      <w:pPr>
        <w:ind w:firstLine="450"/>
        <w:divId w:val="1858347188"/>
        <w:rPr>
          <w:rFonts w:eastAsia="Times New Roman"/>
        </w:rPr>
      </w:pPr>
      <w:r>
        <w:rPr>
          <w:rFonts w:eastAsia="Times New Roman"/>
          <w:color w:val="000000"/>
          <w:sz w:val="20"/>
          <w:szCs w:val="20"/>
        </w:rPr>
        <w:t>As describ</w:t>
      </w:r>
      <w:r>
        <w:rPr>
          <w:rFonts w:eastAsia="Times New Roman"/>
          <w:color w:val="000000"/>
          <w:sz w:val="20"/>
          <w:szCs w:val="20"/>
        </w:rPr>
        <w:t xml:space="preserve">ed in more detail in </w:t>
      </w:r>
      <w:r>
        <w:rPr>
          <w:rFonts w:eastAsia="Times New Roman"/>
          <w:i/>
          <w:iCs/>
          <w:color w:val="000000"/>
          <w:sz w:val="20"/>
          <w:szCs w:val="20"/>
        </w:rPr>
        <w:t>Note 1: Significant Accounting Policies</w:t>
      </w:r>
      <w:r>
        <w:rPr>
          <w:rFonts w:eastAsia="Times New Roman"/>
          <w:color w:val="000000"/>
          <w:sz w:val="20"/>
          <w:szCs w:val="20"/>
        </w:rPr>
        <w:t xml:space="preserve"> under “Principles of Consolidation” and </w:t>
      </w:r>
      <w:r>
        <w:rPr>
          <w:rFonts w:eastAsia="Times New Roman"/>
          <w:i/>
          <w:iCs/>
          <w:color w:val="000000"/>
          <w:sz w:val="20"/>
          <w:szCs w:val="20"/>
        </w:rPr>
        <w:t>Note 4: Business Combination</w:t>
      </w:r>
      <w:r>
        <w:rPr>
          <w:rFonts w:eastAsia="Times New Roman"/>
          <w:color w:val="000000"/>
          <w:sz w:val="20"/>
          <w:szCs w:val="20"/>
        </w:rPr>
        <w:t xml:space="preserve"> in the Notes to Consolidated Financial Statements in this Report (the “Notes”), on October 12, 2018, Harris Corporation (“Harr</w:t>
      </w:r>
      <w:r>
        <w:rPr>
          <w:rFonts w:eastAsia="Times New Roman"/>
          <w:color w:val="000000"/>
          <w:sz w:val="20"/>
          <w:szCs w:val="20"/>
        </w:rPr>
        <w:t>is”) entered into an Agreement and Plan of Merger (the “Merger Agreement”) with L3 Technologies, Inc. (“L3”) and Leopard Merger Sub Inc., a newly formed, direct wholly-owned subsidiary of Harris (“Merger Sub”), pursuant to which Harris and L3 agreed to com</w:t>
      </w:r>
      <w:r>
        <w:rPr>
          <w:rFonts w:eastAsia="Times New Roman"/>
          <w:color w:val="000000"/>
          <w:sz w:val="20"/>
          <w:szCs w:val="20"/>
        </w:rPr>
        <w:t>bine their respective businesses in an all-stock merger, at the closing of which Merger Sub would merge with and into L3, with L3 continuing as the surviving corporation and a direct wholly-owned subsidiary of Harris (the “L3Harris Merger”), and Harris’ na</w:t>
      </w:r>
      <w:r>
        <w:rPr>
          <w:rFonts w:eastAsia="Times New Roman"/>
          <w:color w:val="000000"/>
          <w:sz w:val="20"/>
          <w:szCs w:val="20"/>
        </w:rPr>
        <w:t>me would change to “L3Harris Technologies, Inc.” The closing of the L3Harris Merger occurred on June 29, 2019, after the end of Harris’ fiscal 2019 on June 28, 2019.</w:t>
      </w:r>
    </w:p>
    <w:p w:rsidR="00000000" w:rsidRDefault="00AE54EE">
      <w:pPr>
        <w:ind w:firstLine="450"/>
        <w:jc w:val="center"/>
        <w:divId w:val="775170633"/>
        <w:rPr>
          <w:rFonts w:eastAsia="Times New Roman"/>
        </w:rPr>
      </w:pPr>
      <w:r>
        <w:rPr>
          <w:rFonts w:eastAsia="Times New Roman"/>
          <w:b/>
          <w:bCs/>
          <w:color w:val="000000"/>
        </w:rPr>
        <w:t>PART I</w:t>
      </w:r>
    </w:p>
    <w:p w:rsidR="00000000" w:rsidRDefault="00AE54EE">
      <w:pPr>
        <w:ind w:firstLine="450"/>
        <w:divId w:val="1225486267"/>
        <w:rPr>
          <w:rFonts w:eastAsia="Times New Roman"/>
        </w:rPr>
      </w:pPr>
      <w:r>
        <w:rPr>
          <w:rFonts w:eastAsia="Times New Roman"/>
          <w:color w:val="000000"/>
          <w:sz w:val="18"/>
          <w:szCs w:val="18"/>
        </w:rPr>
        <w:t> </w:t>
      </w:r>
    </w:p>
    <w:tbl>
      <w:tblPr>
        <w:tblW w:w="1537"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514"/>
        <w:gridCol w:w="36"/>
      </w:tblGrid>
      <w:tr w:rsidR="00000000">
        <w:trPr>
          <w:divId w:val="98793307"/>
        </w:trPr>
        <w:tc>
          <w:tcPr>
            <w:tcW w:w="50" w:type="pct"/>
            <w:vAlign w:val="center"/>
            <w:hideMark/>
          </w:tcPr>
          <w:p w:rsidR="00000000" w:rsidRDefault="00AE54EE">
            <w:pPr>
              <w:ind w:firstLine="450"/>
              <w:rPr>
                <w:rFonts w:eastAsia="Times New Roman"/>
              </w:rPr>
            </w:pPr>
          </w:p>
        </w:tc>
        <w:tc>
          <w:tcPr>
            <w:tcW w:w="183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05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98793307"/>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1.</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BUSINESS.</w:t>
            </w:r>
          </w:p>
        </w:tc>
      </w:tr>
    </w:tbl>
    <w:p w:rsidR="00000000" w:rsidRDefault="00AE54EE">
      <w:pPr>
        <w:ind w:firstLine="450"/>
        <w:jc w:val="center"/>
        <w:divId w:val="7997280"/>
        <w:rPr>
          <w:rFonts w:eastAsia="Times New Roman"/>
        </w:rPr>
      </w:pPr>
      <w:r>
        <w:rPr>
          <w:rFonts w:eastAsia="Times New Roman"/>
          <w:b/>
          <w:bCs/>
          <w:color w:val="000000"/>
          <w:sz w:val="20"/>
          <w:szCs w:val="20"/>
        </w:rPr>
        <w:t>L3HARRIS</w:t>
      </w:r>
    </w:p>
    <w:p w:rsidR="00000000" w:rsidRDefault="00AE54EE">
      <w:pPr>
        <w:divId w:val="2146727354"/>
        <w:rPr>
          <w:rFonts w:eastAsia="Times New Roman"/>
        </w:rPr>
      </w:pPr>
      <w:r>
        <w:rPr>
          <w:rFonts w:eastAsia="Times New Roman"/>
          <w:b/>
          <w:bCs/>
          <w:color w:val="000000"/>
          <w:sz w:val="20"/>
          <w:szCs w:val="20"/>
        </w:rPr>
        <w:t>General</w:t>
      </w:r>
    </w:p>
    <w:p w:rsidR="00000000" w:rsidRDefault="00AE54EE">
      <w:pPr>
        <w:ind w:firstLine="450"/>
        <w:divId w:val="336999134"/>
        <w:rPr>
          <w:rFonts w:eastAsia="Times New Roman"/>
        </w:rPr>
      </w:pPr>
      <w:r>
        <w:rPr>
          <w:rFonts w:eastAsia="Times New Roman"/>
          <w:color w:val="000000"/>
          <w:sz w:val="20"/>
          <w:szCs w:val="20"/>
        </w:rPr>
        <w:t>L3Harris Technologies, Inc. is an agile global aerospace and defense technology innovator, delivering end-to-end solutions that meet customers’ mission-critical needs. Unless the context otherwise requires, the terms “we,” “our,” “us,” “Company” and “L3Har</w:t>
      </w:r>
      <w:r>
        <w:rPr>
          <w:rFonts w:eastAsia="Times New Roman"/>
          <w:color w:val="000000"/>
          <w:sz w:val="20"/>
          <w:szCs w:val="20"/>
        </w:rPr>
        <w:t>ris” as used in this Report mean the combined company L3Harris Technologies, Inc. and its subsidiaries, when referring to periods after the end of fiscal 2019 (after the L3Harris Merger) and mean Harris and its subsidiaries when referring to fiscal 2019 (p</w:t>
      </w:r>
      <w:r>
        <w:rPr>
          <w:rFonts w:eastAsia="Times New Roman"/>
          <w:color w:val="000000"/>
          <w:sz w:val="20"/>
          <w:szCs w:val="20"/>
        </w:rPr>
        <w:t xml:space="preserve">rior to the L3Harris Merger). </w:t>
      </w:r>
    </w:p>
    <w:p w:rsidR="00000000" w:rsidRDefault="00AE54EE">
      <w:pPr>
        <w:ind w:firstLine="450"/>
        <w:divId w:val="2054310553"/>
        <w:rPr>
          <w:rFonts w:eastAsia="Times New Roman"/>
        </w:rPr>
      </w:pPr>
      <w:r>
        <w:rPr>
          <w:rFonts w:eastAsia="Times New Roman"/>
          <w:color w:val="000000"/>
          <w:sz w:val="20"/>
          <w:szCs w:val="20"/>
        </w:rPr>
        <w:t>We provide advanced defense and commercial technologies across space, air, land, sea and cyber domains. We support government and commercial customers in more than 100 countries, with our largest customers being various depar</w:t>
      </w:r>
      <w:r>
        <w:rPr>
          <w:rFonts w:eastAsia="Times New Roman"/>
          <w:color w:val="000000"/>
          <w:sz w:val="20"/>
          <w:szCs w:val="20"/>
        </w:rPr>
        <w:t>tments and agencies of the U.S. Government and their prime contractors. Our products, systems and services have defense and civil government applications, as well as commercial applications. As of December 31, 2021, we had approximately 47,000 employees, i</w:t>
      </w:r>
      <w:r>
        <w:rPr>
          <w:rFonts w:eastAsia="Times New Roman"/>
          <w:color w:val="000000"/>
          <w:sz w:val="20"/>
          <w:szCs w:val="20"/>
        </w:rPr>
        <w:t>ncluding approximately 19,000 engineers and scientists.</w:t>
      </w:r>
    </w:p>
    <w:p w:rsidR="00000000" w:rsidRDefault="00AE54EE">
      <w:pPr>
        <w:ind w:firstLine="450"/>
        <w:divId w:val="1630819612"/>
        <w:rPr>
          <w:rFonts w:eastAsia="Times New Roman"/>
        </w:rPr>
      </w:pPr>
      <w:r>
        <w:rPr>
          <w:rFonts w:eastAsia="Times New Roman"/>
          <w:color w:val="000000"/>
          <w:sz w:val="20"/>
          <w:szCs w:val="20"/>
        </w:rPr>
        <w:t xml:space="preserve">We structure our operations primarily around the products, systems and services we sell and the markets we serve, and for fiscal 2021 we reported the financial results of our continuing operations in </w:t>
      </w:r>
      <w:r>
        <w:rPr>
          <w:rFonts w:eastAsia="Times New Roman"/>
          <w:color w:val="000000"/>
          <w:sz w:val="20"/>
          <w:szCs w:val="20"/>
        </w:rPr>
        <w:t>the following four operating segments, which were also our reportable segments for fiscal 2021, and are referred to as our business segments:</w:t>
      </w:r>
    </w:p>
    <w:p w:rsidR="00000000" w:rsidRDefault="00AE54EE">
      <w:pPr>
        <w:ind w:firstLine="450"/>
        <w:jc w:val="center"/>
        <w:divId w:val="716583928"/>
        <w:rPr>
          <w:rFonts w:eastAsia="Times New Roman"/>
        </w:rPr>
      </w:pPr>
      <w:r>
        <w:rPr>
          <w:rFonts w:eastAsia="Times New Roman"/>
          <w:color w:val="000000"/>
          <w:sz w:val="20"/>
          <w:szCs w:val="20"/>
        </w:rPr>
        <w:t>1</w:t>
      </w:r>
    </w:p>
    <w:p w:rsidR="00000000" w:rsidRDefault="00AE54EE">
      <w:pPr>
        <w:rPr>
          <w:rFonts w:eastAsia="Times New Roman"/>
        </w:rPr>
      </w:pPr>
      <w:r>
        <w:rPr>
          <w:rFonts w:eastAsia="Times New Roman"/>
        </w:rPr>
        <w:pict>
          <v:rect id="_x0000_i1028" style="width:0;height:1.5pt" o:hralign="center" o:hrstd="t" o:hr="t" fillcolor="#a0a0a0" stroked="f"/>
        </w:pict>
      </w:r>
    </w:p>
    <w:p w:rsidR="00000000" w:rsidRDefault="00AE54EE">
      <w:pPr>
        <w:ind w:firstLine="450"/>
        <w:divId w:val="17006216"/>
        <w:rPr>
          <w:rFonts w:eastAsia="Times New Roman"/>
        </w:rPr>
      </w:pPr>
    </w:p>
    <w:p w:rsidR="00000000" w:rsidRDefault="00AE54EE">
      <w:pPr>
        <w:ind w:hanging="360"/>
        <w:divId w:val="2048145190"/>
        <w:rPr>
          <w:rFonts w:eastAsia="Times New Roman"/>
        </w:rPr>
      </w:pPr>
      <w:r>
        <w:rPr>
          <w:rFonts w:eastAsia="Times New Roman"/>
          <w:color w:val="000000"/>
          <w:sz w:val="20"/>
          <w:szCs w:val="20"/>
        </w:rPr>
        <w:lastRenderedPageBreak/>
        <w:t>•Integrated Mission Systems, including multi-mission intelligence, surveil</w:t>
      </w:r>
      <w:r>
        <w:rPr>
          <w:rFonts w:eastAsia="Times New Roman"/>
          <w:color w:val="000000"/>
          <w:sz w:val="20"/>
          <w:szCs w:val="20"/>
        </w:rPr>
        <w:t>lance and reconnaissance (“ISR”) and communication systems; integrated electrical and electronic systems for maritime platforms; and advanced electro-optical and infrared (“EO/IR”) solutions;</w:t>
      </w:r>
    </w:p>
    <w:p w:rsidR="00000000" w:rsidRDefault="00AE54EE">
      <w:pPr>
        <w:ind w:hanging="360"/>
        <w:divId w:val="1235554131"/>
        <w:rPr>
          <w:rFonts w:eastAsia="Times New Roman"/>
        </w:rPr>
      </w:pPr>
      <w:r>
        <w:rPr>
          <w:rFonts w:eastAsia="Times New Roman"/>
          <w:color w:val="000000"/>
          <w:sz w:val="20"/>
          <w:szCs w:val="20"/>
        </w:rPr>
        <w:t>•Space &amp; Airborne Systems, including space payloads, sensors and</w:t>
      </w:r>
      <w:r>
        <w:rPr>
          <w:rFonts w:eastAsia="Times New Roman"/>
          <w:color w:val="000000"/>
          <w:sz w:val="20"/>
          <w:szCs w:val="20"/>
        </w:rPr>
        <w:t xml:space="preserve"> full-mission solutions; classified intelligence and cyber defense; avionics; and electronic warfare;</w:t>
      </w:r>
    </w:p>
    <w:p w:rsidR="00000000" w:rsidRDefault="00AE54EE">
      <w:pPr>
        <w:ind w:hanging="360"/>
        <w:divId w:val="2089960304"/>
        <w:rPr>
          <w:rFonts w:eastAsia="Times New Roman"/>
        </w:rPr>
      </w:pPr>
      <w:r>
        <w:rPr>
          <w:rFonts w:eastAsia="Times New Roman"/>
          <w:color w:val="000000"/>
          <w:sz w:val="20"/>
          <w:szCs w:val="20"/>
        </w:rPr>
        <w:t>•Communication Systems, including tactical communications; broadband communications; integrated vision solutions; and public safety radios; global communi</w:t>
      </w:r>
      <w:r>
        <w:rPr>
          <w:rFonts w:eastAsia="Times New Roman"/>
          <w:color w:val="000000"/>
          <w:sz w:val="20"/>
          <w:szCs w:val="20"/>
        </w:rPr>
        <w:t xml:space="preserve">cations solutions and </w:t>
      </w:r>
    </w:p>
    <w:p w:rsidR="00000000" w:rsidRDefault="00AE54EE">
      <w:pPr>
        <w:ind w:hanging="360"/>
        <w:divId w:val="1248467090"/>
        <w:rPr>
          <w:rFonts w:eastAsia="Times New Roman"/>
        </w:rPr>
      </w:pPr>
      <w:r>
        <w:rPr>
          <w:rFonts w:eastAsia="Times New Roman"/>
          <w:color w:val="000000"/>
          <w:sz w:val="20"/>
          <w:szCs w:val="20"/>
        </w:rPr>
        <w:t>•Aviation Systems, including defense aviation; commercial aviation products; commercial pilot training; and mission networks for air traffic management.</w:t>
      </w:r>
    </w:p>
    <w:p w:rsidR="00000000" w:rsidRDefault="00AE54EE">
      <w:pPr>
        <w:ind w:firstLine="495"/>
        <w:divId w:val="956714443"/>
        <w:rPr>
          <w:rFonts w:eastAsia="Times New Roman"/>
        </w:rPr>
      </w:pPr>
      <w:r>
        <w:rPr>
          <w:rFonts w:eastAsia="Times New Roman"/>
          <w:color w:val="000000"/>
          <w:sz w:val="20"/>
          <w:szCs w:val="20"/>
        </w:rPr>
        <w:t>Effective January 1, 2022, we have streamlined our business segments from four b</w:t>
      </w:r>
      <w:r>
        <w:rPr>
          <w:rFonts w:eastAsia="Times New Roman"/>
          <w:color w:val="000000"/>
          <w:sz w:val="20"/>
          <w:szCs w:val="20"/>
        </w:rPr>
        <w:t>usiness segments to three business segments. As a result of the segment reorganization, the Aviation Systems segment was eliminated as a business segment and the ongoing operations that had been part of the Aviation Systems segment were integrated into the</w:t>
      </w:r>
      <w:r>
        <w:rPr>
          <w:rFonts w:eastAsia="Times New Roman"/>
          <w:color w:val="000000"/>
          <w:sz w:val="20"/>
          <w:szCs w:val="20"/>
        </w:rPr>
        <w:t xml:space="preserve"> remaining segments. Defense aviation, commercial aviation products and commercial pilot training operations were moved into the Integrated Mission Solutions segment; and mission networks for air traffic management operations were moved into the Space &amp; Ai</w:t>
      </w:r>
      <w:r>
        <w:rPr>
          <w:rFonts w:eastAsia="Times New Roman"/>
          <w:color w:val="000000"/>
          <w:sz w:val="20"/>
          <w:szCs w:val="20"/>
        </w:rPr>
        <w:t xml:space="preserve">rborne Systems segment. The changes to our reporting segments took effect in fiscal 2022 and therefore do not affect the historical results, discussion or presentation of our business segments as set forth in this Report. See </w:t>
      </w:r>
      <w:r>
        <w:rPr>
          <w:rFonts w:eastAsia="Times New Roman"/>
          <w:i/>
          <w:iCs/>
          <w:color w:val="000000"/>
          <w:sz w:val="20"/>
          <w:szCs w:val="20"/>
        </w:rPr>
        <w:t>Note 27: Subsequent Events</w:t>
      </w:r>
      <w:r>
        <w:rPr>
          <w:rFonts w:eastAsia="Times New Roman"/>
          <w:color w:val="000000"/>
          <w:sz w:val="20"/>
          <w:szCs w:val="20"/>
        </w:rPr>
        <w:t xml:space="preserve"> in </w:t>
      </w:r>
      <w:r>
        <w:rPr>
          <w:rFonts w:eastAsia="Times New Roman"/>
          <w:color w:val="000000"/>
          <w:sz w:val="20"/>
          <w:szCs w:val="20"/>
        </w:rPr>
        <w:t xml:space="preserve">the Notes for additional information. </w:t>
      </w:r>
    </w:p>
    <w:p w:rsidR="00000000" w:rsidRDefault="00AE54EE">
      <w:pPr>
        <w:divId w:val="2060784193"/>
        <w:rPr>
          <w:rFonts w:eastAsia="Times New Roman"/>
        </w:rPr>
      </w:pPr>
      <w:r>
        <w:rPr>
          <w:rFonts w:eastAsia="Times New Roman"/>
          <w:b/>
          <w:bCs/>
          <w:color w:val="000000"/>
          <w:sz w:val="20"/>
          <w:szCs w:val="20"/>
        </w:rPr>
        <w:t>L3Harris Merger</w:t>
      </w:r>
    </w:p>
    <w:p w:rsidR="00000000" w:rsidRDefault="00AE54EE">
      <w:pPr>
        <w:ind w:firstLine="450"/>
        <w:divId w:val="1495292105"/>
        <w:rPr>
          <w:rFonts w:eastAsia="Times New Roman"/>
        </w:rPr>
      </w:pPr>
      <w:r>
        <w:rPr>
          <w:rFonts w:eastAsia="Times New Roman"/>
          <w:color w:val="000000"/>
          <w:sz w:val="20"/>
          <w:szCs w:val="20"/>
        </w:rPr>
        <w:t xml:space="preserve">As noted above and described in more detail in </w:t>
      </w:r>
      <w:r>
        <w:rPr>
          <w:rFonts w:eastAsia="Times New Roman"/>
          <w:i/>
          <w:iCs/>
          <w:color w:val="000000"/>
          <w:sz w:val="20"/>
          <w:szCs w:val="20"/>
        </w:rPr>
        <w:t>Note 1: Significant Accounting Policies</w:t>
      </w:r>
      <w:r>
        <w:rPr>
          <w:rFonts w:eastAsia="Times New Roman"/>
          <w:color w:val="000000"/>
          <w:sz w:val="20"/>
          <w:szCs w:val="20"/>
        </w:rPr>
        <w:t xml:space="preserve"> under “Principles of Consolidation” and </w:t>
      </w:r>
      <w:r>
        <w:rPr>
          <w:rFonts w:eastAsia="Times New Roman"/>
          <w:i/>
          <w:iCs/>
          <w:color w:val="000000"/>
          <w:sz w:val="20"/>
          <w:szCs w:val="20"/>
        </w:rPr>
        <w:t>Note 4: Business Combination</w:t>
      </w:r>
      <w:r>
        <w:rPr>
          <w:rFonts w:eastAsia="Times New Roman"/>
          <w:color w:val="000000"/>
          <w:sz w:val="20"/>
          <w:szCs w:val="20"/>
        </w:rPr>
        <w:t xml:space="preserve"> in the Notes, we completed the L3Harris Merge</w:t>
      </w:r>
      <w:r>
        <w:rPr>
          <w:rFonts w:eastAsia="Times New Roman"/>
          <w:color w:val="000000"/>
          <w:sz w:val="20"/>
          <w:szCs w:val="20"/>
        </w:rPr>
        <w:t>r on June 29, 2019, the day after Harris’ fiscal 2019 ended and the first day of our Fiscal Transition Period (as defined below). L3 was a prime contractor in ISR systems, aircraft sustainment (including modifications and fleet management of special missio</w:t>
      </w:r>
      <w:r>
        <w:rPr>
          <w:rFonts w:eastAsia="Times New Roman"/>
          <w:color w:val="000000"/>
          <w:sz w:val="20"/>
          <w:szCs w:val="20"/>
        </w:rPr>
        <w:t>n aircraft), simulation and training, night vision and image intensification equipment and security and detection systems. L3 also was a leading provider of a broad range of communication, electro-optical solutions and electronic and sensor systems used on</w:t>
      </w:r>
      <w:r>
        <w:rPr>
          <w:rFonts w:eastAsia="Times New Roman"/>
          <w:color w:val="000000"/>
          <w:sz w:val="20"/>
          <w:szCs w:val="20"/>
        </w:rPr>
        <w:t xml:space="preserve"> military, homeland security and commercial platforms. L3 customers included the U.S. Department of Defense (“DoD”) and its prime contractors, the U.S. Intelligence Community, the U.S. Department of Homeland Security (“DHS”), foreign governments and domest</w:t>
      </w:r>
      <w:r>
        <w:rPr>
          <w:rFonts w:eastAsia="Times New Roman"/>
          <w:color w:val="000000"/>
          <w:sz w:val="20"/>
          <w:szCs w:val="20"/>
        </w:rPr>
        <w:t xml:space="preserve">ic and foreign commercial customers. </w:t>
      </w:r>
    </w:p>
    <w:p w:rsidR="00000000" w:rsidRDefault="00AE54EE">
      <w:pPr>
        <w:divId w:val="1279994770"/>
        <w:rPr>
          <w:rFonts w:eastAsia="Times New Roman"/>
        </w:rPr>
      </w:pPr>
      <w:r>
        <w:rPr>
          <w:rFonts w:eastAsia="Times New Roman"/>
          <w:b/>
          <w:bCs/>
          <w:color w:val="000000"/>
          <w:sz w:val="20"/>
          <w:szCs w:val="20"/>
        </w:rPr>
        <w:t>Change in Fiscal Year</w:t>
      </w:r>
    </w:p>
    <w:p w:rsidR="00000000" w:rsidRDefault="00AE54EE">
      <w:pPr>
        <w:ind w:firstLine="450"/>
        <w:divId w:val="306134602"/>
        <w:rPr>
          <w:rFonts w:eastAsia="Times New Roman"/>
        </w:rPr>
      </w:pPr>
      <w:r>
        <w:rPr>
          <w:rFonts w:eastAsia="Times New Roman"/>
          <w:color w:val="000000"/>
          <w:sz w:val="20"/>
          <w:szCs w:val="20"/>
        </w:rPr>
        <w:t>Through fiscal 2019, our fiscal years ended on the Friday nearest June 30. Commencing June 29, 2019, our fiscal year ends on the Friday nearest December 31. The period that commenced on June 29, 2</w:t>
      </w:r>
      <w:r>
        <w:rPr>
          <w:rFonts w:eastAsia="Times New Roman"/>
          <w:color w:val="000000"/>
          <w:sz w:val="20"/>
          <w:szCs w:val="20"/>
        </w:rPr>
        <w:t>019 was a fiscal transition period that ended on January 3, 2020 (“Fiscal Transition Period”), our fiscal 2020 commenced on January 4, 2020 and ended on January 1, 2021, and our fiscal 2021 commenced on January 2, 2021 and ended on December 31, 2021.</w:t>
      </w:r>
    </w:p>
    <w:p w:rsidR="00000000" w:rsidRDefault="00AE54EE">
      <w:pPr>
        <w:ind w:firstLine="450"/>
        <w:jc w:val="center"/>
        <w:divId w:val="1228492382"/>
        <w:rPr>
          <w:rFonts w:eastAsia="Times New Roman"/>
        </w:rPr>
      </w:pPr>
      <w:r>
        <w:rPr>
          <w:rFonts w:eastAsia="Times New Roman"/>
          <w:color w:val="000000"/>
          <w:sz w:val="20"/>
          <w:szCs w:val="20"/>
        </w:rPr>
        <w:t>2</w:t>
      </w:r>
    </w:p>
    <w:p w:rsidR="00000000" w:rsidRDefault="00AE54EE">
      <w:pPr>
        <w:rPr>
          <w:rFonts w:eastAsia="Times New Roman"/>
        </w:rPr>
      </w:pPr>
      <w:r>
        <w:rPr>
          <w:rFonts w:eastAsia="Times New Roman"/>
        </w:rPr>
        <w:pict>
          <v:rect id="_x0000_i1029" style="width:0;height:1.5pt" o:hralign="center" o:hrstd="t" o:hr="t" fillcolor="#a0a0a0" stroked="f"/>
        </w:pict>
      </w:r>
    </w:p>
    <w:p w:rsidR="00000000" w:rsidRDefault="00AE54EE">
      <w:pPr>
        <w:ind w:firstLine="450"/>
        <w:divId w:val="1787429742"/>
        <w:rPr>
          <w:rFonts w:eastAsia="Times New Roman"/>
        </w:rPr>
      </w:pPr>
    </w:p>
    <w:p w:rsidR="00000000" w:rsidRDefault="00AE54EE">
      <w:pPr>
        <w:divId w:val="481577912"/>
        <w:rPr>
          <w:rFonts w:eastAsia="Times New Roman"/>
        </w:rPr>
      </w:pPr>
      <w:r>
        <w:rPr>
          <w:rFonts w:eastAsia="Times New Roman"/>
          <w:b/>
          <w:bCs/>
          <w:color w:val="000000"/>
          <w:sz w:val="20"/>
          <w:szCs w:val="20"/>
        </w:rPr>
        <w:t>Divestitures and Asset Sales</w:t>
      </w:r>
    </w:p>
    <w:p w:rsidR="00000000" w:rsidRDefault="00AE54EE">
      <w:pPr>
        <w:ind w:firstLine="450"/>
        <w:divId w:val="25569529"/>
        <w:rPr>
          <w:rFonts w:eastAsia="Times New Roman"/>
        </w:rPr>
      </w:pPr>
      <w:r>
        <w:rPr>
          <w:rFonts w:eastAsia="Times New Roman"/>
          <w:color w:val="000000"/>
          <w:sz w:val="20"/>
          <w:szCs w:val="20"/>
        </w:rPr>
        <w:t>We completed the following business divestitures and asset sales during fiscal 2021, fiscal 2020 and the two quarters ended January 3, 2020:</w:t>
      </w:r>
    </w:p>
    <w:tbl>
      <w:tblPr>
        <w:tblW w:w="5000" w:type="pct"/>
        <w:tblCellMar>
          <w:top w:w="15" w:type="dxa"/>
          <w:left w:w="15" w:type="dxa"/>
          <w:bottom w:w="15" w:type="dxa"/>
          <w:right w:w="15" w:type="dxa"/>
        </w:tblCellMar>
        <w:tblLook w:val="04A0" w:firstRow="1" w:lastRow="0" w:firstColumn="1" w:lastColumn="0" w:noHBand="0" w:noVBand="1"/>
      </w:tblPr>
      <w:tblGrid>
        <w:gridCol w:w="43"/>
        <w:gridCol w:w="3076"/>
        <w:gridCol w:w="39"/>
        <w:gridCol w:w="45"/>
        <w:gridCol w:w="1998"/>
        <w:gridCol w:w="37"/>
        <w:gridCol w:w="36"/>
        <w:gridCol w:w="36"/>
        <w:gridCol w:w="36"/>
        <w:gridCol w:w="51"/>
        <w:gridCol w:w="1316"/>
        <w:gridCol w:w="38"/>
        <w:gridCol w:w="36"/>
        <w:gridCol w:w="36"/>
        <w:gridCol w:w="36"/>
        <w:gridCol w:w="120"/>
        <w:gridCol w:w="1219"/>
        <w:gridCol w:w="36"/>
        <w:gridCol w:w="36"/>
        <w:gridCol w:w="36"/>
      </w:tblGrid>
      <w:tr w:rsidR="00000000">
        <w:trPr>
          <w:divId w:val="2097089966"/>
        </w:trPr>
        <w:tc>
          <w:tcPr>
            <w:tcW w:w="50" w:type="pct"/>
            <w:vAlign w:val="center"/>
            <w:hideMark/>
          </w:tcPr>
          <w:p w:rsidR="00000000" w:rsidRDefault="00AE54EE">
            <w:pPr>
              <w:ind w:firstLine="450"/>
              <w:rPr>
                <w:rFonts w:eastAsia="Times New Roman"/>
              </w:rPr>
            </w:pPr>
          </w:p>
        </w:tc>
        <w:tc>
          <w:tcPr>
            <w:tcW w:w="189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23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82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6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Business Segmen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Date of Divestiture</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Sale Price</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2097089966"/>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i/>
                <w:iCs/>
                <w:color w:val="000000"/>
                <w:sz w:val="20"/>
                <w:szCs w:val="20"/>
              </w:rPr>
              <w:t>Fiscal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928806415"/>
              <w:rPr>
                <w:rFonts w:eastAsia="Times New Roman"/>
              </w:rPr>
            </w:pPr>
            <w:r>
              <w:rPr>
                <w:rFonts w:eastAsia="Times New Roman"/>
                <w:color w:val="000000"/>
                <w:sz w:val="20"/>
                <w:szCs w:val="20"/>
              </w:rPr>
              <w:t>Narda-MITEQ busines</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December 6,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740061801"/>
              <w:rPr>
                <w:rFonts w:eastAsia="Times New Roman"/>
              </w:rPr>
            </w:pPr>
            <w:r>
              <w:rPr>
                <w:rFonts w:eastAsia="Times New Roman"/>
                <w:color w:val="000000"/>
                <w:sz w:val="20"/>
                <w:szCs w:val="20"/>
              </w:rPr>
              <w:t>ESSCO busines</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November 26,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398089301"/>
              <w:rPr>
                <w:rFonts w:eastAsia="Times New Roman"/>
              </w:rPr>
            </w:pPr>
            <w:r>
              <w:rPr>
                <w:rFonts w:eastAsia="Times New Roman"/>
                <w:color w:val="000000"/>
                <w:sz w:val="20"/>
                <w:szCs w:val="20"/>
              </w:rPr>
              <w:t>Electron Devices busines</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October 1,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825629715"/>
              <w:rPr>
                <w:rFonts w:eastAsia="Times New Roman"/>
              </w:rPr>
            </w:pPr>
            <w:r>
              <w:rPr>
                <w:rFonts w:eastAsia="Times New Roman"/>
                <w:color w:val="000000"/>
                <w:sz w:val="20"/>
                <w:szCs w:val="20"/>
              </w:rPr>
              <w:t>VSE disposal grou</w:t>
            </w:r>
            <w:r>
              <w:rPr>
                <w:rFonts w:eastAsia="Times New Roman"/>
                <w:color w:val="000000"/>
                <w:sz w:val="20"/>
                <w:szCs w:val="20"/>
              </w:rPr>
              <w:t>p</w:t>
            </w:r>
            <w:r>
              <w:rPr>
                <w:rFonts w:eastAsia="Times New Roman"/>
                <w:color w:val="000000"/>
                <w:sz w:val="13"/>
                <w:szCs w:val="13"/>
              </w:rPr>
              <w:t>(5</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30,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558827085"/>
              <w:rPr>
                <w:rFonts w:eastAsia="Times New Roman"/>
              </w:rPr>
            </w:pPr>
            <w:r>
              <w:rPr>
                <w:rFonts w:eastAsia="Times New Roman"/>
                <w:color w:val="000000"/>
                <w:sz w:val="20"/>
                <w:szCs w:val="20"/>
              </w:rPr>
              <w:lastRenderedPageBreak/>
              <w:t>CPS busines</w:t>
            </w:r>
            <w:r>
              <w:rPr>
                <w:rFonts w:eastAsia="Times New Roman"/>
                <w:color w:val="000000"/>
                <w:sz w:val="20"/>
                <w:szCs w:val="20"/>
              </w:rPr>
              <w:t>s</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2,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398 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237089404"/>
              <w:rPr>
                <w:rFonts w:eastAsia="Times New Roman"/>
              </w:rPr>
            </w:pPr>
            <w:r>
              <w:rPr>
                <w:rFonts w:eastAsia="Times New Roman"/>
                <w:color w:val="000000"/>
                <w:sz w:val="20"/>
                <w:szCs w:val="20"/>
              </w:rPr>
              <w:t>Military training busines</w:t>
            </w:r>
            <w:r>
              <w:rPr>
                <w:rFonts w:eastAsia="Times New Roman"/>
                <w:color w:val="000000"/>
                <w:sz w:val="20"/>
                <w:szCs w:val="20"/>
              </w:rPr>
              <w:t>s</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2,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i/>
                <w:iCs/>
                <w:color w:val="000000"/>
                <w:sz w:val="20"/>
                <w:szCs w:val="20"/>
              </w:rPr>
              <w:t>Fiscal 2020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FFFFFF"/>
            <w:tcMar>
              <w:top w:w="30" w:type="dxa"/>
              <w:left w:w="20" w:type="dxa"/>
              <w:bottom w:w="30" w:type="dxa"/>
              <w:right w:w="20" w:type="dxa"/>
            </w:tcMar>
            <w:hideMark/>
          </w:tcPr>
          <w:p w:rsidR="00000000" w:rsidRDefault="00AE54EE">
            <w:pPr>
              <w:spacing w:after="100"/>
              <w:divId w:val="1483809926"/>
              <w:rPr>
                <w:rFonts w:eastAsia="Times New Roman"/>
              </w:rPr>
            </w:pPr>
            <w:r>
              <w:rPr>
                <w:rFonts w:eastAsia="Times New Roman"/>
                <w:color w:val="000000"/>
                <w:sz w:val="20"/>
                <w:szCs w:val="20"/>
              </w:rPr>
              <w:t>EOTech busines</w:t>
            </w:r>
            <w:r>
              <w:rPr>
                <w:rFonts w:eastAsia="Times New Roman"/>
                <w:color w:val="000000"/>
                <w:sz w:val="20"/>
                <w:szCs w:val="20"/>
              </w:rPr>
              <w:t>s</w:t>
            </w:r>
            <w:r>
              <w:rPr>
                <w:rFonts w:eastAsia="Times New Roman"/>
                <w:color w:val="000000"/>
                <w:sz w:val="13"/>
                <w:szCs w:val="13"/>
              </w:rPr>
              <w:t>(8</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hanging="180"/>
              <w:jc w:val="center"/>
              <w:rPr>
                <w:rFonts w:eastAsia="Times New Roman"/>
              </w:rPr>
            </w:pPr>
            <w:r>
              <w:rPr>
                <w:rFonts w:eastAsia="Times New Roman"/>
                <w:color w:val="000000"/>
                <w:sz w:val="20"/>
                <w:szCs w:val="20"/>
              </w:rPr>
              <w:t>Communication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ind w:hanging="18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31, 2020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CCEEFF"/>
            <w:tcMar>
              <w:top w:w="30" w:type="dxa"/>
              <w:left w:w="20" w:type="dxa"/>
              <w:bottom w:w="30" w:type="dxa"/>
              <w:right w:w="20" w:type="dxa"/>
            </w:tcMar>
            <w:hideMark/>
          </w:tcPr>
          <w:p w:rsidR="00000000" w:rsidRDefault="00AE54EE">
            <w:pPr>
              <w:spacing w:after="100"/>
              <w:ind w:hanging="180"/>
              <w:divId w:val="1051225976"/>
              <w:rPr>
                <w:rFonts w:eastAsia="Times New Roman"/>
              </w:rPr>
            </w:pPr>
            <w:r>
              <w:rPr>
                <w:rFonts w:eastAsia="Times New Roman"/>
                <w:color w:val="000000"/>
                <w:sz w:val="20"/>
                <w:szCs w:val="20"/>
              </w:rPr>
              <w:t>Applied Kilovolts busines</w:t>
            </w:r>
            <w:r>
              <w:rPr>
                <w:rFonts w:eastAsia="Times New Roman"/>
                <w:color w:val="000000"/>
                <w:sz w:val="20"/>
                <w:szCs w:val="20"/>
              </w:rPr>
              <w:t>s</w:t>
            </w:r>
            <w:r>
              <w:rPr>
                <w:rFonts w:eastAsia="Times New Roman"/>
                <w:color w:val="000000"/>
                <w:sz w:val="13"/>
                <w:szCs w:val="13"/>
              </w:rPr>
              <w:t>(9</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hanging="180"/>
              <w:jc w:val="center"/>
              <w:rPr>
                <w:rFonts w:eastAsia="Times New Roman"/>
              </w:rPr>
            </w:pPr>
            <w:r>
              <w:rPr>
                <w:rFonts w:eastAsia="Times New Roman"/>
                <w:color w:val="000000"/>
                <w:sz w:val="20"/>
                <w:szCs w:val="20"/>
              </w:rPr>
              <w:t>Space &amp; Airborne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ind w:hanging="18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May 15, 2020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hanging="180"/>
              <w:divId w:val="1967809318"/>
              <w:rPr>
                <w:rFonts w:eastAsia="Times New Roman"/>
              </w:rPr>
            </w:pPr>
            <w:r>
              <w:rPr>
                <w:rFonts w:eastAsia="Times New Roman"/>
                <w:color w:val="000000"/>
                <w:sz w:val="20"/>
                <w:szCs w:val="20"/>
              </w:rPr>
              <w:t>Airport security and automation busines</w:t>
            </w:r>
            <w:r>
              <w:rPr>
                <w:rFonts w:eastAsia="Times New Roman"/>
                <w:color w:val="000000"/>
                <w:sz w:val="20"/>
                <w:szCs w:val="20"/>
              </w:rPr>
              <w:t>s</w:t>
            </w:r>
            <w:r>
              <w:rPr>
                <w:rFonts w:eastAsia="Times New Roman"/>
                <w:color w:val="000000"/>
                <w:sz w:val="13"/>
                <w:szCs w:val="13"/>
              </w:rPr>
              <w:t>(10</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May 4, 2020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i/>
                <w:iCs/>
                <w:color w:val="000000"/>
                <w:sz w:val="20"/>
                <w:szCs w:val="20"/>
              </w:rPr>
              <w:t>Two quarters ended January 3, 2020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219828182"/>
              <w:rPr>
                <w:rFonts w:eastAsia="Times New Roman"/>
              </w:rPr>
            </w:pPr>
            <w:r>
              <w:rPr>
                <w:rFonts w:eastAsia="Times New Roman"/>
                <w:color w:val="000000"/>
                <w:sz w:val="20"/>
                <w:szCs w:val="20"/>
              </w:rPr>
              <w:t>Harris Night Visio</w:t>
            </w:r>
            <w:r>
              <w:rPr>
                <w:rFonts w:eastAsia="Times New Roman"/>
                <w:color w:val="000000"/>
                <w:sz w:val="20"/>
                <w:szCs w:val="20"/>
              </w:rPr>
              <w:t>n</w:t>
            </w:r>
            <w:r>
              <w:rPr>
                <w:rFonts w:eastAsia="Times New Roman"/>
                <w:color w:val="000000"/>
                <w:sz w:val="13"/>
                <w:szCs w:val="13"/>
              </w:rPr>
              <w:t>(11</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hanging="180"/>
              <w:jc w:val="center"/>
              <w:rPr>
                <w:rFonts w:eastAsia="Times New Roman"/>
              </w:rPr>
            </w:pPr>
            <w:r>
              <w:rPr>
                <w:rFonts w:eastAsia="Times New Roman"/>
                <w:color w:val="000000"/>
                <w:sz w:val="20"/>
                <w:szCs w:val="20"/>
              </w:rPr>
              <w:t>Other non-reportable businesses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ind w:hanging="18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September 13, 2019</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072120412"/>
              <w:rPr>
                <w:rFonts w:eastAsia="Times New Roman"/>
              </w:rPr>
            </w:pPr>
            <w:r>
              <w:rPr>
                <w:rFonts w:eastAsia="Times New Roman"/>
                <w:color w:val="000000"/>
                <w:sz w:val="20"/>
                <w:szCs w:val="20"/>
              </w:rPr>
              <w:t>Stormscop</w:t>
            </w:r>
            <w:r>
              <w:rPr>
                <w:rFonts w:eastAsia="Times New Roman"/>
                <w:color w:val="000000"/>
                <w:sz w:val="20"/>
                <w:szCs w:val="20"/>
              </w:rPr>
              <w:t>e</w:t>
            </w:r>
            <w:r>
              <w:rPr>
                <w:rFonts w:eastAsia="Times New Roman"/>
                <w:color w:val="000000"/>
                <w:sz w:val="13"/>
                <w:szCs w:val="13"/>
              </w:rPr>
              <w:t>(12</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hanging="18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ind w:hanging="18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August 30, 2019</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97089966"/>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ind w:hanging="270"/>
        <w:divId w:val="1422483273"/>
        <w:rPr>
          <w:rFonts w:eastAsia="Times New Roman"/>
        </w:rPr>
      </w:pPr>
      <w:r>
        <w:rPr>
          <w:rFonts w:eastAsia="Times New Roman"/>
          <w:color w:val="000000"/>
          <w:sz w:val="16"/>
          <w:szCs w:val="16"/>
        </w:rPr>
        <w:t>_______________</w:t>
      </w:r>
    </w:p>
    <w:p w:rsidR="00000000" w:rsidRDefault="00AE54EE">
      <w:pPr>
        <w:ind w:hanging="360"/>
        <w:divId w:val="615330589"/>
        <w:rPr>
          <w:rFonts w:eastAsia="Times New Roman"/>
        </w:rPr>
      </w:pPr>
      <w:r>
        <w:rPr>
          <w:rFonts w:eastAsia="Times New Roman"/>
          <w:color w:val="000000"/>
          <w:sz w:val="16"/>
          <w:szCs w:val="16"/>
        </w:rPr>
        <w:t xml:space="preserve">(1) </w:t>
      </w:r>
      <w:r>
        <w:rPr>
          <w:rFonts w:eastAsia="Times New Roman"/>
          <w:color w:val="000000"/>
          <w:sz w:val="16"/>
          <w:szCs w:val="16"/>
        </w:rPr>
        <w:t>Business segment in which the operating results of each divested business were reported through the date of divestiture.</w:t>
      </w:r>
    </w:p>
    <w:p w:rsidR="00000000" w:rsidRDefault="00AE54EE">
      <w:pPr>
        <w:ind w:hanging="360"/>
        <w:divId w:val="1677532937"/>
        <w:rPr>
          <w:rFonts w:eastAsia="Times New Roman"/>
        </w:rPr>
      </w:pPr>
      <w:r>
        <w:rPr>
          <w:rFonts w:eastAsia="Times New Roman"/>
          <w:color w:val="000000"/>
          <w:sz w:val="16"/>
          <w:szCs w:val="16"/>
        </w:rPr>
        <w:t xml:space="preserve">(2) The Narda-MITEQ business manufactured component, satellite communication and radio frequency safety products for both military and </w:t>
      </w:r>
      <w:r>
        <w:rPr>
          <w:rFonts w:eastAsia="Times New Roman"/>
          <w:color w:val="000000"/>
          <w:sz w:val="16"/>
          <w:szCs w:val="16"/>
        </w:rPr>
        <w:t>commercial markets.</w:t>
      </w:r>
    </w:p>
    <w:p w:rsidR="00000000" w:rsidRDefault="00AE54EE">
      <w:pPr>
        <w:ind w:hanging="360"/>
        <w:divId w:val="875193326"/>
        <w:rPr>
          <w:rFonts w:eastAsia="Times New Roman"/>
        </w:rPr>
      </w:pPr>
      <w:r>
        <w:rPr>
          <w:rFonts w:eastAsia="Times New Roman"/>
          <w:color w:val="000000"/>
          <w:sz w:val="16"/>
          <w:szCs w:val="16"/>
        </w:rPr>
        <w:t xml:space="preserve">(3) The ESSCO business manufactured metal space frame ground radomes and composite structures. </w:t>
      </w:r>
    </w:p>
    <w:p w:rsidR="00000000" w:rsidRDefault="00AE54EE">
      <w:pPr>
        <w:ind w:hanging="360"/>
        <w:divId w:val="895773631"/>
        <w:rPr>
          <w:rFonts w:eastAsia="Times New Roman"/>
        </w:rPr>
      </w:pPr>
      <w:r>
        <w:rPr>
          <w:rFonts w:eastAsia="Times New Roman"/>
          <w:color w:val="000000"/>
          <w:sz w:val="16"/>
          <w:szCs w:val="16"/>
        </w:rPr>
        <w:t>(4) The Electron Devices and Narda Microwave-West divisions (“Electron Devices business”) manufactured microwave devices for ground-based, a</w:t>
      </w:r>
      <w:r>
        <w:rPr>
          <w:rFonts w:eastAsia="Times New Roman"/>
          <w:color w:val="000000"/>
          <w:sz w:val="16"/>
          <w:szCs w:val="16"/>
        </w:rPr>
        <w:t>irborne and satellite communications and radar.</w:t>
      </w:r>
    </w:p>
    <w:p w:rsidR="00000000" w:rsidRDefault="00AE54EE">
      <w:pPr>
        <w:ind w:hanging="360"/>
        <w:divId w:val="897131533"/>
        <w:rPr>
          <w:rFonts w:eastAsia="Times New Roman"/>
        </w:rPr>
      </w:pPr>
      <w:r>
        <w:rPr>
          <w:rFonts w:eastAsia="Times New Roman"/>
          <w:color w:val="000000"/>
          <w:sz w:val="16"/>
          <w:szCs w:val="16"/>
        </w:rPr>
        <w:t xml:space="preserve">(5) The Voice Switch Enterprise disposal group (“VSE disposal group”) provided voice over internet protocol systems for air traffic management communications. </w:t>
      </w:r>
    </w:p>
    <w:p w:rsidR="00000000" w:rsidRDefault="00AE54EE">
      <w:pPr>
        <w:ind w:hanging="360"/>
        <w:divId w:val="362750141"/>
        <w:rPr>
          <w:rFonts w:eastAsia="Times New Roman"/>
        </w:rPr>
      </w:pPr>
      <w:r>
        <w:rPr>
          <w:rFonts w:eastAsia="Times New Roman"/>
          <w:color w:val="000000"/>
          <w:sz w:val="16"/>
          <w:szCs w:val="16"/>
        </w:rPr>
        <w:t>(6) The Combat Propulsion Systems and related bu</w:t>
      </w:r>
      <w:r>
        <w:rPr>
          <w:rFonts w:eastAsia="Times New Roman"/>
          <w:color w:val="000000"/>
          <w:sz w:val="16"/>
          <w:szCs w:val="16"/>
        </w:rPr>
        <w:t>sinesses (“CPS business”) engineered, designed and manufactured engines, transmissions, suspensions and turret drive systems for tracked and wheeled combat vehicle systems.</w:t>
      </w:r>
    </w:p>
    <w:p w:rsidR="00000000" w:rsidRDefault="00AE54EE">
      <w:pPr>
        <w:ind w:hanging="360"/>
        <w:divId w:val="99883129"/>
        <w:rPr>
          <w:rFonts w:eastAsia="Times New Roman"/>
        </w:rPr>
      </w:pPr>
      <w:r>
        <w:rPr>
          <w:rFonts w:eastAsia="Times New Roman"/>
          <w:color w:val="000000"/>
          <w:sz w:val="16"/>
          <w:szCs w:val="16"/>
        </w:rPr>
        <w:t>(7) The military training business provided flight simulation solutions and trainin</w:t>
      </w:r>
      <w:r>
        <w:rPr>
          <w:rFonts w:eastAsia="Times New Roman"/>
          <w:color w:val="000000"/>
          <w:sz w:val="16"/>
          <w:szCs w:val="16"/>
        </w:rPr>
        <w:t>g services to the DoD and foreign military agencies.</w:t>
      </w:r>
    </w:p>
    <w:p w:rsidR="00000000" w:rsidRDefault="00AE54EE">
      <w:pPr>
        <w:ind w:hanging="360"/>
        <w:divId w:val="1522040144"/>
        <w:rPr>
          <w:rFonts w:eastAsia="Times New Roman"/>
        </w:rPr>
      </w:pPr>
      <w:r>
        <w:rPr>
          <w:rFonts w:eastAsia="Times New Roman"/>
          <w:color w:val="000000"/>
          <w:sz w:val="16"/>
          <w:szCs w:val="16"/>
        </w:rPr>
        <w:t>(8) The EOTech business manufactured holographic sighting systems, magnified field optics and accessories for military, law enforcement and commercial markets around the world.</w:t>
      </w:r>
    </w:p>
    <w:p w:rsidR="00000000" w:rsidRDefault="00AE54EE">
      <w:pPr>
        <w:ind w:hanging="360"/>
        <w:divId w:val="91248918"/>
        <w:rPr>
          <w:rFonts w:eastAsia="Times New Roman"/>
        </w:rPr>
      </w:pPr>
      <w:r>
        <w:rPr>
          <w:rFonts w:eastAsia="Times New Roman"/>
          <w:color w:val="000000"/>
          <w:sz w:val="16"/>
          <w:szCs w:val="16"/>
        </w:rPr>
        <w:t xml:space="preserve">(9) The Applied Kilovolts </w:t>
      </w:r>
      <w:r>
        <w:rPr>
          <w:rFonts w:eastAsia="Times New Roman"/>
          <w:color w:val="000000"/>
          <w:sz w:val="16"/>
          <w:szCs w:val="16"/>
        </w:rPr>
        <w:t>and Analytical Instrumentation business (“Applied Kilovolts business”) manufactured high-voltage power supplies and ion detectors for customers in fields such as biotechnology, materials science, healthcare, forensics, environmental sciences and homeland s</w:t>
      </w:r>
      <w:r>
        <w:rPr>
          <w:rFonts w:eastAsia="Times New Roman"/>
          <w:color w:val="000000"/>
          <w:sz w:val="16"/>
          <w:szCs w:val="16"/>
        </w:rPr>
        <w:t>ecurity.</w:t>
      </w:r>
    </w:p>
    <w:p w:rsidR="00000000" w:rsidRDefault="00AE54EE">
      <w:pPr>
        <w:ind w:hanging="360"/>
        <w:divId w:val="959917767"/>
        <w:rPr>
          <w:rFonts w:eastAsia="Times New Roman"/>
        </w:rPr>
      </w:pPr>
      <w:r>
        <w:rPr>
          <w:rFonts w:eastAsia="Times New Roman"/>
          <w:color w:val="000000"/>
          <w:sz w:val="16"/>
          <w:szCs w:val="16"/>
        </w:rPr>
        <w:t>(10) The Security &amp; Detection Systems and MacDonald Humfrey Automation solutions business (“airport security and automation business”) provided solutions used by the aviation and transportation industries, regulatory and customs authorities, gover</w:t>
      </w:r>
      <w:r>
        <w:rPr>
          <w:rFonts w:eastAsia="Times New Roman"/>
          <w:color w:val="000000"/>
          <w:sz w:val="16"/>
          <w:szCs w:val="16"/>
        </w:rPr>
        <w:t xml:space="preserve">nment and law enforcement agencies and commercial and other high-security facilities. </w:t>
      </w:r>
    </w:p>
    <w:p w:rsidR="00000000" w:rsidRDefault="00AE54EE">
      <w:pPr>
        <w:ind w:hanging="360"/>
        <w:divId w:val="519053369"/>
        <w:rPr>
          <w:rFonts w:eastAsia="Times New Roman"/>
        </w:rPr>
      </w:pPr>
      <w:r>
        <w:rPr>
          <w:rFonts w:eastAsia="Times New Roman"/>
          <w:color w:val="000000"/>
          <w:sz w:val="16"/>
          <w:szCs w:val="16"/>
        </w:rPr>
        <w:t>(11) The Harris Night Vision business was a global supplier of vision-enhancing products for U.S. and allied military and security forces and commercial customers.</w:t>
      </w:r>
    </w:p>
    <w:p w:rsidR="00000000" w:rsidRDefault="00AE54EE">
      <w:pPr>
        <w:ind w:hanging="360"/>
        <w:divId w:val="920409892"/>
        <w:rPr>
          <w:rFonts w:eastAsia="Times New Roman"/>
        </w:rPr>
      </w:pPr>
      <w:r>
        <w:rPr>
          <w:rFonts w:eastAsia="Times New Roman"/>
          <w:color w:val="000000"/>
          <w:sz w:val="16"/>
          <w:szCs w:val="16"/>
        </w:rPr>
        <w:t xml:space="preserve">(12) </w:t>
      </w:r>
      <w:r>
        <w:rPr>
          <w:rFonts w:eastAsia="Times New Roman"/>
          <w:color w:val="000000"/>
          <w:sz w:val="16"/>
          <w:szCs w:val="16"/>
        </w:rPr>
        <w:t>The Stormscope product line (“Stormscope”) provided lightning detection systems for the aviation market.</w:t>
      </w:r>
    </w:p>
    <w:p w:rsidR="00000000" w:rsidRDefault="00AE54EE">
      <w:pPr>
        <w:ind w:firstLine="450"/>
        <w:divId w:val="755517398"/>
        <w:rPr>
          <w:rFonts w:eastAsia="Times New Roman"/>
        </w:rPr>
      </w:pPr>
      <w:r>
        <w:rPr>
          <w:rFonts w:eastAsia="Times New Roman"/>
          <w:color w:val="000000"/>
          <w:sz w:val="20"/>
          <w:szCs w:val="20"/>
        </w:rPr>
        <w:t xml:space="preserve">There were no businesses divested during the fiscal year ended June 28, 2019. See </w:t>
      </w:r>
      <w:r>
        <w:rPr>
          <w:rFonts w:eastAsia="Times New Roman"/>
          <w:i/>
          <w:iCs/>
          <w:color w:val="000000"/>
          <w:sz w:val="20"/>
          <w:szCs w:val="20"/>
        </w:rPr>
        <w:t>Note 3: Business Divestitures and Asset Sales</w:t>
      </w:r>
      <w:r>
        <w:rPr>
          <w:rFonts w:eastAsia="Times New Roman"/>
          <w:color w:val="000000"/>
          <w:sz w:val="20"/>
          <w:szCs w:val="20"/>
        </w:rPr>
        <w:t xml:space="preserve"> and </w:t>
      </w:r>
      <w:r>
        <w:rPr>
          <w:rFonts w:eastAsia="Times New Roman"/>
          <w:i/>
          <w:iCs/>
          <w:color w:val="000000"/>
          <w:sz w:val="20"/>
          <w:szCs w:val="20"/>
        </w:rPr>
        <w:t>Note 24: Business Segments</w:t>
      </w:r>
      <w:r>
        <w:rPr>
          <w:rFonts w:eastAsia="Times New Roman"/>
          <w:color w:val="000000"/>
          <w:sz w:val="20"/>
          <w:szCs w:val="20"/>
        </w:rPr>
        <w:t xml:space="preserve"> in the Notes for further information. </w:t>
      </w:r>
    </w:p>
    <w:p w:rsidR="00000000" w:rsidRDefault="00AE54EE">
      <w:pPr>
        <w:divId w:val="37366326"/>
        <w:rPr>
          <w:rFonts w:eastAsia="Times New Roman"/>
        </w:rPr>
      </w:pPr>
      <w:r>
        <w:rPr>
          <w:rFonts w:eastAsia="Times New Roman"/>
          <w:b/>
          <w:bCs/>
          <w:color w:val="000000"/>
          <w:sz w:val="20"/>
          <w:szCs w:val="20"/>
        </w:rPr>
        <w:t>Description of Business by Segment</w:t>
      </w:r>
    </w:p>
    <w:p w:rsidR="00000000" w:rsidRDefault="00AE54EE">
      <w:pPr>
        <w:ind w:firstLine="450"/>
        <w:divId w:val="1944876664"/>
        <w:rPr>
          <w:rFonts w:eastAsia="Times New Roman"/>
        </w:rPr>
      </w:pPr>
      <w:r>
        <w:rPr>
          <w:rFonts w:eastAsia="Times New Roman"/>
          <w:color w:val="000000"/>
          <w:sz w:val="20"/>
          <w:szCs w:val="20"/>
        </w:rPr>
        <w:t>Our business segments provide a wide-range of products and services to various customers and are described below. For financial information with respect to</w:t>
      </w:r>
      <w:r>
        <w:rPr>
          <w:rFonts w:eastAsia="Times New Roman"/>
          <w:color w:val="000000"/>
          <w:sz w:val="20"/>
          <w:szCs w:val="20"/>
        </w:rPr>
        <w:t xml:space="preserve"> our business segments, including revenue, operating income and total assets, and with respect to our operations outside the United States, see </w:t>
      </w:r>
      <w:r>
        <w:rPr>
          <w:rFonts w:eastAsia="Times New Roman"/>
          <w:i/>
          <w:iCs/>
          <w:color w:val="000000"/>
          <w:sz w:val="20"/>
          <w:szCs w:val="20"/>
        </w:rPr>
        <w:t>Note 24: Business Segments</w:t>
      </w:r>
      <w:r>
        <w:rPr>
          <w:rFonts w:eastAsia="Times New Roman"/>
          <w:color w:val="000000"/>
          <w:sz w:val="20"/>
          <w:szCs w:val="20"/>
        </w:rPr>
        <w:t xml:space="preserve"> in the Notes, and for additional information with respect to our business segments, s</w:t>
      </w:r>
      <w:r>
        <w:rPr>
          <w:rFonts w:eastAsia="Times New Roman"/>
          <w:color w:val="000000"/>
          <w:sz w:val="20"/>
          <w:szCs w:val="20"/>
        </w:rPr>
        <w:t xml:space="preserve">ee “Discussion of Business Segment Results of Operations” in “Item 7. Management’s Discussion and Analysis of Financial Condition and Results of Operations” of this Report. For a discussion of certain risks affecting our business segments, including risks </w:t>
      </w:r>
      <w:r>
        <w:rPr>
          <w:rFonts w:eastAsia="Times New Roman"/>
          <w:color w:val="000000"/>
          <w:sz w:val="20"/>
          <w:szCs w:val="20"/>
        </w:rPr>
        <w:t xml:space="preserve">relating to our U.S. Government contracts and subcontracts, see “Item 1. Business - Principal Customers: Government Contracts,” “Item 1A. Risk Factors” and “Item 3. Legal Proceedings” of this Report. </w:t>
      </w:r>
    </w:p>
    <w:p w:rsidR="00000000" w:rsidRDefault="00AE54EE">
      <w:pPr>
        <w:ind w:firstLine="450"/>
        <w:jc w:val="center"/>
        <w:divId w:val="313070212"/>
        <w:rPr>
          <w:rFonts w:eastAsia="Times New Roman"/>
        </w:rPr>
      </w:pPr>
      <w:r>
        <w:rPr>
          <w:rFonts w:eastAsia="Times New Roman"/>
          <w:color w:val="000000"/>
          <w:sz w:val="20"/>
          <w:szCs w:val="20"/>
        </w:rPr>
        <w:t>3</w:t>
      </w:r>
    </w:p>
    <w:p w:rsidR="00000000" w:rsidRDefault="00AE54EE">
      <w:pPr>
        <w:rPr>
          <w:rFonts w:eastAsia="Times New Roman"/>
        </w:rPr>
      </w:pPr>
      <w:r>
        <w:rPr>
          <w:rFonts w:eastAsia="Times New Roman"/>
        </w:rPr>
        <w:pict>
          <v:rect id="_x0000_i1030" style="width:0;height:1.5pt" o:hralign="center" o:hrstd="t" o:hr="t" fillcolor="#a0a0a0" stroked="f"/>
        </w:pict>
      </w:r>
    </w:p>
    <w:p w:rsidR="00000000" w:rsidRDefault="00AE54EE">
      <w:pPr>
        <w:ind w:firstLine="450"/>
        <w:divId w:val="1858813962"/>
        <w:rPr>
          <w:rFonts w:eastAsia="Times New Roman"/>
        </w:rPr>
      </w:pPr>
    </w:p>
    <w:p w:rsidR="00000000" w:rsidRDefault="00AE54EE">
      <w:pPr>
        <w:divId w:val="501051165"/>
        <w:rPr>
          <w:rFonts w:eastAsia="Times New Roman"/>
        </w:rPr>
      </w:pPr>
      <w:r>
        <w:rPr>
          <w:rFonts w:eastAsia="Times New Roman"/>
          <w:b/>
          <w:bCs/>
          <w:i/>
          <w:iCs/>
          <w:color w:val="000000"/>
          <w:sz w:val="20"/>
          <w:szCs w:val="20"/>
        </w:rPr>
        <w:t>Integrated Mission Systems</w:t>
      </w:r>
    </w:p>
    <w:p w:rsidR="00000000" w:rsidRDefault="00AE54EE">
      <w:pPr>
        <w:ind w:firstLine="450"/>
        <w:divId w:val="1194726825"/>
        <w:rPr>
          <w:rFonts w:eastAsia="Times New Roman"/>
        </w:rPr>
      </w:pPr>
      <w:r>
        <w:rPr>
          <w:rFonts w:eastAsia="Times New Roman"/>
          <w:color w:val="000000"/>
          <w:sz w:val="20"/>
          <w:szCs w:val="20"/>
        </w:rPr>
        <w:t>Integrated Mission Systems segment revenue of $5,839 million for fiscal 2021, represented 33 percent of our total revenue. This segment is comprised of three business sectors: ISR, Maritime and Electro Optical, the principal prod</w:t>
      </w:r>
      <w:r>
        <w:rPr>
          <w:rFonts w:eastAsia="Times New Roman"/>
          <w:color w:val="000000"/>
          <w:sz w:val="20"/>
          <w:szCs w:val="20"/>
        </w:rPr>
        <w:t xml:space="preserve">ucts and services of which are described below. </w:t>
      </w:r>
    </w:p>
    <w:p w:rsidR="00000000" w:rsidRDefault="00AE54EE">
      <w:pPr>
        <w:ind w:firstLine="450"/>
        <w:divId w:val="17439754"/>
        <w:rPr>
          <w:rFonts w:eastAsia="Times New Roman"/>
        </w:rPr>
      </w:pPr>
      <w:r>
        <w:rPr>
          <w:rFonts w:eastAsia="Times New Roman"/>
          <w:i/>
          <w:iCs/>
          <w:color w:val="000000"/>
          <w:sz w:val="20"/>
          <w:szCs w:val="20"/>
        </w:rPr>
        <w:t>ISR:</w:t>
      </w:r>
      <w:r>
        <w:rPr>
          <w:rFonts w:eastAsia="Times New Roman"/>
          <w:color w:val="000000"/>
          <w:sz w:val="20"/>
          <w:szCs w:val="20"/>
        </w:rPr>
        <w:t xml:space="preserve"> We develop, integrate and maintain multi-mission ISR, signals intelligence and communication systems, including fleet management support services, sensor development, modifications and periodic depot ma</w:t>
      </w:r>
      <w:r>
        <w:rPr>
          <w:rFonts w:eastAsia="Times New Roman"/>
          <w:color w:val="000000"/>
          <w:sz w:val="20"/>
          <w:szCs w:val="20"/>
        </w:rPr>
        <w:t>intenance for ISR and airborne missions. Significant customers include DoD and classified customers within the U.S. Government, U.K. Ministry of Defence, Royal Australian Air Force and other select foreign military services. For example, we provide premier</w:t>
      </w:r>
      <w:r>
        <w:rPr>
          <w:rFonts w:eastAsia="Times New Roman"/>
          <w:color w:val="000000"/>
          <w:sz w:val="20"/>
          <w:szCs w:val="20"/>
        </w:rPr>
        <w:t xml:space="preserve"> signals intelligence and electronic warfare capability for the U.S. Air Force (“USAF”) Rivet Joint and JAVA Man programs.</w:t>
      </w:r>
    </w:p>
    <w:p w:rsidR="00000000" w:rsidRDefault="00AE54EE">
      <w:pPr>
        <w:ind w:firstLine="450"/>
        <w:divId w:val="1071922977"/>
        <w:rPr>
          <w:rFonts w:eastAsia="Times New Roman"/>
        </w:rPr>
      </w:pPr>
      <w:r>
        <w:rPr>
          <w:rFonts w:eastAsia="Times New Roman"/>
          <w:i/>
          <w:iCs/>
          <w:color w:val="000000"/>
          <w:sz w:val="20"/>
          <w:szCs w:val="20"/>
        </w:rPr>
        <w:t xml:space="preserve">Maritime: </w:t>
      </w:r>
      <w:r>
        <w:rPr>
          <w:rFonts w:eastAsia="Times New Roman"/>
          <w:color w:val="000000"/>
          <w:sz w:val="20"/>
          <w:szCs w:val="20"/>
        </w:rPr>
        <w:t>We are a manufacturer, integrator and sustainer of mission systems for maritime platforms, specializing in signals intellig</w:t>
      </w:r>
      <w:r>
        <w:rPr>
          <w:rFonts w:eastAsia="Times New Roman"/>
          <w:color w:val="000000"/>
          <w:sz w:val="20"/>
          <w:szCs w:val="20"/>
        </w:rPr>
        <w:t>ence and multi-intelligence platforms; unmanned surface and undersea autonomous solutions; power and ship control systems and other electronic and electrical products and systems. Significant customers include the U.S. Navy (“USN”), the U.S. Coast Guard, a</w:t>
      </w:r>
      <w:r>
        <w:rPr>
          <w:rFonts w:eastAsia="Times New Roman"/>
          <w:color w:val="000000"/>
          <w:sz w:val="20"/>
          <w:szCs w:val="20"/>
        </w:rPr>
        <w:t xml:space="preserve">llied navies, other military customers and commercial ship owners. </w:t>
      </w:r>
    </w:p>
    <w:p w:rsidR="00000000" w:rsidRDefault="00AE54EE">
      <w:pPr>
        <w:ind w:firstLine="450"/>
        <w:divId w:val="2064714832"/>
        <w:rPr>
          <w:rFonts w:eastAsia="Times New Roman"/>
        </w:rPr>
      </w:pPr>
      <w:r>
        <w:rPr>
          <w:rFonts w:eastAsia="Times New Roman"/>
          <w:i/>
          <w:iCs/>
          <w:color w:val="000000"/>
          <w:sz w:val="20"/>
          <w:szCs w:val="20"/>
        </w:rPr>
        <w:t xml:space="preserve">Electro Optical: </w:t>
      </w:r>
      <w:r>
        <w:rPr>
          <w:rFonts w:eastAsia="Times New Roman"/>
          <w:color w:val="000000"/>
          <w:sz w:val="20"/>
          <w:szCs w:val="20"/>
        </w:rPr>
        <w:t>We design and manufacture advanced EO/IR sensors and surveillance and targeting systems and provide modernization and life extension maintenance upgrade and support servic</w:t>
      </w:r>
      <w:r>
        <w:rPr>
          <w:rFonts w:eastAsia="Times New Roman"/>
          <w:color w:val="000000"/>
          <w:sz w:val="20"/>
          <w:szCs w:val="20"/>
        </w:rPr>
        <w:t>es for military aircraft. Significant customers include the U.S. Army, the U.S. Air Force, USN, National Aeronautics Space Administration, DoD, select foreign militaries and commercial space companies.</w:t>
      </w:r>
    </w:p>
    <w:p w:rsidR="00000000" w:rsidRDefault="00AE54EE">
      <w:pPr>
        <w:ind w:firstLine="450"/>
        <w:divId w:val="1992833313"/>
        <w:rPr>
          <w:rFonts w:eastAsia="Times New Roman"/>
        </w:rPr>
      </w:pPr>
      <w:r>
        <w:rPr>
          <w:rFonts w:eastAsia="Times New Roman"/>
          <w:color w:val="000000"/>
          <w:sz w:val="20"/>
          <w:szCs w:val="20"/>
        </w:rPr>
        <w:t>Additional information regarding the composition of In</w:t>
      </w:r>
      <w:r>
        <w:rPr>
          <w:rFonts w:eastAsia="Times New Roman"/>
          <w:color w:val="000000"/>
          <w:sz w:val="20"/>
          <w:szCs w:val="20"/>
        </w:rPr>
        <w:t>tegrated Mission Systems revenue for fiscal 2021 is as follows:</w:t>
      </w:r>
    </w:p>
    <w:p w:rsidR="00000000" w:rsidRDefault="00AE54EE">
      <w:pPr>
        <w:ind w:hanging="360"/>
        <w:divId w:val="814953976"/>
        <w:rPr>
          <w:rFonts w:eastAsia="Times New Roman"/>
        </w:rPr>
      </w:pPr>
      <w:r>
        <w:rPr>
          <w:rFonts w:eastAsia="Times New Roman"/>
          <w:color w:val="000000"/>
          <w:sz w:val="20"/>
          <w:szCs w:val="20"/>
        </w:rPr>
        <w:t>•70 percent was derived from sales to U.S. Government customers, including foreign military sales funded through the U.S. Government, whether directly or through prime contractors;</w:t>
      </w:r>
    </w:p>
    <w:p w:rsidR="00000000" w:rsidRDefault="00AE54EE">
      <w:pPr>
        <w:ind w:hanging="360"/>
        <w:divId w:val="1890216303"/>
        <w:rPr>
          <w:rFonts w:eastAsia="Times New Roman"/>
        </w:rPr>
      </w:pPr>
      <w:r>
        <w:rPr>
          <w:rFonts w:eastAsia="Times New Roman"/>
          <w:color w:val="000000"/>
          <w:sz w:val="20"/>
          <w:szCs w:val="20"/>
        </w:rPr>
        <w:t>•69 percent</w:t>
      </w:r>
      <w:r>
        <w:rPr>
          <w:rFonts w:eastAsia="Times New Roman"/>
          <w:color w:val="000000"/>
          <w:sz w:val="20"/>
          <w:szCs w:val="20"/>
        </w:rPr>
        <w:t xml:space="preserve"> was derived from contracts under which we are the prime contractor; and</w:t>
      </w:r>
    </w:p>
    <w:p w:rsidR="00000000" w:rsidRDefault="00AE54EE">
      <w:pPr>
        <w:ind w:hanging="360"/>
        <w:divId w:val="1948542848"/>
        <w:rPr>
          <w:rFonts w:eastAsia="Times New Roman"/>
        </w:rPr>
      </w:pPr>
      <w:r>
        <w:rPr>
          <w:rFonts w:eastAsia="Times New Roman"/>
          <w:color w:val="000000"/>
          <w:sz w:val="20"/>
          <w:szCs w:val="20"/>
        </w:rPr>
        <w:t>•28 percent was derived from products and services for which the end consumer is located outside the U.S.</w:t>
      </w:r>
    </w:p>
    <w:p w:rsidR="00000000" w:rsidRDefault="00AE54EE">
      <w:pPr>
        <w:ind w:firstLine="450"/>
        <w:divId w:val="1367557189"/>
        <w:rPr>
          <w:rFonts w:eastAsia="Times New Roman"/>
        </w:rPr>
      </w:pPr>
      <w:r>
        <w:rPr>
          <w:rFonts w:eastAsia="Times New Roman"/>
          <w:color w:val="000000"/>
          <w:sz w:val="20"/>
          <w:szCs w:val="20"/>
        </w:rPr>
        <w:t>For a discussion of certain risks affecting this segment, including risks rel</w:t>
      </w:r>
      <w:r>
        <w:rPr>
          <w:rFonts w:eastAsia="Times New Roman"/>
          <w:color w:val="000000"/>
          <w:sz w:val="20"/>
          <w:szCs w:val="20"/>
        </w:rPr>
        <w:t>ating to our U.S. Government contracts and subcontracts, see “Item 1. Business - Principal Customers; Government Contracts,” “Item 1A. Risk Factors” and “Item 3. Legal Proceedings” of this Report.</w:t>
      </w:r>
    </w:p>
    <w:p w:rsidR="00000000" w:rsidRDefault="00AE54EE">
      <w:pPr>
        <w:divId w:val="887570916"/>
        <w:rPr>
          <w:rFonts w:eastAsia="Times New Roman"/>
        </w:rPr>
      </w:pPr>
      <w:r>
        <w:rPr>
          <w:rFonts w:eastAsia="Times New Roman"/>
          <w:b/>
          <w:bCs/>
          <w:i/>
          <w:iCs/>
          <w:color w:val="000000"/>
          <w:sz w:val="20"/>
          <w:szCs w:val="20"/>
        </w:rPr>
        <w:t xml:space="preserve">Space &amp; Airborne Systems </w:t>
      </w:r>
    </w:p>
    <w:p w:rsidR="00000000" w:rsidRDefault="00AE54EE">
      <w:pPr>
        <w:ind w:firstLine="450"/>
        <w:divId w:val="1857966309"/>
        <w:rPr>
          <w:rFonts w:eastAsia="Times New Roman"/>
        </w:rPr>
      </w:pPr>
      <w:r>
        <w:rPr>
          <w:rFonts w:eastAsia="Times New Roman"/>
          <w:color w:val="000000"/>
          <w:sz w:val="20"/>
          <w:szCs w:val="20"/>
        </w:rPr>
        <w:t xml:space="preserve">Space &amp; Airborne Systems segment </w:t>
      </w:r>
      <w:r>
        <w:rPr>
          <w:rFonts w:eastAsia="Times New Roman"/>
          <w:color w:val="000000"/>
          <w:sz w:val="20"/>
          <w:szCs w:val="20"/>
        </w:rPr>
        <w:t>revenue of $5,093 million for fiscal 2021, represented 28 percent of our total revenue. This segment is comprised of four business sectors: Space, Intel &amp; Cyber, Mission Avionics and Electronic Warfare, the principal products and services of which are desc</w:t>
      </w:r>
      <w:r>
        <w:rPr>
          <w:rFonts w:eastAsia="Times New Roman"/>
          <w:color w:val="000000"/>
          <w:sz w:val="20"/>
          <w:szCs w:val="20"/>
        </w:rPr>
        <w:t xml:space="preserve">ribed below. </w:t>
      </w:r>
    </w:p>
    <w:p w:rsidR="00000000" w:rsidRDefault="00AE54EE">
      <w:pPr>
        <w:ind w:firstLine="450"/>
        <w:divId w:val="309409878"/>
        <w:rPr>
          <w:rFonts w:eastAsia="Times New Roman"/>
        </w:rPr>
      </w:pPr>
      <w:r>
        <w:rPr>
          <w:rFonts w:eastAsia="Times New Roman"/>
          <w:i/>
          <w:iCs/>
          <w:color w:val="000000"/>
          <w:sz w:val="20"/>
          <w:szCs w:val="20"/>
        </w:rPr>
        <w:t>Space:</w:t>
      </w:r>
      <w:r>
        <w:rPr>
          <w:rFonts w:eastAsia="Times New Roman"/>
          <w:color w:val="000000"/>
          <w:sz w:val="20"/>
          <w:szCs w:val="20"/>
        </w:rPr>
        <w:t xml:space="preserve"> We provide end-to-end space and ground-based solutions in support of intelligence, global positioning, space exploration, weather and missile defense missions. We are a prime contractor on complete satellite systems, provide advanced p</w:t>
      </w:r>
      <w:r>
        <w:rPr>
          <w:rFonts w:eastAsia="Times New Roman"/>
          <w:color w:val="000000"/>
          <w:sz w:val="20"/>
          <w:szCs w:val="20"/>
        </w:rPr>
        <w:t>ayloads and integrate ground systems. Some of the more significant programs in this business sector include:</w:t>
      </w:r>
    </w:p>
    <w:p w:rsidR="00000000" w:rsidRDefault="00AE54EE">
      <w:pPr>
        <w:ind w:hanging="360"/>
        <w:divId w:val="1223326385"/>
        <w:rPr>
          <w:rFonts w:eastAsia="Times New Roman"/>
        </w:rPr>
      </w:pPr>
      <w:r>
        <w:rPr>
          <w:rFonts w:eastAsia="Times New Roman"/>
          <w:color w:val="000000"/>
          <w:sz w:val="20"/>
          <w:szCs w:val="20"/>
        </w:rPr>
        <w:t>•Space Development Agency (“SDA”) Tracking Layer, a constellation of space vehicles to provide persistent global missile warning and tacking to nat</w:t>
      </w:r>
      <w:r>
        <w:rPr>
          <w:rFonts w:eastAsia="Times New Roman"/>
          <w:color w:val="000000"/>
          <w:sz w:val="20"/>
          <w:szCs w:val="20"/>
        </w:rPr>
        <w:t xml:space="preserve">ional defense authorities; </w:t>
      </w:r>
    </w:p>
    <w:p w:rsidR="00000000" w:rsidRDefault="00AE54EE">
      <w:pPr>
        <w:ind w:hanging="360"/>
        <w:divId w:val="211693140"/>
        <w:rPr>
          <w:rFonts w:eastAsia="Times New Roman"/>
        </w:rPr>
      </w:pPr>
      <w:r>
        <w:rPr>
          <w:rFonts w:eastAsia="Times New Roman"/>
          <w:color w:val="000000"/>
          <w:sz w:val="20"/>
          <w:szCs w:val="20"/>
        </w:rPr>
        <w:t xml:space="preserve">•Hypersonic and Ballistic Tracking Space Sensor (“HBTSS”), a program to detect, track and discriminate ballistic and hypersonic missiles for the Missile Defense Agency (“MDA”); </w:t>
      </w:r>
    </w:p>
    <w:p w:rsidR="00000000" w:rsidRDefault="00AE54EE">
      <w:pPr>
        <w:ind w:hanging="360"/>
        <w:divId w:val="1371341592"/>
        <w:rPr>
          <w:rFonts w:eastAsia="Times New Roman"/>
        </w:rPr>
      </w:pPr>
      <w:r>
        <w:rPr>
          <w:rFonts w:eastAsia="Times New Roman"/>
          <w:color w:val="000000"/>
          <w:sz w:val="20"/>
          <w:szCs w:val="20"/>
        </w:rPr>
        <w:t>•Maintenance of Space Situational Awareness Integr</w:t>
      </w:r>
      <w:r>
        <w:rPr>
          <w:rFonts w:eastAsia="Times New Roman"/>
          <w:color w:val="000000"/>
          <w:sz w:val="20"/>
          <w:szCs w:val="20"/>
        </w:rPr>
        <w:t>ated Capabilities (“MOSSAIC”), a program to provide sustainment services for current and future ground-based space domain awareness sensors and space battle management command and control capabilities for the U.S. Space Force and Missile Systems Center;</w:t>
      </w:r>
    </w:p>
    <w:p w:rsidR="00000000" w:rsidRDefault="00AE54EE">
      <w:pPr>
        <w:ind w:hanging="360"/>
        <w:divId w:val="1114636337"/>
        <w:rPr>
          <w:rFonts w:eastAsia="Times New Roman"/>
        </w:rPr>
      </w:pPr>
      <w:r>
        <w:rPr>
          <w:rFonts w:eastAsia="Times New Roman"/>
          <w:color w:val="000000"/>
          <w:sz w:val="20"/>
          <w:szCs w:val="20"/>
        </w:rPr>
        <w:t>•G</w:t>
      </w:r>
      <w:r>
        <w:rPr>
          <w:rFonts w:eastAsia="Times New Roman"/>
          <w:color w:val="000000"/>
          <w:sz w:val="20"/>
          <w:szCs w:val="20"/>
        </w:rPr>
        <w:t>eostationary Operational Environmental Satellite - Series R (“GOES-R”), a program to design, develop and build systems to measure, understand and monitor weather and environmental trends for the U.S. National Oceanic and Atmospheric Administration; and</w:t>
      </w:r>
    </w:p>
    <w:p w:rsidR="00000000" w:rsidRDefault="00AE54EE">
      <w:pPr>
        <w:ind w:hanging="360"/>
        <w:divId w:val="1595939836"/>
        <w:rPr>
          <w:rFonts w:eastAsia="Times New Roman"/>
        </w:rPr>
      </w:pPr>
      <w:r>
        <w:rPr>
          <w:rFonts w:eastAsia="Times New Roman"/>
          <w:color w:val="000000"/>
          <w:sz w:val="20"/>
          <w:szCs w:val="20"/>
        </w:rPr>
        <w:t>•Gl</w:t>
      </w:r>
      <w:r>
        <w:rPr>
          <w:rFonts w:eastAsia="Times New Roman"/>
          <w:color w:val="000000"/>
          <w:sz w:val="20"/>
          <w:szCs w:val="20"/>
        </w:rPr>
        <w:t>obal Positioning System (“GPS”) III, a program to modernize the GPS satellite system for the USAF.</w:t>
      </w:r>
    </w:p>
    <w:p w:rsidR="00000000" w:rsidRDefault="00AE54EE">
      <w:pPr>
        <w:ind w:firstLine="450"/>
        <w:divId w:val="685058030"/>
        <w:rPr>
          <w:rFonts w:eastAsia="Times New Roman"/>
        </w:rPr>
      </w:pPr>
      <w:r>
        <w:rPr>
          <w:rFonts w:eastAsia="Times New Roman"/>
          <w:i/>
          <w:iCs/>
          <w:color w:val="000000"/>
          <w:sz w:val="20"/>
          <w:szCs w:val="20"/>
        </w:rPr>
        <w:t xml:space="preserve">Mission Avionics: </w:t>
      </w:r>
      <w:r>
        <w:rPr>
          <w:rFonts w:eastAsia="Times New Roman"/>
          <w:color w:val="000000"/>
          <w:sz w:val="20"/>
          <w:szCs w:val="20"/>
        </w:rPr>
        <w:t>We provide avionic sensors, hardened electronics, release systems, data links and antennas supporting fixed wing and rotary platforms. Sign</w:t>
      </w:r>
      <w:r>
        <w:rPr>
          <w:rFonts w:eastAsia="Times New Roman"/>
          <w:color w:val="000000"/>
          <w:sz w:val="20"/>
          <w:szCs w:val="20"/>
        </w:rPr>
        <w:t xml:space="preserve">ificant customers include military aircraft manufacturers, DoD customers within the U.S. Government and select foreign military services. </w:t>
      </w:r>
    </w:p>
    <w:p w:rsidR="00000000" w:rsidRDefault="00AE54EE">
      <w:pPr>
        <w:ind w:firstLine="450"/>
        <w:divId w:val="2003315293"/>
        <w:rPr>
          <w:rFonts w:eastAsia="Times New Roman"/>
        </w:rPr>
      </w:pPr>
      <w:r>
        <w:rPr>
          <w:rFonts w:eastAsia="Times New Roman"/>
          <w:i/>
          <w:iCs/>
          <w:color w:val="000000"/>
          <w:sz w:val="20"/>
          <w:szCs w:val="20"/>
        </w:rPr>
        <w:t xml:space="preserve">Intel &amp; Cyber: </w:t>
      </w:r>
      <w:r>
        <w:rPr>
          <w:rFonts w:eastAsia="Times New Roman"/>
          <w:color w:val="000000"/>
          <w:sz w:val="20"/>
          <w:szCs w:val="20"/>
        </w:rPr>
        <w:t>We provide situational awareness optical networks and advanced wireless solutions for classified intel</w:t>
      </w:r>
      <w:r>
        <w:rPr>
          <w:rFonts w:eastAsia="Times New Roman"/>
          <w:color w:val="000000"/>
          <w:sz w:val="20"/>
          <w:szCs w:val="20"/>
        </w:rPr>
        <w:t xml:space="preserve">ligence and cyber defense customers. </w:t>
      </w:r>
    </w:p>
    <w:p w:rsidR="00000000" w:rsidRDefault="00AE54EE">
      <w:pPr>
        <w:ind w:firstLine="450"/>
        <w:divId w:val="1397046822"/>
        <w:rPr>
          <w:rFonts w:eastAsia="Times New Roman"/>
        </w:rPr>
      </w:pPr>
      <w:r>
        <w:rPr>
          <w:rFonts w:eastAsia="Times New Roman"/>
          <w:i/>
          <w:iCs/>
          <w:color w:val="000000"/>
          <w:sz w:val="20"/>
          <w:szCs w:val="20"/>
        </w:rPr>
        <w:t xml:space="preserve">Electronic Warfare: </w:t>
      </w:r>
      <w:r>
        <w:rPr>
          <w:rFonts w:eastAsia="Times New Roman"/>
          <w:color w:val="000000"/>
          <w:sz w:val="20"/>
          <w:szCs w:val="20"/>
        </w:rPr>
        <w:t>We provide multi-spectral situational awareness, threat warning and countermeasures capabilities for electronic warfare solutions for airborne and maritime platforms. Significant customers include m</w:t>
      </w:r>
      <w:r>
        <w:rPr>
          <w:rFonts w:eastAsia="Times New Roman"/>
          <w:color w:val="000000"/>
          <w:sz w:val="20"/>
          <w:szCs w:val="20"/>
        </w:rPr>
        <w:t xml:space="preserve">ilitary aircraft manufacturers, DoD customers within the U.S. Government and select foreign military services. </w:t>
      </w:r>
    </w:p>
    <w:p w:rsidR="00000000" w:rsidRDefault="00AE54EE">
      <w:pPr>
        <w:ind w:firstLine="450"/>
        <w:divId w:val="1217931155"/>
        <w:rPr>
          <w:rFonts w:eastAsia="Times New Roman"/>
        </w:rPr>
      </w:pPr>
      <w:r>
        <w:rPr>
          <w:rFonts w:eastAsia="Times New Roman"/>
          <w:color w:val="000000"/>
          <w:sz w:val="20"/>
          <w:szCs w:val="20"/>
        </w:rPr>
        <w:t>Additional information regarding the composition of Space &amp; Airborne Systems revenue for fiscal 2021 is as follows:</w:t>
      </w:r>
    </w:p>
    <w:p w:rsidR="00000000" w:rsidRDefault="00AE54EE">
      <w:pPr>
        <w:ind w:firstLine="450"/>
        <w:jc w:val="center"/>
        <w:divId w:val="1128350717"/>
        <w:rPr>
          <w:rFonts w:eastAsia="Times New Roman"/>
        </w:rPr>
      </w:pPr>
      <w:r>
        <w:rPr>
          <w:rFonts w:eastAsia="Times New Roman"/>
          <w:color w:val="000000"/>
          <w:sz w:val="20"/>
          <w:szCs w:val="20"/>
        </w:rPr>
        <w:t>4</w:t>
      </w:r>
    </w:p>
    <w:p w:rsidR="00000000" w:rsidRDefault="00AE54EE">
      <w:pPr>
        <w:rPr>
          <w:rFonts w:eastAsia="Times New Roman"/>
        </w:rPr>
      </w:pPr>
      <w:r>
        <w:rPr>
          <w:rFonts w:eastAsia="Times New Roman"/>
        </w:rPr>
        <w:pict>
          <v:rect id="_x0000_i1031" style="width:0;height:1.5pt" o:hralign="center" o:hrstd="t" o:hr="t" fillcolor="#a0a0a0" stroked="f"/>
        </w:pict>
      </w:r>
    </w:p>
    <w:p w:rsidR="00000000" w:rsidRDefault="00AE54EE">
      <w:pPr>
        <w:ind w:firstLine="450"/>
        <w:divId w:val="12457762"/>
        <w:rPr>
          <w:rFonts w:eastAsia="Times New Roman"/>
        </w:rPr>
      </w:pPr>
    </w:p>
    <w:p w:rsidR="00000000" w:rsidRDefault="00AE54EE">
      <w:pPr>
        <w:ind w:hanging="360"/>
        <w:divId w:val="1571768799"/>
        <w:rPr>
          <w:rFonts w:eastAsia="Times New Roman"/>
        </w:rPr>
      </w:pPr>
      <w:r>
        <w:rPr>
          <w:rFonts w:eastAsia="Times New Roman"/>
          <w:color w:val="000000"/>
          <w:sz w:val="20"/>
          <w:szCs w:val="20"/>
        </w:rPr>
        <w:t>•87 percent was derived from sales to U.S. Government customers, including foreign military sales funded through the U.S. Government, whether directly or through prime contractors;</w:t>
      </w:r>
    </w:p>
    <w:p w:rsidR="00000000" w:rsidRDefault="00AE54EE">
      <w:pPr>
        <w:ind w:hanging="360"/>
        <w:divId w:val="56825292"/>
        <w:rPr>
          <w:rFonts w:eastAsia="Times New Roman"/>
        </w:rPr>
      </w:pPr>
      <w:r>
        <w:rPr>
          <w:rFonts w:eastAsia="Times New Roman"/>
          <w:color w:val="000000"/>
          <w:sz w:val="20"/>
          <w:szCs w:val="20"/>
        </w:rPr>
        <w:t>•</w:t>
      </w:r>
      <w:r>
        <w:rPr>
          <w:rFonts w:eastAsia="Times New Roman"/>
          <w:color w:val="000000"/>
          <w:sz w:val="20"/>
          <w:szCs w:val="20"/>
        </w:rPr>
        <w:t>57 percent was derived from contracts under which we are the prime contractor; and</w:t>
      </w:r>
    </w:p>
    <w:p w:rsidR="00000000" w:rsidRDefault="00AE54EE">
      <w:pPr>
        <w:ind w:hanging="360"/>
        <w:divId w:val="1278216866"/>
        <w:rPr>
          <w:rFonts w:eastAsia="Times New Roman"/>
        </w:rPr>
      </w:pPr>
      <w:r>
        <w:rPr>
          <w:rFonts w:eastAsia="Times New Roman"/>
          <w:color w:val="000000"/>
          <w:sz w:val="20"/>
          <w:szCs w:val="20"/>
        </w:rPr>
        <w:t>•</w:t>
      </w:r>
      <w:r>
        <w:rPr>
          <w:rFonts w:eastAsia="Times New Roman"/>
          <w:color w:val="000000"/>
          <w:sz w:val="20"/>
          <w:szCs w:val="20"/>
        </w:rPr>
        <w:t>13 percent was derived from products and services for which the end consumer is located outside the U.S.</w:t>
      </w:r>
    </w:p>
    <w:p w:rsidR="00000000" w:rsidRDefault="00AE54EE">
      <w:pPr>
        <w:ind w:firstLine="450"/>
        <w:divId w:val="2103062534"/>
        <w:rPr>
          <w:rFonts w:eastAsia="Times New Roman"/>
        </w:rPr>
      </w:pPr>
      <w:r>
        <w:rPr>
          <w:rFonts w:eastAsia="Times New Roman"/>
          <w:color w:val="000000"/>
          <w:sz w:val="20"/>
          <w:szCs w:val="20"/>
        </w:rPr>
        <w:t>For a discussion of certain risks affecting this segment, including risks relating to our U.S. Government contracts and subcontracts, see “Item 1. Busi</w:t>
      </w:r>
      <w:r>
        <w:rPr>
          <w:rFonts w:eastAsia="Times New Roman"/>
          <w:color w:val="000000"/>
          <w:sz w:val="20"/>
          <w:szCs w:val="20"/>
        </w:rPr>
        <w:t>ness - Principal Customers; Government Contracts,” “Item 1A. Risk Factors” and “Item 3. Legal Proceedings” of this Report.</w:t>
      </w:r>
    </w:p>
    <w:p w:rsidR="00000000" w:rsidRDefault="00AE54EE">
      <w:pPr>
        <w:divId w:val="1806311328"/>
        <w:rPr>
          <w:rFonts w:eastAsia="Times New Roman"/>
        </w:rPr>
      </w:pPr>
      <w:r>
        <w:rPr>
          <w:rFonts w:eastAsia="Times New Roman"/>
          <w:b/>
          <w:bCs/>
          <w:i/>
          <w:iCs/>
          <w:color w:val="000000"/>
          <w:sz w:val="20"/>
          <w:szCs w:val="20"/>
        </w:rPr>
        <w:t xml:space="preserve">Communication Systems </w:t>
      </w:r>
    </w:p>
    <w:p w:rsidR="00000000" w:rsidRDefault="00AE54EE">
      <w:pPr>
        <w:ind w:firstLine="450"/>
        <w:divId w:val="1276518773"/>
        <w:rPr>
          <w:rFonts w:eastAsia="Times New Roman"/>
        </w:rPr>
      </w:pPr>
      <w:r>
        <w:rPr>
          <w:rFonts w:eastAsia="Times New Roman"/>
          <w:color w:val="000000"/>
          <w:sz w:val="20"/>
          <w:szCs w:val="20"/>
        </w:rPr>
        <w:t>Communication Systems segment revenue of $4,287 million for fiscal 2021, represented 24 percent of our total r</w:t>
      </w:r>
      <w:r>
        <w:rPr>
          <w:rFonts w:eastAsia="Times New Roman"/>
          <w:color w:val="000000"/>
          <w:sz w:val="20"/>
          <w:szCs w:val="20"/>
        </w:rPr>
        <w:t xml:space="preserve">evenue. This segment is comprised of five business sectors: Tactical Communications, Broadband Communications, Integrated Vision Solutions, Public Safety and Global Communications, the principal products and services of which are described below. </w:t>
      </w:r>
    </w:p>
    <w:p w:rsidR="00000000" w:rsidRDefault="00AE54EE">
      <w:pPr>
        <w:ind w:firstLine="450"/>
        <w:divId w:val="674848606"/>
        <w:rPr>
          <w:rFonts w:eastAsia="Times New Roman"/>
        </w:rPr>
      </w:pPr>
      <w:r>
        <w:rPr>
          <w:rFonts w:eastAsia="Times New Roman"/>
          <w:i/>
          <w:iCs/>
          <w:color w:val="000000"/>
          <w:sz w:val="20"/>
          <w:szCs w:val="20"/>
        </w:rPr>
        <w:t>Tactical</w:t>
      </w:r>
      <w:r>
        <w:rPr>
          <w:rFonts w:eastAsia="Times New Roman"/>
          <w:i/>
          <w:iCs/>
          <w:color w:val="000000"/>
          <w:sz w:val="20"/>
          <w:szCs w:val="20"/>
        </w:rPr>
        <w:t xml:space="preserve"> Communications: </w:t>
      </w:r>
      <w:r>
        <w:rPr>
          <w:rFonts w:eastAsia="Times New Roman"/>
          <w:color w:val="000000"/>
          <w:sz w:val="20"/>
          <w:szCs w:val="20"/>
        </w:rPr>
        <w:t>We provide tactical radios to the U.S. Army, USAF, U.S. Marine Corps, USN, U.S. Special Operations Command (“SOCOM”) and international defense customers, including developing and manufacturing software-defined radios for key DoD network mo</w:t>
      </w:r>
      <w:r>
        <w:rPr>
          <w:rFonts w:eastAsia="Times New Roman"/>
          <w:color w:val="000000"/>
          <w:sz w:val="20"/>
          <w:szCs w:val="20"/>
        </w:rPr>
        <w:t>dernization programs. For example, we are providing Handheld, Manpack and Small Form-Fit (“HMS”) radios to the U.S. Army.</w:t>
      </w:r>
    </w:p>
    <w:p w:rsidR="00000000" w:rsidRDefault="00AE54EE">
      <w:pPr>
        <w:ind w:firstLine="450"/>
        <w:divId w:val="877085494"/>
        <w:rPr>
          <w:rFonts w:eastAsia="Times New Roman"/>
        </w:rPr>
      </w:pPr>
      <w:r>
        <w:rPr>
          <w:rFonts w:eastAsia="Times New Roman"/>
          <w:color w:val="000000"/>
          <w:sz w:val="20"/>
          <w:szCs w:val="20"/>
        </w:rPr>
        <w:t>We operate in this market principally on a “commercial” market-driven business model. We believe our business model, which drives spee</w:t>
      </w:r>
      <w:r>
        <w:rPr>
          <w:rFonts w:eastAsia="Times New Roman"/>
          <w:color w:val="000000"/>
          <w:sz w:val="20"/>
          <w:szCs w:val="20"/>
        </w:rPr>
        <w:t xml:space="preserve">d and innovation, coupled with the scale provided by our international presence, will continue to make us competitive in the global market for tactical radios as it undergoes a modernization cycle. </w:t>
      </w:r>
    </w:p>
    <w:p w:rsidR="00000000" w:rsidRDefault="00AE54EE">
      <w:pPr>
        <w:ind w:firstLine="450"/>
        <w:divId w:val="250166887"/>
        <w:rPr>
          <w:rFonts w:eastAsia="Times New Roman"/>
        </w:rPr>
      </w:pPr>
      <w:r>
        <w:rPr>
          <w:rFonts w:eastAsia="Times New Roman"/>
          <w:i/>
          <w:iCs/>
          <w:color w:val="000000"/>
          <w:sz w:val="20"/>
          <w:szCs w:val="20"/>
        </w:rPr>
        <w:t xml:space="preserve">Broadband Communications: </w:t>
      </w:r>
      <w:r>
        <w:rPr>
          <w:rFonts w:eastAsia="Times New Roman"/>
          <w:color w:val="000000"/>
          <w:sz w:val="20"/>
          <w:szCs w:val="20"/>
        </w:rPr>
        <w:t>We develop, design, manufacture</w:t>
      </w:r>
      <w:r>
        <w:rPr>
          <w:rFonts w:eastAsia="Times New Roman"/>
          <w:color w:val="000000"/>
          <w:sz w:val="20"/>
          <w:szCs w:val="20"/>
        </w:rPr>
        <w:t xml:space="preserve"> and integrate broadband secured mobile networked communication equipment, including airborne, space and surface data link terminals, ground stations and transportable tactical satellite communication (“SATCOM”) systems used on manned aircraft, unmanned ae</w:t>
      </w:r>
      <w:r>
        <w:rPr>
          <w:rFonts w:eastAsia="Times New Roman"/>
          <w:color w:val="000000"/>
          <w:sz w:val="20"/>
          <w:szCs w:val="20"/>
        </w:rPr>
        <w:t>rial vehicles (“UAVs”) and naval ships. Significant customers include U.S. defense and intelligence agencies.</w:t>
      </w:r>
    </w:p>
    <w:p w:rsidR="00000000" w:rsidRDefault="00AE54EE">
      <w:pPr>
        <w:ind w:firstLine="450"/>
        <w:divId w:val="286358092"/>
        <w:rPr>
          <w:rFonts w:eastAsia="Times New Roman"/>
        </w:rPr>
      </w:pPr>
      <w:r>
        <w:rPr>
          <w:rFonts w:eastAsia="Times New Roman"/>
          <w:i/>
          <w:iCs/>
          <w:color w:val="000000"/>
          <w:sz w:val="20"/>
          <w:szCs w:val="20"/>
        </w:rPr>
        <w:t>Integrated Visions Solutions:</w:t>
      </w:r>
      <w:r>
        <w:rPr>
          <w:rFonts w:eastAsia="Times New Roman"/>
          <w:color w:val="000000"/>
          <w:sz w:val="20"/>
          <w:szCs w:val="20"/>
        </w:rPr>
        <w:t xml:space="preserve"> We provide a full suite of helmet and weapon mounted integrated night vision systems for U.S. and international cust</w:t>
      </w:r>
      <w:r>
        <w:rPr>
          <w:rFonts w:eastAsia="Times New Roman"/>
          <w:color w:val="000000"/>
          <w:sz w:val="20"/>
          <w:szCs w:val="20"/>
        </w:rPr>
        <w:t xml:space="preserve">omers. </w:t>
      </w:r>
    </w:p>
    <w:p w:rsidR="00000000" w:rsidRDefault="00AE54EE">
      <w:pPr>
        <w:ind w:firstLine="450"/>
        <w:divId w:val="1882667434"/>
        <w:rPr>
          <w:rFonts w:eastAsia="Times New Roman"/>
        </w:rPr>
      </w:pPr>
      <w:r>
        <w:rPr>
          <w:rFonts w:eastAsia="Times New Roman"/>
          <w:i/>
          <w:iCs/>
          <w:color w:val="000000"/>
          <w:sz w:val="20"/>
          <w:szCs w:val="20"/>
        </w:rPr>
        <w:t>Public Safety:</w:t>
      </w:r>
      <w:r>
        <w:rPr>
          <w:rFonts w:eastAsia="Times New Roman"/>
          <w:color w:val="000000"/>
          <w:sz w:val="20"/>
          <w:szCs w:val="20"/>
        </w:rPr>
        <w:t xml:space="preserve"> We provide radios, systems applications and equipment for critical public safety and professional communications to Federal, state and local government customers as well as to utility companies.</w:t>
      </w:r>
    </w:p>
    <w:p w:rsidR="00000000" w:rsidRDefault="00AE54EE">
      <w:pPr>
        <w:ind w:firstLine="450"/>
        <w:divId w:val="971208828"/>
        <w:rPr>
          <w:rFonts w:eastAsia="Times New Roman"/>
        </w:rPr>
      </w:pPr>
      <w:r>
        <w:rPr>
          <w:rFonts w:eastAsia="Times New Roman"/>
          <w:i/>
          <w:iCs/>
          <w:color w:val="000000"/>
          <w:sz w:val="20"/>
          <w:szCs w:val="20"/>
        </w:rPr>
        <w:t xml:space="preserve">Global Communications Solutions: </w:t>
      </w:r>
      <w:r>
        <w:rPr>
          <w:rFonts w:eastAsia="Times New Roman"/>
          <w:color w:val="000000"/>
          <w:sz w:val="20"/>
          <w:szCs w:val="20"/>
        </w:rPr>
        <w:t>We pr</w:t>
      </w:r>
      <w:r>
        <w:rPr>
          <w:rFonts w:eastAsia="Times New Roman"/>
          <w:color w:val="000000"/>
          <w:sz w:val="20"/>
          <w:szCs w:val="20"/>
        </w:rPr>
        <w:t xml:space="preserve">ovide SATCOM terminals and battlefield management networks for U.S. and international defense customers. </w:t>
      </w:r>
    </w:p>
    <w:p w:rsidR="00000000" w:rsidRDefault="00AE54EE">
      <w:pPr>
        <w:ind w:firstLine="450"/>
        <w:divId w:val="1789664211"/>
        <w:rPr>
          <w:rFonts w:eastAsia="Times New Roman"/>
        </w:rPr>
      </w:pPr>
      <w:r>
        <w:rPr>
          <w:rFonts w:eastAsia="Times New Roman"/>
          <w:color w:val="000000"/>
          <w:sz w:val="20"/>
          <w:szCs w:val="20"/>
        </w:rPr>
        <w:t>Additional information regarding the composition of Communication Systems revenue for fiscal 2021 is as follows:</w:t>
      </w:r>
    </w:p>
    <w:p w:rsidR="00000000" w:rsidRDefault="00AE54EE">
      <w:pPr>
        <w:ind w:hanging="360"/>
        <w:divId w:val="14813038"/>
        <w:rPr>
          <w:rFonts w:eastAsia="Times New Roman"/>
        </w:rPr>
      </w:pPr>
      <w:r>
        <w:rPr>
          <w:rFonts w:eastAsia="Times New Roman"/>
          <w:color w:val="000000"/>
          <w:sz w:val="20"/>
          <w:szCs w:val="20"/>
        </w:rPr>
        <w:t>•68 percent was derived from sales to</w:t>
      </w:r>
      <w:r>
        <w:rPr>
          <w:rFonts w:eastAsia="Times New Roman"/>
          <w:color w:val="000000"/>
          <w:sz w:val="20"/>
          <w:szCs w:val="20"/>
        </w:rPr>
        <w:t xml:space="preserve"> U.S. Government customers, including foreign military sales funded through the U.S. Government, whether directly or through prime contractors;</w:t>
      </w:r>
    </w:p>
    <w:p w:rsidR="00000000" w:rsidRDefault="00AE54EE">
      <w:pPr>
        <w:ind w:hanging="360"/>
        <w:divId w:val="595137048"/>
        <w:rPr>
          <w:rFonts w:eastAsia="Times New Roman"/>
        </w:rPr>
      </w:pPr>
      <w:r>
        <w:rPr>
          <w:rFonts w:eastAsia="Times New Roman"/>
          <w:color w:val="000000"/>
          <w:sz w:val="20"/>
          <w:szCs w:val="20"/>
        </w:rPr>
        <w:t>•67 percent was derived from contracts under which we are the prime contractor; and</w:t>
      </w:r>
    </w:p>
    <w:p w:rsidR="00000000" w:rsidRDefault="00AE54EE">
      <w:pPr>
        <w:ind w:hanging="360"/>
        <w:divId w:val="493834371"/>
        <w:rPr>
          <w:rFonts w:eastAsia="Times New Roman"/>
        </w:rPr>
      </w:pPr>
      <w:r>
        <w:rPr>
          <w:rFonts w:eastAsia="Times New Roman"/>
          <w:color w:val="000000"/>
          <w:sz w:val="20"/>
          <w:szCs w:val="20"/>
        </w:rPr>
        <w:t>•29 percent was derived from</w:t>
      </w:r>
      <w:r>
        <w:rPr>
          <w:rFonts w:eastAsia="Times New Roman"/>
          <w:color w:val="000000"/>
          <w:sz w:val="20"/>
          <w:szCs w:val="20"/>
        </w:rPr>
        <w:t xml:space="preserve"> products and services for which the end consumer is located outside the U.S.</w:t>
      </w:r>
    </w:p>
    <w:p w:rsidR="00000000" w:rsidRDefault="00AE54EE">
      <w:pPr>
        <w:divId w:val="1371689875"/>
        <w:rPr>
          <w:rFonts w:eastAsia="Times New Roman"/>
        </w:rPr>
      </w:pPr>
      <w:r>
        <w:rPr>
          <w:rFonts w:eastAsia="Times New Roman"/>
          <w:b/>
          <w:bCs/>
          <w:i/>
          <w:iCs/>
          <w:color w:val="000000"/>
          <w:sz w:val="20"/>
          <w:szCs w:val="20"/>
        </w:rPr>
        <w:t xml:space="preserve">Aviation Systems </w:t>
      </w:r>
    </w:p>
    <w:p w:rsidR="00000000" w:rsidRDefault="00AE54EE">
      <w:pPr>
        <w:ind w:firstLine="450"/>
        <w:divId w:val="1508864807"/>
        <w:rPr>
          <w:rFonts w:eastAsia="Times New Roman"/>
        </w:rPr>
      </w:pPr>
      <w:r>
        <w:rPr>
          <w:rFonts w:eastAsia="Times New Roman"/>
          <w:color w:val="000000"/>
          <w:sz w:val="20"/>
          <w:szCs w:val="20"/>
        </w:rPr>
        <w:t>As described above and in more detail in</w:t>
      </w:r>
      <w:r>
        <w:rPr>
          <w:rFonts w:eastAsia="Times New Roman"/>
          <w:i/>
          <w:iCs/>
          <w:color w:val="000000"/>
          <w:sz w:val="20"/>
          <w:szCs w:val="20"/>
        </w:rPr>
        <w:t xml:space="preserve"> Note 3: Business Divestitures and Asset Sales</w:t>
      </w:r>
      <w:r>
        <w:rPr>
          <w:rFonts w:eastAsia="Times New Roman"/>
          <w:color w:val="000000"/>
          <w:sz w:val="20"/>
          <w:szCs w:val="20"/>
        </w:rPr>
        <w:t xml:space="preserve"> and elsewhere in the Notes, during fiscal 2021 and 2020, we completed sev</w:t>
      </w:r>
      <w:r>
        <w:rPr>
          <w:rFonts w:eastAsia="Times New Roman"/>
          <w:color w:val="000000"/>
          <w:sz w:val="20"/>
          <w:szCs w:val="20"/>
        </w:rPr>
        <w:t>eral business divestitures in our Aviation Systems segment as we reshaped our business portfolio to focus on technology-differentiated businesses.</w:t>
      </w:r>
    </w:p>
    <w:p w:rsidR="00000000" w:rsidRDefault="00AE54EE">
      <w:pPr>
        <w:ind w:firstLine="450"/>
        <w:divId w:val="1219053671"/>
        <w:rPr>
          <w:rFonts w:eastAsia="Times New Roman"/>
        </w:rPr>
      </w:pPr>
      <w:r>
        <w:rPr>
          <w:rFonts w:eastAsia="Times New Roman"/>
          <w:color w:val="000000"/>
          <w:sz w:val="20"/>
          <w:szCs w:val="20"/>
        </w:rPr>
        <w:t>Aviation Systems segment revenue of $2,783 million for fiscal 2021, represented 15 percent of our total reven</w:t>
      </w:r>
      <w:r>
        <w:rPr>
          <w:rFonts w:eastAsia="Times New Roman"/>
          <w:color w:val="000000"/>
          <w:sz w:val="20"/>
          <w:szCs w:val="20"/>
        </w:rPr>
        <w:t xml:space="preserve">ue. This segment is comprised of four business sectors: Mission Networks, Defense Aviation, Commercial Aviation Products and Commercial Pilot Training, the principal products and services of which are described below. </w:t>
      </w:r>
    </w:p>
    <w:p w:rsidR="00000000" w:rsidRDefault="00AE54EE">
      <w:pPr>
        <w:ind w:firstLine="450"/>
        <w:divId w:val="918056727"/>
        <w:rPr>
          <w:rFonts w:eastAsia="Times New Roman"/>
        </w:rPr>
      </w:pPr>
      <w:r>
        <w:rPr>
          <w:rFonts w:eastAsia="Times New Roman"/>
          <w:i/>
          <w:iCs/>
          <w:color w:val="000000"/>
          <w:sz w:val="20"/>
          <w:szCs w:val="20"/>
        </w:rPr>
        <w:t xml:space="preserve">Mission Networks: </w:t>
      </w:r>
      <w:r>
        <w:rPr>
          <w:rFonts w:eastAsia="Times New Roman"/>
          <w:color w:val="000000"/>
          <w:sz w:val="20"/>
          <w:szCs w:val="20"/>
        </w:rPr>
        <w:t>We provide mission-</w:t>
      </w:r>
      <w:r>
        <w:rPr>
          <w:rFonts w:eastAsia="Times New Roman"/>
          <w:color w:val="000000"/>
          <w:sz w:val="20"/>
          <w:szCs w:val="20"/>
        </w:rPr>
        <w:t>critical infrastructure communications and networking solutions for air traffic management for the U.S. Federal Aviation Administration (“FAA”) and international airspace national service providers.</w:t>
      </w:r>
    </w:p>
    <w:p w:rsidR="00000000" w:rsidRDefault="00AE54EE">
      <w:pPr>
        <w:ind w:firstLine="450"/>
        <w:divId w:val="1631206711"/>
        <w:rPr>
          <w:rFonts w:eastAsia="Times New Roman"/>
        </w:rPr>
      </w:pPr>
      <w:r>
        <w:rPr>
          <w:rFonts w:eastAsia="Times New Roman"/>
          <w:i/>
          <w:iCs/>
          <w:color w:val="000000"/>
          <w:sz w:val="20"/>
          <w:szCs w:val="20"/>
        </w:rPr>
        <w:t xml:space="preserve">Defense Aviation: </w:t>
      </w:r>
      <w:r>
        <w:rPr>
          <w:rFonts w:eastAsia="Times New Roman"/>
          <w:color w:val="000000"/>
          <w:sz w:val="20"/>
          <w:szCs w:val="20"/>
        </w:rPr>
        <w:t>We provide precision engagement sensors</w:t>
      </w:r>
      <w:r>
        <w:rPr>
          <w:rFonts w:eastAsia="Times New Roman"/>
          <w:color w:val="000000"/>
          <w:sz w:val="20"/>
          <w:szCs w:val="20"/>
        </w:rPr>
        <w:t xml:space="preserve"> and systems, small UAVs and antennas and arrays. In addition, this business sector provides GPS receivers for guided projectiles and precision munitions, as well as, navigation for fire control systems. Significant customers include U.S. defense and forei</w:t>
      </w:r>
      <w:r>
        <w:rPr>
          <w:rFonts w:eastAsia="Times New Roman"/>
          <w:color w:val="000000"/>
          <w:sz w:val="20"/>
          <w:szCs w:val="20"/>
        </w:rPr>
        <w:t xml:space="preserve">gn military agencies. </w:t>
      </w:r>
    </w:p>
    <w:p w:rsidR="00000000" w:rsidRDefault="00AE54EE">
      <w:pPr>
        <w:ind w:firstLine="450"/>
        <w:divId w:val="314454214"/>
        <w:rPr>
          <w:rFonts w:eastAsia="Times New Roman"/>
        </w:rPr>
      </w:pPr>
      <w:r>
        <w:rPr>
          <w:rFonts w:eastAsia="Times New Roman"/>
          <w:i/>
          <w:iCs/>
          <w:color w:val="000000"/>
          <w:sz w:val="20"/>
          <w:szCs w:val="20"/>
        </w:rPr>
        <w:t>Commercial Aviation Products:</w:t>
      </w:r>
      <w:r>
        <w:rPr>
          <w:rFonts w:eastAsia="Times New Roman"/>
          <w:color w:val="000000"/>
          <w:sz w:val="20"/>
          <w:szCs w:val="20"/>
        </w:rPr>
        <w:t xml:space="preserve"> We provide airborne avionics products, such as traffic collision avoidance and flight recorders. Significant customers include commercial airplane manufacturers, commercial airlines and automotive manufa</w:t>
      </w:r>
      <w:r>
        <w:rPr>
          <w:rFonts w:eastAsia="Times New Roman"/>
          <w:color w:val="000000"/>
          <w:sz w:val="20"/>
          <w:szCs w:val="20"/>
        </w:rPr>
        <w:t>cturers.</w:t>
      </w:r>
    </w:p>
    <w:p w:rsidR="00000000" w:rsidRDefault="00AE54EE">
      <w:pPr>
        <w:ind w:firstLine="450"/>
        <w:divId w:val="979387519"/>
        <w:rPr>
          <w:rFonts w:eastAsia="Times New Roman"/>
        </w:rPr>
      </w:pPr>
      <w:r>
        <w:rPr>
          <w:rFonts w:eastAsia="Times New Roman"/>
          <w:i/>
          <w:iCs/>
          <w:color w:val="000000"/>
          <w:sz w:val="20"/>
          <w:szCs w:val="20"/>
        </w:rPr>
        <w:t>Commercial Training Solutions:</w:t>
      </w:r>
      <w:r>
        <w:rPr>
          <w:rFonts w:eastAsia="Times New Roman"/>
          <w:color w:val="000000"/>
          <w:sz w:val="20"/>
          <w:szCs w:val="20"/>
        </w:rPr>
        <w:t xml:space="preserve"> We develop, install and maintain flight simulators and training systems that are customized to commercial aircraft. We also provide commercial pilot training services, including airline training for licensed pilots, </w:t>
      </w:r>
      <w:r>
        <w:rPr>
          <w:rFonts w:eastAsia="Times New Roman"/>
          <w:color w:val="000000"/>
          <w:sz w:val="20"/>
          <w:szCs w:val="20"/>
        </w:rPr>
        <w:t>academy programs for new cadets and flight school training for pilots. Significant customers include commercial airlines and aircraft manufacturers.</w:t>
      </w:r>
    </w:p>
    <w:p w:rsidR="00000000" w:rsidRDefault="00AE54EE">
      <w:pPr>
        <w:ind w:firstLine="450"/>
        <w:jc w:val="center"/>
        <w:divId w:val="1612542203"/>
        <w:rPr>
          <w:rFonts w:eastAsia="Times New Roman"/>
        </w:rPr>
      </w:pPr>
      <w:r>
        <w:rPr>
          <w:rFonts w:eastAsia="Times New Roman"/>
          <w:color w:val="000000"/>
          <w:sz w:val="20"/>
          <w:szCs w:val="20"/>
        </w:rPr>
        <w:t>5</w:t>
      </w:r>
    </w:p>
    <w:p w:rsidR="00000000" w:rsidRDefault="00AE54EE">
      <w:pPr>
        <w:rPr>
          <w:rFonts w:eastAsia="Times New Roman"/>
        </w:rPr>
      </w:pPr>
      <w:r>
        <w:rPr>
          <w:rFonts w:eastAsia="Times New Roman"/>
        </w:rPr>
        <w:pict>
          <v:rect id="_x0000_i1032" style="width:0;height:1.5pt" o:hralign="center" o:hrstd="t" o:hr="t" fillcolor="#a0a0a0" stroked="f"/>
        </w:pict>
      </w:r>
    </w:p>
    <w:p w:rsidR="00000000" w:rsidRDefault="00AE54EE">
      <w:pPr>
        <w:ind w:firstLine="450"/>
        <w:divId w:val="1048341717"/>
        <w:rPr>
          <w:rFonts w:eastAsia="Times New Roman"/>
        </w:rPr>
      </w:pPr>
    </w:p>
    <w:p w:rsidR="00000000" w:rsidRDefault="00AE54EE">
      <w:pPr>
        <w:ind w:firstLine="360"/>
        <w:divId w:val="1978877502"/>
        <w:rPr>
          <w:rFonts w:eastAsia="Times New Roman"/>
        </w:rPr>
      </w:pPr>
      <w:r>
        <w:rPr>
          <w:rFonts w:eastAsia="Times New Roman"/>
          <w:color w:val="000000"/>
          <w:sz w:val="20"/>
          <w:szCs w:val="20"/>
        </w:rPr>
        <w:t>Additional information regarding the composition of Aviation Syste</w:t>
      </w:r>
      <w:r>
        <w:rPr>
          <w:rFonts w:eastAsia="Times New Roman"/>
          <w:color w:val="000000"/>
          <w:sz w:val="20"/>
          <w:szCs w:val="20"/>
        </w:rPr>
        <w:t>ms revenue for fiscal 2021 is as follows:</w:t>
      </w:r>
    </w:p>
    <w:p w:rsidR="00000000" w:rsidRDefault="00AE54EE">
      <w:pPr>
        <w:ind w:hanging="360"/>
        <w:divId w:val="1482306243"/>
        <w:rPr>
          <w:rFonts w:eastAsia="Times New Roman"/>
        </w:rPr>
      </w:pPr>
      <w:r>
        <w:rPr>
          <w:rFonts w:eastAsia="Times New Roman"/>
          <w:color w:val="000000"/>
          <w:sz w:val="20"/>
          <w:szCs w:val="20"/>
        </w:rPr>
        <w:t>•</w:t>
      </w:r>
      <w:r>
        <w:rPr>
          <w:rFonts w:eastAsia="Times New Roman"/>
          <w:color w:val="000000"/>
          <w:sz w:val="20"/>
          <w:szCs w:val="20"/>
        </w:rPr>
        <w:t>74 percent was derived from sales to U.S. Government customers, including foreign military sales funded through the U.S. Government, whether directly or through prime contractors;</w:t>
      </w:r>
    </w:p>
    <w:p w:rsidR="00000000" w:rsidRDefault="00AE54EE">
      <w:pPr>
        <w:ind w:hanging="360"/>
        <w:divId w:val="2044594269"/>
        <w:rPr>
          <w:rFonts w:eastAsia="Times New Roman"/>
        </w:rPr>
      </w:pPr>
      <w:r>
        <w:rPr>
          <w:rFonts w:eastAsia="Times New Roman"/>
          <w:color w:val="000000"/>
          <w:sz w:val="20"/>
          <w:szCs w:val="20"/>
        </w:rPr>
        <w:t>•65 percent was derived from contracts under which we are the prime contract</w:t>
      </w:r>
      <w:r>
        <w:rPr>
          <w:rFonts w:eastAsia="Times New Roman"/>
          <w:color w:val="000000"/>
          <w:sz w:val="20"/>
          <w:szCs w:val="20"/>
        </w:rPr>
        <w:t>or; and</w:t>
      </w:r>
    </w:p>
    <w:p w:rsidR="00000000" w:rsidRDefault="00AE54EE">
      <w:pPr>
        <w:ind w:hanging="360"/>
        <w:divId w:val="1645741683"/>
        <w:rPr>
          <w:rFonts w:eastAsia="Times New Roman"/>
        </w:rPr>
      </w:pPr>
      <w:r>
        <w:rPr>
          <w:rFonts w:eastAsia="Times New Roman"/>
          <w:color w:val="000000"/>
          <w:sz w:val="20"/>
          <w:szCs w:val="20"/>
        </w:rPr>
        <w:t>•14 percent was derived from products and services for which the end consumer is located outside the U.S.</w:t>
      </w:r>
    </w:p>
    <w:p w:rsidR="00000000" w:rsidRDefault="00AE54EE">
      <w:pPr>
        <w:divId w:val="2021662449"/>
        <w:rPr>
          <w:rFonts w:eastAsia="Times New Roman"/>
        </w:rPr>
      </w:pPr>
      <w:r>
        <w:rPr>
          <w:rFonts w:eastAsia="Times New Roman"/>
          <w:b/>
          <w:bCs/>
          <w:color w:val="000000"/>
          <w:sz w:val="20"/>
          <w:szCs w:val="20"/>
        </w:rPr>
        <w:t>International Business</w:t>
      </w:r>
    </w:p>
    <w:p w:rsidR="00000000" w:rsidRDefault="00AE54EE">
      <w:pPr>
        <w:ind w:firstLine="450"/>
        <w:divId w:val="411777899"/>
        <w:rPr>
          <w:rFonts w:eastAsia="Times New Roman"/>
        </w:rPr>
      </w:pPr>
      <w:r>
        <w:rPr>
          <w:rFonts w:eastAsia="Times New Roman"/>
          <w:color w:val="000000"/>
          <w:sz w:val="20"/>
          <w:szCs w:val="20"/>
        </w:rPr>
        <w:t>Revenue from products and services where the end consumer is located outside the U.S., including foreign military sales</w:t>
      </w:r>
      <w:r>
        <w:rPr>
          <w:rFonts w:eastAsia="Times New Roman"/>
          <w:color w:val="000000"/>
          <w:sz w:val="20"/>
          <w:szCs w:val="20"/>
        </w:rPr>
        <w:t xml:space="preserve"> through the U.S. Government, was $3.9 billion (22 percent of our revenue), $3.7 billion (20 percent of our revenue), $2.0 billion (21 percent of our revenue) and $1.5 billion (22 percent of our revenue) in fiscal 2021, fiscal 2020, the two quarters ended </w:t>
      </w:r>
      <w:r>
        <w:rPr>
          <w:rFonts w:eastAsia="Times New Roman"/>
          <w:color w:val="000000"/>
          <w:sz w:val="20"/>
          <w:szCs w:val="20"/>
        </w:rPr>
        <w:t>January 3, 2020 and fiscal 2019, respectively. Direct export sales are primarily denominated in U.S. Dollars, whereas sales from foreign subsidiaries are generally denominated in the local currency of the subsidiary. For financial information regarding our</w:t>
      </w:r>
      <w:r>
        <w:rPr>
          <w:rFonts w:eastAsia="Times New Roman"/>
          <w:color w:val="000000"/>
          <w:sz w:val="20"/>
          <w:szCs w:val="20"/>
        </w:rPr>
        <w:t xml:space="preserve"> domestic and international operations, including long-lived assets, see </w:t>
      </w:r>
      <w:r>
        <w:rPr>
          <w:rFonts w:eastAsia="Times New Roman"/>
          <w:i/>
          <w:iCs/>
          <w:color w:val="000000"/>
          <w:sz w:val="20"/>
          <w:szCs w:val="20"/>
        </w:rPr>
        <w:t>Note 24: Business Segments</w:t>
      </w:r>
      <w:r>
        <w:rPr>
          <w:rFonts w:eastAsia="Times New Roman"/>
          <w:color w:val="000000"/>
          <w:sz w:val="20"/>
          <w:szCs w:val="20"/>
        </w:rPr>
        <w:t xml:space="preserve"> in the Notes.</w:t>
      </w:r>
    </w:p>
    <w:p w:rsidR="00000000" w:rsidRDefault="00AE54EE">
      <w:pPr>
        <w:ind w:firstLine="450"/>
        <w:divId w:val="470296473"/>
        <w:rPr>
          <w:rFonts w:eastAsia="Times New Roman"/>
        </w:rPr>
      </w:pPr>
      <w:r>
        <w:rPr>
          <w:rFonts w:eastAsia="Times New Roman"/>
          <w:color w:val="000000"/>
          <w:sz w:val="20"/>
          <w:szCs w:val="20"/>
        </w:rPr>
        <w:t>The majority of our international marketing activities are conducted through subsidiaries that operate in the EMEA (Europe, Middle East and Af</w:t>
      </w:r>
      <w:r>
        <w:rPr>
          <w:rFonts w:eastAsia="Times New Roman"/>
          <w:color w:val="000000"/>
          <w:sz w:val="20"/>
          <w:szCs w:val="20"/>
        </w:rPr>
        <w:t>rica) and APAC (Asia-Pacific) regions and Canada. We also have established international marketing organizations and several regional sales offices. For further information regarding our international subsidiaries, see Exhibit 21 of this Report.</w:t>
      </w:r>
    </w:p>
    <w:p w:rsidR="00000000" w:rsidRDefault="00AE54EE">
      <w:pPr>
        <w:ind w:firstLine="450"/>
        <w:divId w:val="730009197"/>
        <w:rPr>
          <w:rFonts w:eastAsia="Times New Roman"/>
        </w:rPr>
      </w:pPr>
      <w:r>
        <w:rPr>
          <w:rFonts w:eastAsia="Times New Roman"/>
          <w:color w:val="000000"/>
          <w:sz w:val="20"/>
          <w:szCs w:val="20"/>
        </w:rPr>
        <w:t>International revenue for fiscal 2021 came from a large number of countries, and no single foreign country accounted for more than 5 percent of our total revenue. Some of our exports are paid for by letters of credit, with the balance carried on an open ac</w:t>
      </w:r>
      <w:r>
        <w:rPr>
          <w:rFonts w:eastAsia="Times New Roman"/>
          <w:color w:val="000000"/>
          <w:sz w:val="20"/>
          <w:szCs w:val="20"/>
        </w:rPr>
        <w:t>count. Advance payments, progress payments or other similar payments received prior to or upon shipment often cover most of the related costs incurred. Significant foreign government contracts generally require us to provide performance guarantees. In orde</w:t>
      </w:r>
      <w:r>
        <w:rPr>
          <w:rFonts w:eastAsia="Times New Roman"/>
          <w:color w:val="000000"/>
          <w:sz w:val="20"/>
          <w:szCs w:val="20"/>
        </w:rPr>
        <w:t>r to remain competitive in international markets, we also enter into offset agreements or recourse or vendor financing arrangements to facilitate sales to certain customers.</w:t>
      </w:r>
    </w:p>
    <w:p w:rsidR="00000000" w:rsidRDefault="00AE54EE">
      <w:pPr>
        <w:ind w:firstLine="450"/>
        <w:divId w:val="2048094623"/>
        <w:rPr>
          <w:rFonts w:eastAsia="Times New Roman"/>
        </w:rPr>
      </w:pPr>
      <w:r>
        <w:rPr>
          <w:rFonts w:eastAsia="Times New Roman"/>
          <w:color w:val="000000"/>
          <w:sz w:val="20"/>
          <w:szCs w:val="20"/>
        </w:rPr>
        <w:t>We utilize indirect sales channels, including dealers, distributors and sales repr</w:t>
      </w:r>
      <w:r>
        <w:rPr>
          <w:rFonts w:eastAsia="Times New Roman"/>
          <w:color w:val="000000"/>
          <w:sz w:val="20"/>
          <w:szCs w:val="20"/>
        </w:rPr>
        <w:t>esentatives, in the marketing and sale of some lines of products and equipment, both domestically and internationally. These independent representatives may buy for resale or, in some cases, solicit orders from commercial or government customers for direct</w:t>
      </w:r>
      <w:r>
        <w:rPr>
          <w:rFonts w:eastAsia="Times New Roman"/>
          <w:color w:val="000000"/>
          <w:sz w:val="20"/>
          <w:szCs w:val="20"/>
        </w:rPr>
        <w:t xml:space="preserve"> sales by us. Prices to the ultimate customer in many instances may be recommended or established by the independent representative and may be above or below our list prices. Our dealers and distributors generally receive a discount from our list prices an</w:t>
      </w:r>
      <w:r>
        <w:rPr>
          <w:rFonts w:eastAsia="Times New Roman"/>
          <w:color w:val="000000"/>
          <w:sz w:val="20"/>
          <w:szCs w:val="20"/>
        </w:rPr>
        <w:t xml:space="preserve">d may mark up those prices in setting the final sales prices paid by the customer. </w:t>
      </w:r>
    </w:p>
    <w:p w:rsidR="00000000" w:rsidRDefault="00AE54EE">
      <w:pPr>
        <w:ind w:firstLine="450"/>
        <w:divId w:val="172454284"/>
        <w:rPr>
          <w:rFonts w:eastAsia="Times New Roman"/>
        </w:rPr>
      </w:pPr>
      <w:r>
        <w:rPr>
          <w:rFonts w:eastAsia="Times New Roman"/>
          <w:color w:val="000000"/>
          <w:sz w:val="20"/>
          <w:szCs w:val="20"/>
        </w:rPr>
        <w:t>The particular economic, social and political conditions for business conducted outside the U.S. differ from those encountered by U.S. businesses. We believe that the overa</w:t>
      </w:r>
      <w:r>
        <w:rPr>
          <w:rFonts w:eastAsia="Times New Roman"/>
          <w:color w:val="000000"/>
          <w:sz w:val="20"/>
          <w:szCs w:val="20"/>
        </w:rPr>
        <w:t>ll business risk for our international business as a whole is somewhat greater than that faced by our domestic businesses as a whole. A description of the types of risks to which we are subject in our international business is contained in “Item 1A. Risk F</w:t>
      </w:r>
      <w:r>
        <w:rPr>
          <w:rFonts w:eastAsia="Times New Roman"/>
          <w:color w:val="000000"/>
          <w:sz w:val="20"/>
          <w:szCs w:val="20"/>
        </w:rPr>
        <w:t>actors” of this Report. In our opinion, these risks are partially mitigated by the diversification of our international business and the protection provided by letters of credit and advance payments, progress payments and other similar payments.</w:t>
      </w:r>
    </w:p>
    <w:p w:rsidR="00000000" w:rsidRDefault="00AE54EE">
      <w:pPr>
        <w:divId w:val="586311965"/>
        <w:rPr>
          <w:rFonts w:eastAsia="Times New Roman"/>
        </w:rPr>
      </w:pPr>
      <w:r>
        <w:rPr>
          <w:rFonts w:eastAsia="Times New Roman"/>
          <w:b/>
          <w:bCs/>
          <w:color w:val="000000"/>
          <w:sz w:val="20"/>
          <w:szCs w:val="20"/>
        </w:rPr>
        <w:t>Competitiv</w:t>
      </w:r>
      <w:r>
        <w:rPr>
          <w:rFonts w:eastAsia="Times New Roman"/>
          <w:b/>
          <w:bCs/>
          <w:color w:val="000000"/>
          <w:sz w:val="20"/>
          <w:szCs w:val="20"/>
        </w:rPr>
        <w:t>e Conditions and Trends in Market Demand</w:t>
      </w:r>
    </w:p>
    <w:p w:rsidR="00000000" w:rsidRDefault="00AE54EE">
      <w:pPr>
        <w:ind w:firstLine="450"/>
        <w:divId w:val="758866224"/>
        <w:rPr>
          <w:rFonts w:eastAsia="Times New Roman"/>
        </w:rPr>
      </w:pPr>
      <w:r>
        <w:rPr>
          <w:rFonts w:eastAsia="Times New Roman"/>
          <w:color w:val="000000"/>
          <w:sz w:val="20"/>
          <w:szCs w:val="20"/>
        </w:rPr>
        <w:t>We operate in highly competitive markets that are sensitive to technological advances. Some of our competitors in each of our markets are larger than we are and can maintain higher levels of expenditures for researc</w:t>
      </w:r>
      <w:r>
        <w:rPr>
          <w:rFonts w:eastAsia="Times New Roman"/>
          <w:color w:val="000000"/>
          <w:sz w:val="20"/>
          <w:szCs w:val="20"/>
        </w:rPr>
        <w:t xml:space="preserve">h and development (“R&amp;D”). In each of our markets, we concentrate on the opportunities that we believe are compatible with our resources, overall technological capabilities and objectives. Principal competitive factors in these markets are product quality </w:t>
      </w:r>
      <w:r>
        <w:rPr>
          <w:rFonts w:eastAsia="Times New Roman"/>
          <w:color w:val="000000"/>
          <w:sz w:val="20"/>
          <w:szCs w:val="20"/>
        </w:rPr>
        <w:t>and reliability; technological capabilities, including reliable, resilient and innovative cyber capabilities; service; past performance; ability to develop and implement complex, integrated solutions; ability to meet delivery schedules; the effectiveness o</w:t>
      </w:r>
      <w:r>
        <w:rPr>
          <w:rFonts w:eastAsia="Times New Roman"/>
          <w:color w:val="000000"/>
          <w:sz w:val="20"/>
          <w:szCs w:val="20"/>
        </w:rPr>
        <w:t>f third-party sales channels in international markets; and cost-effectiveness. We frequently “partner” or are involved in subcontracting and teaming relationships with companies that are, from time to time, competitors on other programs. We compete domesti</w:t>
      </w:r>
      <w:r>
        <w:rPr>
          <w:rFonts w:eastAsia="Times New Roman"/>
          <w:color w:val="000000"/>
          <w:sz w:val="20"/>
          <w:szCs w:val="20"/>
        </w:rPr>
        <w:t xml:space="preserve">cally and internationally against large aerospace and defense companies; principally BAE Systems, Boeing, General Dynamics, Lockheed Martin, Northrop Grumman, Raytheon Technologies and Thales; and, increasingly, non-traditional defense contractors. </w:t>
      </w:r>
    </w:p>
    <w:p w:rsidR="00000000" w:rsidRDefault="00AE54EE">
      <w:pPr>
        <w:ind w:firstLine="450"/>
        <w:divId w:val="79524567"/>
        <w:rPr>
          <w:rFonts w:eastAsia="Times New Roman"/>
        </w:rPr>
      </w:pPr>
      <w:r>
        <w:rPr>
          <w:rFonts w:eastAsia="Times New Roman"/>
          <w:color w:val="000000"/>
          <w:sz w:val="20"/>
          <w:szCs w:val="20"/>
        </w:rPr>
        <w:t>For fu</w:t>
      </w:r>
      <w:r>
        <w:rPr>
          <w:rFonts w:eastAsia="Times New Roman"/>
          <w:color w:val="000000"/>
          <w:sz w:val="20"/>
          <w:szCs w:val="20"/>
        </w:rPr>
        <w:t xml:space="preserve">rther discussion of trends in market demand, see “Item 7. Management’s Discussion and Analysis of Financial Condition and Results of Operations” of this Report. </w:t>
      </w:r>
    </w:p>
    <w:p w:rsidR="00000000" w:rsidRDefault="00AE54EE">
      <w:pPr>
        <w:divId w:val="1365445774"/>
        <w:rPr>
          <w:rFonts w:eastAsia="Times New Roman"/>
        </w:rPr>
      </w:pPr>
      <w:r>
        <w:rPr>
          <w:rFonts w:eastAsia="Times New Roman"/>
          <w:b/>
          <w:bCs/>
          <w:color w:val="000000"/>
          <w:sz w:val="20"/>
          <w:szCs w:val="20"/>
        </w:rPr>
        <w:t>Principal Customers; Government Contracts</w:t>
      </w:r>
    </w:p>
    <w:p w:rsidR="00000000" w:rsidRDefault="00AE54EE">
      <w:pPr>
        <w:ind w:firstLine="450"/>
        <w:divId w:val="545607213"/>
        <w:rPr>
          <w:rFonts w:eastAsia="Times New Roman"/>
        </w:rPr>
      </w:pPr>
      <w:r>
        <w:rPr>
          <w:rFonts w:eastAsia="Times New Roman"/>
          <w:color w:val="000000"/>
          <w:sz w:val="20"/>
          <w:szCs w:val="20"/>
        </w:rPr>
        <w:t xml:space="preserve">The percentage of our revenue that was derived from </w:t>
      </w:r>
      <w:r>
        <w:rPr>
          <w:rFonts w:eastAsia="Times New Roman"/>
          <w:color w:val="000000"/>
          <w:sz w:val="20"/>
          <w:szCs w:val="20"/>
        </w:rPr>
        <w:t>sales to U.S. Government customers, including foreign military sales funded through the U.S. Government, whether directly or through prime contractors, was 75 percent, 78 percent, 73 percent and 77 percent in fiscal 2021, fiscal 2020, the two quarters ende</w:t>
      </w:r>
      <w:r>
        <w:rPr>
          <w:rFonts w:eastAsia="Times New Roman"/>
          <w:color w:val="000000"/>
          <w:sz w:val="20"/>
          <w:szCs w:val="20"/>
        </w:rPr>
        <w:t>d January 3, 2020 and fiscal 2019, respectively. No other customer accounted for more than 5 percent of our revenue in fiscal 2021. Additional information regarding customers for each of our segments is provided under “Item 1. Business — Description of Bus</w:t>
      </w:r>
      <w:r>
        <w:rPr>
          <w:rFonts w:eastAsia="Times New Roman"/>
          <w:color w:val="000000"/>
          <w:sz w:val="20"/>
          <w:szCs w:val="20"/>
        </w:rPr>
        <w:t xml:space="preserve">iness by Segment” of this Report. Our U.S. Government sales are predominantly derived from contracts with departments and agencies of, and prime contractors to, the U.S. Government. Most </w:t>
      </w:r>
    </w:p>
    <w:p w:rsidR="00000000" w:rsidRDefault="00AE54EE">
      <w:pPr>
        <w:ind w:firstLine="450"/>
        <w:jc w:val="center"/>
        <w:divId w:val="1120609464"/>
        <w:rPr>
          <w:rFonts w:eastAsia="Times New Roman"/>
        </w:rPr>
      </w:pPr>
      <w:r>
        <w:rPr>
          <w:rFonts w:eastAsia="Times New Roman"/>
          <w:color w:val="000000"/>
          <w:sz w:val="20"/>
          <w:szCs w:val="20"/>
        </w:rPr>
        <w:t>6</w:t>
      </w:r>
    </w:p>
    <w:p w:rsidR="00000000" w:rsidRDefault="00AE54EE">
      <w:pPr>
        <w:rPr>
          <w:rFonts w:eastAsia="Times New Roman"/>
        </w:rPr>
      </w:pPr>
      <w:r>
        <w:rPr>
          <w:rFonts w:eastAsia="Times New Roman"/>
        </w:rPr>
        <w:pict>
          <v:rect id="_x0000_i1033" style="width:0;height:1.5pt" o:hralign="center" o:hrstd="t" o:hr="t" fillcolor="#a0a0a0" stroked="f"/>
        </w:pict>
      </w:r>
    </w:p>
    <w:p w:rsidR="00000000" w:rsidRDefault="00AE54EE">
      <w:pPr>
        <w:ind w:firstLine="450"/>
        <w:divId w:val="449475110"/>
        <w:rPr>
          <w:rFonts w:eastAsia="Times New Roman"/>
        </w:rPr>
      </w:pPr>
    </w:p>
    <w:p w:rsidR="00000000" w:rsidRDefault="00AE54EE">
      <w:pPr>
        <w:divId w:val="1731228854"/>
        <w:rPr>
          <w:rFonts w:eastAsia="Times New Roman"/>
        </w:rPr>
      </w:pPr>
      <w:r>
        <w:rPr>
          <w:rFonts w:eastAsia="Times New Roman"/>
          <w:color w:val="000000"/>
          <w:sz w:val="20"/>
          <w:szCs w:val="20"/>
        </w:rPr>
        <w:t xml:space="preserve">of the sales in our Space &amp; </w:t>
      </w:r>
      <w:r>
        <w:rPr>
          <w:rFonts w:eastAsia="Times New Roman"/>
          <w:color w:val="000000"/>
          <w:sz w:val="20"/>
          <w:szCs w:val="20"/>
        </w:rPr>
        <w:t>Airborne Systems and Integrated Mission Systems segments are made directly or indirectly to the U.S. Government under contracts or subcontracts containing standard government contract clauses providing for redetermination of profits, if applicable, and for</w:t>
      </w:r>
      <w:r>
        <w:rPr>
          <w:rFonts w:eastAsia="Times New Roman"/>
          <w:color w:val="000000"/>
          <w:sz w:val="20"/>
          <w:szCs w:val="20"/>
        </w:rPr>
        <w:t xml:space="preserve"> termination for the convenience of the U.S. Government or for default based on performance.</w:t>
      </w:r>
    </w:p>
    <w:p w:rsidR="00000000" w:rsidRDefault="00AE54EE">
      <w:pPr>
        <w:ind w:firstLine="450"/>
        <w:divId w:val="160463297"/>
        <w:rPr>
          <w:rFonts w:eastAsia="Times New Roman"/>
        </w:rPr>
      </w:pPr>
      <w:r>
        <w:rPr>
          <w:rFonts w:eastAsia="Times New Roman"/>
          <w:color w:val="000000"/>
          <w:sz w:val="20"/>
          <w:szCs w:val="20"/>
        </w:rPr>
        <w:t>Our U.S. Government contracts and subcontracts include both cost-reimbursable and fixed-price contracts. Government-wide Acquisition Contracts (“GWACs”) and multi-</w:t>
      </w:r>
      <w:r>
        <w:rPr>
          <w:rFonts w:eastAsia="Times New Roman"/>
          <w:color w:val="000000"/>
          <w:sz w:val="20"/>
          <w:szCs w:val="20"/>
        </w:rPr>
        <w:t>vendor indefinite delivery-indefinite quantity (“IDIQ”) contracts, which can include task orders for each contract type, require us to compete both for the initial contract and then for individual task or delivery orders under such contracts.</w:t>
      </w:r>
    </w:p>
    <w:p w:rsidR="00000000" w:rsidRDefault="00AE54EE">
      <w:pPr>
        <w:ind w:firstLine="450"/>
        <w:divId w:val="257761132"/>
        <w:rPr>
          <w:rFonts w:eastAsia="Times New Roman"/>
        </w:rPr>
      </w:pPr>
      <w:r>
        <w:rPr>
          <w:rFonts w:eastAsia="Times New Roman"/>
          <w:color w:val="000000"/>
          <w:sz w:val="20"/>
          <w:szCs w:val="20"/>
        </w:rPr>
        <w:t>Our U.S. Gove</w:t>
      </w:r>
      <w:r>
        <w:rPr>
          <w:rFonts w:eastAsia="Times New Roman"/>
          <w:color w:val="000000"/>
          <w:sz w:val="20"/>
          <w:szCs w:val="20"/>
        </w:rPr>
        <w:t>rnment cost-reimbursable contracts provide for the reimbursement of allowable costs plus payment of a fee and fall into three basic types: (i) cost-plus fixed-fee contracts, which provide for payment of a fixed fee irrespective of the final cost of perform</w:t>
      </w:r>
      <w:r>
        <w:rPr>
          <w:rFonts w:eastAsia="Times New Roman"/>
          <w:color w:val="000000"/>
          <w:sz w:val="20"/>
          <w:szCs w:val="20"/>
        </w:rPr>
        <w:t>ance; (ii) cost-plus incentive-fee contracts, which provide for payment of a fee that may increase or decrease, within specified limits, based on actual results compared with contractual targets relating to factors such as cost, performance and delivery sc</w:t>
      </w:r>
      <w:r>
        <w:rPr>
          <w:rFonts w:eastAsia="Times New Roman"/>
          <w:color w:val="000000"/>
          <w:sz w:val="20"/>
          <w:szCs w:val="20"/>
        </w:rPr>
        <w:t>hedule; and (iii) cost-plus award-fee contracts, which provide for payment of an award fee determined at the customer’s discretion based on our performance against pre-established performance criteria. Under our U.S. Government cost-reimbursable contracts,</w:t>
      </w:r>
      <w:r>
        <w:rPr>
          <w:rFonts w:eastAsia="Times New Roman"/>
          <w:color w:val="000000"/>
          <w:sz w:val="20"/>
          <w:szCs w:val="20"/>
        </w:rPr>
        <w:t xml:space="preserve"> we are reimbursed periodically for allowable costs and are paid a portion of the fee based on contract progress. Some overhead costs have been made partially or wholly unallowable for reimbursement by statute or regulation. Examples include certain merger</w:t>
      </w:r>
      <w:r>
        <w:rPr>
          <w:rFonts w:eastAsia="Times New Roman"/>
          <w:color w:val="000000"/>
          <w:sz w:val="20"/>
          <w:szCs w:val="20"/>
        </w:rPr>
        <w:t xml:space="preserve"> and acquisition costs, lobbying costs, charitable contributions, interest expense and certain litigation defense costs.</w:t>
      </w:r>
    </w:p>
    <w:p w:rsidR="00000000" w:rsidRDefault="00AE54EE">
      <w:pPr>
        <w:ind w:firstLine="450"/>
        <w:divId w:val="2023051638"/>
        <w:rPr>
          <w:rFonts w:eastAsia="Times New Roman"/>
        </w:rPr>
      </w:pPr>
      <w:r>
        <w:rPr>
          <w:rFonts w:eastAsia="Times New Roman"/>
          <w:color w:val="000000"/>
          <w:sz w:val="20"/>
          <w:szCs w:val="20"/>
        </w:rPr>
        <w:t>Our U.S. Government fixed-price contracts are either firm fixed-price contracts or fixed-price incentive contracts. Under our U.S. Gove</w:t>
      </w:r>
      <w:r>
        <w:rPr>
          <w:rFonts w:eastAsia="Times New Roman"/>
          <w:color w:val="000000"/>
          <w:sz w:val="20"/>
          <w:szCs w:val="20"/>
        </w:rPr>
        <w:t xml:space="preserve">rnment firm fixed-price contracts, we agree to perform a specific scope of work or sell a specific product for a fixed price and, as a result, benefit from cost savings and carry the burden of cost overruns. Under our U.S. Government fixed-price incentive </w:t>
      </w:r>
      <w:r>
        <w:rPr>
          <w:rFonts w:eastAsia="Times New Roman"/>
          <w:color w:val="000000"/>
          <w:sz w:val="20"/>
          <w:szCs w:val="20"/>
        </w:rPr>
        <w:t>contracts, we share with the U.S. Government both savings accrued for performance at less than target cost as well as costs incurred in excess of target cost up to a negotiated ceiling price, which is higher than the target cost, but carry the entire burde</w:t>
      </w:r>
      <w:r>
        <w:rPr>
          <w:rFonts w:eastAsia="Times New Roman"/>
          <w:color w:val="000000"/>
          <w:sz w:val="20"/>
          <w:szCs w:val="20"/>
        </w:rPr>
        <w:t>n of costs exceeding the negotiated ceiling price. Accordingly, under such incentive contracts, profit may also be adjusted up or down depending on whether specified performance objectives are met. Under our U.S. Government firm fixed-price and fixed-price</w:t>
      </w:r>
      <w:r>
        <w:rPr>
          <w:rFonts w:eastAsia="Times New Roman"/>
          <w:color w:val="000000"/>
          <w:sz w:val="20"/>
          <w:szCs w:val="20"/>
        </w:rPr>
        <w:t xml:space="preserve"> incentive contracts, we generally receive from the U.S. Government either milestone payments totaling 100 percent of the contract price or monthly progress payments in amounts equaling 80 percent of costs incurred under the contract (however, in response </w:t>
      </w:r>
      <w:r>
        <w:rPr>
          <w:rFonts w:eastAsia="Times New Roman"/>
          <w:color w:val="000000"/>
          <w:sz w:val="20"/>
          <w:szCs w:val="20"/>
        </w:rPr>
        <w:t>to the COVID-19 pandemic (“COVID”), the U.S. Government has taken steps to increase the current rate for certain progress payments to 90 percent of costs incurred under relevant contracts to enhance cash flow and liquidity for the defense industrial base).</w:t>
      </w:r>
      <w:r>
        <w:rPr>
          <w:rFonts w:eastAsia="Times New Roman"/>
          <w:color w:val="000000"/>
          <w:sz w:val="20"/>
          <w:szCs w:val="20"/>
        </w:rPr>
        <w:t xml:space="preserve"> The remaining amounts, including profits or incentive fees, are billed upon delivery and final acceptance of end items and deliverables under the contract. Our production contracts are mainly fixed-price contracts, and development contracts are generally </w:t>
      </w:r>
      <w:r>
        <w:rPr>
          <w:rFonts w:eastAsia="Times New Roman"/>
          <w:color w:val="000000"/>
          <w:sz w:val="20"/>
          <w:szCs w:val="20"/>
        </w:rPr>
        <w:t xml:space="preserve">cost-reimbursable contracts. </w:t>
      </w:r>
    </w:p>
    <w:p w:rsidR="00000000" w:rsidRDefault="00AE54EE">
      <w:pPr>
        <w:ind w:firstLine="450"/>
        <w:divId w:val="1031418959"/>
        <w:rPr>
          <w:rFonts w:eastAsia="Times New Roman"/>
        </w:rPr>
      </w:pPr>
      <w:r>
        <w:rPr>
          <w:rFonts w:eastAsia="Times New Roman"/>
          <w:color w:val="000000"/>
          <w:sz w:val="20"/>
          <w:szCs w:val="20"/>
        </w:rPr>
        <w:t xml:space="preserve">As stated above, U.S. Government contracts are terminable for the convenience of the U.S. Government, as well as for default based on performance. Companies supplying goods and services to the U.S. Government are dependent on </w:t>
      </w:r>
      <w:r>
        <w:rPr>
          <w:rFonts w:eastAsia="Times New Roman"/>
          <w:color w:val="000000"/>
          <w:sz w:val="20"/>
          <w:szCs w:val="20"/>
        </w:rPr>
        <w:t>Congressional appropriations and administrative allotment of funds and may be affected by changes in U.S. Government policies resulting from various military, political, economic and international developments. Long-term U.S. Government contracts and relat</w:t>
      </w:r>
      <w:r>
        <w:rPr>
          <w:rFonts w:eastAsia="Times New Roman"/>
          <w:color w:val="000000"/>
          <w:sz w:val="20"/>
          <w:szCs w:val="20"/>
        </w:rPr>
        <w:t xml:space="preserve">ed orders are subject to cancellation if appropriations for subsequent performance periods become unavailable. Under contracts terminable for the convenience of the U.S. Government, a contractor is entitled to receive payments for its allowable costs and, </w:t>
      </w:r>
      <w:r>
        <w:rPr>
          <w:rFonts w:eastAsia="Times New Roman"/>
          <w:color w:val="000000"/>
          <w:sz w:val="20"/>
          <w:szCs w:val="20"/>
        </w:rPr>
        <w:t>in general, the proportionate share of fees or earnings for the work done. Contracts that are terminable for default generally provide that the U.S. Government pays only for the work it has accepted and may require the contractor to pay for the incremental</w:t>
      </w:r>
      <w:r>
        <w:rPr>
          <w:rFonts w:eastAsia="Times New Roman"/>
          <w:color w:val="000000"/>
          <w:sz w:val="20"/>
          <w:szCs w:val="20"/>
        </w:rPr>
        <w:t xml:space="preserve"> cost of re-procurement and may hold the contractor liable for damages. In many cases, there is also uncertainty relating to the complexity of designs, necessity for design improvements and difficulty in forecasting costs and schedules when bidding on deve</w:t>
      </w:r>
      <w:r>
        <w:rPr>
          <w:rFonts w:eastAsia="Times New Roman"/>
          <w:color w:val="000000"/>
          <w:sz w:val="20"/>
          <w:szCs w:val="20"/>
        </w:rPr>
        <w:t xml:space="preserve">lopmental and highly sophisticated technical work. Under many U.S. Government contracts, we are required to maintain facility and personnel security clearances complying with DoD and other Federal agency requirements. </w:t>
      </w:r>
    </w:p>
    <w:p w:rsidR="00000000" w:rsidRDefault="00AE54EE">
      <w:pPr>
        <w:ind w:firstLine="450"/>
        <w:divId w:val="1194000546"/>
        <w:rPr>
          <w:rFonts w:eastAsia="Times New Roman"/>
        </w:rPr>
      </w:pPr>
      <w:r>
        <w:rPr>
          <w:rFonts w:eastAsia="Times New Roman"/>
          <w:color w:val="000000"/>
          <w:sz w:val="20"/>
          <w:szCs w:val="20"/>
        </w:rPr>
        <w:t>From time to time, we may begin perfo</w:t>
      </w:r>
      <w:r>
        <w:rPr>
          <w:rFonts w:eastAsia="Times New Roman"/>
          <w:color w:val="000000"/>
          <w:sz w:val="20"/>
          <w:szCs w:val="20"/>
        </w:rPr>
        <w:t>rmance of a U.S. Government contract under an undefinitized contract action (“UCA”) with a not-to-exceed price before the terms, specifications or price are finally agreed to between the parties. In these arrangements, the U.S. Government has the ability t</w:t>
      </w:r>
      <w:r>
        <w:rPr>
          <w:rFonts w:eastAsia="Times New Roman"/>
          <w:color w:val="000000"/>
          <w:sz w:val="20"/>
          <w:szCs w:val="20"/>
        </w:rPr>
        <w:t xml:space="preserve">o unilaterally definitize the contract if a mutual agreement regarding terms, specifications and price cannot be reached. </w:t>
      </w:r>
    </w:p>
    <w:p w:rsidR="00000000" w:rsidRDefault="00AE54EE">
      <w:pPr>
        <w:ind w:firstLine="450"/>
        <w:divId w:val="1263146516"/>
        <w:rPr>
          <w:rFonts w:eastAsia="Times New Roman"/>
        </w:rPr>
      </w:pPr>
      <w:r>
        <w:rPr>
          <w:rFonts w:eastAsia="Times New Roman"/>
          <w:color w:val="000000"/>
          <w:sz w:val="20"/>
          <w:szCs w:val="20"/>
        </w:rPr>
        <w:t>The U.S. Government has increased its focus on procurement process improvement initiatives and has implemented certain changes in its</w:t>
      </w:r>
      <w:r>
        <w:rPr>
          <w:rFonts w:eastAsia="Times New Roman"/>
          <w:color w:val="000000"/>
          <w:sz w:val="20"/>
          <w:szCs w:val="20"/>
        </w:rPr>
        <w:t xml:space="preserve"> procurement practices. These developments may change the way U.S. Government contracts are solicited, negotiated and managed, which may affect whether and how we pursue opportunities to provide our products and services to the U.S. Government, including t</w:t>
      </w:r>
      <w:r>
        <w:rPr>
          <w:rFonts w:eastAsia="Times New Roman"/>
          <w:color w:val="000000"/>
          <w:sz w:val="20"/>
          <w:szCs w:val="20"/>
        </w:rPr>
        <w:t>he terms and conditions under which we do so, which may have an adverse impact to our business, financial condition, results of operations, cash flows and equity. For example, contracts awarded under the DoD’s Other Transaction Authority for research and p</w:t>
      </w:r>
      <w:r>
        <w:rPr>
          <w:rFonts w:eastAsia="Times New Roman"/>
          <w:color w:val="000000"/>
          <w:sz w:val="20"/>
          <w:szCs w:val="20"/>
        </w:rPr>
        <w:t>rototypes generally require cost-sharing and may not follow, or may follow only in part, standard U.S. Government contracting practices and terms, such as the Federal Acquisition Regulation (“FAR”) and U.S. Government Cost Accounting Standards (“CAS”).</w:t>
      </w:r>
    </w:p>
    <w:p w:rsidR="00000000" w:rsidRDefault="00AE54EE">
      <w:pPr>
        <w:ind w:firstLine="450"/>
        <w:jc w:val="center"/>
        <w:divId w:val="394133827"/>
        <w:rPr>
          <w:rFonts w:eastAsia="Times New Roman"/>
        </w:rPr>
      </w:pPr>
      <w:r>
        <w:rPr>
          <w:rFonts w:eastAsia="Times New Roman"/>
          <w:color w:val="000000"/>
          <w:sz w:val="20"/>
          <w:szCs w:val="20"/>
        </w:rPr>
        <w:t>7</w:t>
      </w:r>
    </w:p>
    <w:p w:rsidR="00000000" w:rsidRDefault="00AE54EE">
      <w:pPr>
        <w:rPr>
          <w:rFonts w:eastAsia="Times New Roman"/>
        </w:rPr>
      </w:pPr>
      <w:r>
        <w:rPr>
          <w:rFonts w:eastAsia="Times New Roman"/>
        </w:rPr>
        <w:pict>
          <v:rect id="_x0000_i1034" style="width:0;height:1.5pt" o:hralign="center" o:hrstd="t" o:hr="t" fillcolor="#a0a0a0" stroked="f"/>
        </w:pict>
      </w:r>
    </w:p>
    <w:p w:rsidR="00000000" w:rsidRDefault="00AE54EE">
      <w:pPr>
        <w:ind w:firstLine="450"/>
        <w:divId w:val="792208152"/>
        <w:rPr>
          <w:rFonts w:eastAsia="Times New Roman"/>
        </w:rPr>
      </w:pPr>
    </w:p>
    <w:p w:rsidR="00000000" w:rsidRDefault="00AE54EE">
      <w:pPr>
        <w:ind w:firstLine="450"/>
        <w:divId w:val="1606308927"/>
        <w:rPr>
          <w:rFonts w:eastAsia="Times New Roman"/>
        </w:rPr>
      </w:pPr>
      <w:r>
        <w:rPr>
          <w:rFonts w:eastAsia="Times New Roman"/>
          <w:color w:val="000000"/>
          <w:sz w:val="20"/>
          <w:szCs w:val="20"/>
        </w:rPr>
        <w:t>For further discussion of risks relating to U.S. Government contracts, see “Item 1A. Risk Factors” and “Item 3. Legal Proceedings” of this Report.</w:t>
      </w:r>
      <w:r>
        <w:rPr>
          <w:rFonts w:eastAsia="Times New Roman"/>
          <w:b/>
          <w:bCs/>
          <w:i/>
          <w:iCs/>
          <w:color w:val="000000"/>
          <w:sz w:val="20"/>
          <w:szCs w:val="20"/>
        </w:rPr>
        <w:t xml:space="preserve"> </w:t>
      </w:r>
    </w:p>
    <w:p w:rsidR="00000000" w:rsidRDefault="00AE54EE">
      <w:pPr>
        <w:divId w:val="421493558"/>
        <w:rPr>
          <w:rFonts w:eastAsia="Times New Roman"/>
        </w:rPr>
      </w:pPr>
      <w:r>
        <w:rPr>
          <w:rFonts w:eastAsia="Times New Roman"/>
          <w:b/>
          <w:bCs/>
          <w:color w:val="000000"/>
          <w:sz w:val="20"/>
          <w:szCs w:val="20"/>
        </w:rPr>
        <w:t>Backlog</w:t>
      </w:r>
    </w:p>
    <w:p w:rsidR="00000000" w:rsidRDefault="00AE54EE">
      <w:pPr>
        <w:ind w:firstLine="450"/>
        <w:divId w:val="1698238259"/>
        <w:rPr>
          <w:rFonts w:eastAsia="Times New Roman"/>
        </w:rPr>
      </w:pPr>
      <w:r>
        <w:rPr>
          <w:rFonts w:eastAsia="Times New Roman"/>
          <w:color w:val="000000"/>
          <w:sz w:val="20"/>
          <w:szCs w:val="20"/>
        </w:rPr>
        <w:t>Company-wide total backlog was $21.1 billion at December 31, 2021, of which $15.2 billion was funded backlog, compared with $21.7 billion at January 1, 2021, of which $16.3 billion was funded backlog. The $21.7 billion of company-wide total backlog at Janu</w:t>
      </w:r>
      <w:r>
        <w:rPr>
          <w:rFonts w:eastAsia="Times New Roman"/>
          <w:color w:val="000000"/>
          <w:sz w:val="20"/>
          <w:szCs w:val="20"/>
        </w:rPr>
        <w:t>ary 1, 2021 includes $1.5 billion of backlog associated with businesses that were divested during fiscal 2021. We expect to recognize approximately 50 percent of the revenue associated with Company-wide total backlog by the end of 2022 and approximately 85</w:t>
      </w:r>
      <w:r>
        <w:rPr>
          <w:rFonts w:eastAsia="Times New Roman"/>
          <w:color w:val="000000"/>
          <w:sz w:val="20"/>
          <w:szCs w:val="20"/>
        </w:rPr>
        <w:t xml:space="preserve"> percent of the revenue associated with Company-wide total backlog by the end of 2024, with the remainder to be recognized thereafter. However, we can give no assurance of such fulfillment or that our backlog will become revenue in any particular period, i</w:t>
      </w:r>
      <w:r>
        <w:rPr>
          <w:rFonts w:eastAsia="Times New Roman"/>
          <w:color w:val="000000"/>
          <w:sz w:val="20"/>
          <w:szCs w:val="20"/>
        </w:rPr>
        <w:t>f at all. Backlog is subject to delivery delays and program cancellations, which are beyond our control.</w:t>
      </w:r>
    </w:p>
    <w:p w:rsidR="00000000" w:rsidRDefault="00AE54EE">
      <w:pPr>
        <w:ind w:firstLine="450"/>
        <w:divId w:val="313218103"/>
        <w:rPr>
          <w:rFonts w:eastAsia="Times New Roman"/>
        </w:rPr>
      </w:pPr>
      <w:r>
        <w:rPr>
          <w:rFonts w:eastAsia="Times New Roman"/>
          <w:color w:val="000000"/>
          <w:sz w:val="20"/>
          <w:szCs w:val="20"/>
        </w:rPr>
        <w:t>We define funded backlog as unfilled firm orders for products and services for which funding has been authorized and, in the case of U.S. Government cu</w:t>
      </w:r>
      <w:r>
        <w:rPr>
          <w:rFonts w:eastAsia="Times New Roman"/>
          <w:color w:val="000000"/>
          <w:sz w:val="20"/>
          <w:szCs w:val="20"/>
        </w:rPr>
        <w:t>stomers, appropriated.</w:t>
      </w:r>
      <w:r>
        <w:rPr>
          <w:rFonts w:eastAsia="Times New Roman"/>
          <w:b/>
          <w:bCs/>
          <w:color w:val="000000"/>
          <w:sz w:val="20"/>
          <w:szCs w:val="20"/>
        </w:rPr>
        <w:t xml:space="preserve"> </w:t>
      </w:r>
      <w:r>
        <w:rPr>
          <w:rFonts w:eastAsia="Times New Roman"/>
          <w:color w:val="000000"/>
          <w:sz w:val="20"/>
          <w:szCs w:val="20"/>
        </w:rPr>
        <w:t>The level of order activity related to U.S. Government programs can be affected by the timing of U.S. Government funding authorizations and project evaluation cycles. Year-over-year comparisons could, at times, be impacted by these f</w:t>
      </w:r>
      <w:r>
        <w:rPr>
          <w:rFonts w:eastAsia="Times New Roman"/>
          <w:color w:val="000000"/>
          <w:sz w:val="20"/>
          <w:szCs w:val="20"/>
        </w:rPr>
        <w:t xml:space="preserve">actors, among others. </w:t>
      </w:r>
    </w:p>
    <w:p w:rsidR="00000000" w:rsidRDefault="00AE54EE">
      <w:pPr>
        <w:ind w:firstLine="450"/>
        <w:divId w:val="1861158967"/>
        <w:rPr>
          <w:rFonts w:eastAsia="Times New Roman"/>
        </w:rPr>
      </w:pPr>
      <w:r>
        <w:rPr>
          <w:rFonts w:eastAsia="Times New Roman"/>
          <w:color w:val="000000"/>
          <w:sz w:val="20"/>
          <w:szCs w:val="20"/>
        </w:rPr>
        <w:t>We define unfunded backlog as unfilled firm orders for products and services for which funding has not been authorized and, in the case of U.S. Government customers, appropriated. The determination of the unfunded portion of total ba</w:t>
      </w:r>
      <w:r>
        <w:rPr>
          <w:rFonts w:eastAsia="Times New Roman"/>
          <w:color w:val="000000"/>
          <w:sz w:val="20"/>
          <w:szCs w:val="20"/>
        </w:rPr>
        <w:t>cklog involves substantial estimating, particularly with respect to customer requirements contracts and development and production contracts of a cost-reimbursable or incentive nature. We do not include the value of unexercised contract options or potentia</w:t>
      </w:r>
      <w:r>
        <w:rPr>
          <w:rFonts w:eastAsia="Times New Roman"/>
          <w:color w:val="000000"/>
          <w:sz w:val="20"/>
          <w:szCs w:val="20"/>
        </w:rPr>
        <w:t>l orders under IDIQ contracts in our unfunded backlog.</w:t>
      </w:r>
    </w:p>
    <w:p w:rsidR="00000000" w:rsidRDefault="00AE54EE">
      <w:pPr>
        <w:ind w:firstLine="450"/>
        <w:divId w:val="625356444"/>
        <w:rPr>
          <w:rFonts w:eastAsia="Times New Roman"/>
        </w:rPr>
      </w:pPr>
      <w:r>
        <w:rPr>
          <w:rFonts w:eastAsia="Times New Roman"/>
          <w:color w:val="000000"/>
          <w:sz w:val="20"/>
          <w:szCs w:val="20"/>
        </w:rPr>
        <w:t>For backlog information for each of our business segments, see “Item 7. Management’s Discussion and Analysis of Financial Condition and Results of Operations” of this Report.</w:t>
      </w:r>
    </w:p>
    <w:p w:rsidR="00000000" w:rsidRDefault="00AE54EE">
      <w:pPr>
        <w:ind w:firstLine="450"/>
        <w:divId w:val="908268227"/>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23: Backlog </w:t>
      </w:r>
      <w:r>
        <w:rPr>
          <w:rFonts w:eastAsia="Times New Roman"/>
          <w:color w:val="000000"/>
          <w:sz w:val="20"/>
          <w:szCs w:val="20"/>
        </w:rPr>
        <w:t>in th</w:t>
      </w:r>
      <w:r>
        <w:rPr>
          <w:rFonts w:eastAsia="Times New Roman"/>
          <w:color w:val="000000"/>
          <w:sz w:val="20"/>
          <w:szCs w:val="20"/>
        </w:rPr>
        <w:t xml:space="preserve">e Notes for additional information regarding Company-wide total backlog. </w:t>
      </w:r>
    </w:p>
    <w:p w:rsidR="00000000" w:rsidRDefault="00AE54EE">
      <w:pPr>
        <w:divId w:val="1590381864"/>
        <w:rPr>
          <w:rFonts w:eastAsia="Times New Roman"/>
        </w:rPr>
      </w:pPr>
      <w:r>
        <w:rPr>
          <w:rFonts w:eastAsia="Times New Roman"/>
          <w:b/>
          <w:bCs/>
          <w:color w:val="000000"/>
          <w:sz w:val="20"/>
          <w:szCs w:val="20"/>
        </w:rPr>
        <w:t>Research and Development</w:t>
      </w:r>
    </w:p>
    <w:p w:rsidR="00000000" w:rsidRDefault="00AE54EE">
      <w:pPr>
        <w:ind w:firstLine="450"/>
        <w:divId w:val="441801953"/>
        <w:rPr>
          <w:rFonts w:eastAsia="Times New Roman"/>
        </w:rPr>
      </w:pPr>
      <w:r>
        <w:rPr>
          <w:rFonts w:eastAsia="Times New Roman"/>
          <w:color w:val="000000"/>
          <w:sz w:val="20"/>
          <w:szCs w:val="20"/>
        </w:rPr>
        <w:t>Company-sponsored R&amp;D costs, which include R&amp;D for commercial products and services and independent R&amp;D related to government products and services, were $69</w:t>
      </w:r>
      <w:r>
        <w:rPr>
          <w:rFonts w:eastAsia="Times New Roman"/>
          <w:color w:val="000000"/>
          <w:sz w:val="20"/>
          <w:szCs w:val="20"/>
        </w:rPr>
        <w:t>2 million, $684 million, $329 million and $331 million in fiscal 2021, fiscal 2020, the two quarters ended January 3, 2020 and fiscal 2019, respectively. A portion of our independent R&amp;D costs are allocated among contracts and programs in process under U.S</w:t>
      </w:r>
      <w:r>
        <w:rPr>
          <w:rFonts w:eastAsia="Times New Roman"/>
          <w:color w:val="000000"/>
          <w:sz w:val="20"/>
          <w:szCs w:val="20"/>
        </w:rPr>
        <w:t>. Government contractual arrangements. Company-sponsored R&amp;D costs not otherwise allocable are charged to expense when incurred. Company-sponsored research is directed to the development of new products and services and to building technological capability</w:t>
      </w:r>
      <w:r>
        <w:rPr>
          <w:rFonts w:eastAsia="Times New Roman"/>
          <w:color w:val="000000"/>
          <w:sz w:val="20"/>
          <w:szCs w:val="20"/>
        </w:rPr>
        <w:t xml:space="preserve"> in various markets. </w:t>
      </w:r>
    </w:p>
    <w:p w:rsidR="00000000" w:rsidRDefault="00AE54EE">
      <w:pPr>
        <w:ind w:firstLine="450"/>
        <w:divId w:val="979771784"/>
        <w:rPr>
          <w:rFonts w:eastAsia="Times New Roman"/>
        </w:rPr>
      </w:pPr>
      <w:r>
        <w:rPr>
          <w:rFonts w:eastAsia="Times New Roman"/>
          <w:color w:val="000000"/>
          <w:sz w:val="20"/>
          <w:szCs w:val="20"/>
        </w:rPr>
        <w:t>Customer-sponsored R&amp;D costs are incurred pursuant to contractual arrangements, principally U.S. Government-sponsored contracts requiring us to provide a product or service meeting certain defined performance or other specifications (</w:t>
      </w:r>
      <w:r>
        <w:rPr>
          <w:rFonts w:eastAsia="Times New Roman"/>
          <w:color w:val="000000"/>
          <w:sz w:val="20"/>
          <w:szCs w:val="20"/>
        </w:rPr>
        <w:t>such as designs). This research helps strengthen and broaden our technical capabilities. Customer-sponsored research costs are accounted for principally by the cost-to-cost percentage-of-completion method and included in our revenue and cost of product sal</w:t>
      </w:r>
      <w:r>
        <w:rPr>
          <w:rFonts w:eastAsia="Times New Roman"/>
          <w:color w:val="000000"/>
          <w:sz w:val="20"/>
          <w:szCs w:val="20"/>
        </w:rPr>
        <w:t xml:space="preserve">es and services. </w:t>
      </w:r>
    </w:p>
    <w:p w:rsidR="00000000" w:rsidRDefault="00AE54EE">
      <w:pPr>
        <w:divId w:val="1991210164"/>
        <w:rPr>
          <w:rFonts w:eastAsia="Times New Roman"/>
        </w:rPr>
      </w:pPr>
      <w:r>
        <w:rPr>
          <w:rFonts w:eastAsia="Times New Roman"/>
          <w:b/>
          <w:bCs/>
          <w:color w:val="000000"/>
          <w:sz w:val="20"/>
          <w:szCs w:val="20"/>
        </w:rPr>
        <w:t>Patents and Other Intellectual Property</w:t>
      </w:r>
    </w:p>
    <w:p w:rsidR="00000000" w:rsidRDefault="00AE54EE">
      <w:pPr>
        <w:ind w:firstLine="450"/>
        <w:divId w:val="1009065480"/>
        <w:rPr>
          <w:rFonts w:eastAsia="Times New Roman"/>
        </w:rPr>
      </w:pPr>
      <w:r>
        <w:rPr>
          <w:rFonts w:eastAsia="Times New Roman"/>
          <w:color w:val="000000"/>
          <w:sz w:val="20"/>
          <w:szCs w:val="20"/>
        </w:rPr>
        <w:t>We consider our patents and other intellectual property, in the aggregate, to constitute an important asset. We own a large portfolio of patents, trade secrets, know-how, confidential information, t</w:t>
      </w:r>
      <w:r>
        <w:rPr>
          <w:rFonts w:eastAsia="Times New Roman"/>
          <w:color w:val="000000"/>
          <w:sz w:val="20"/>
          <w:szCs w:val="20"/>
        </w:rPr>
        <w:t>rademarks, copyrights and other intellectual property, including reliable, resilient and innovative cyber capabilities, and we routinely apply for new patents, trademarks and copyrights. We also license intellectual property to and from third parties. As o</w:t>
      </w:r>
      <w:r>
        <w:rPr>
          <w:rFonts w:eastAsia="Times New Roman"/>
          <w:color w:val="000000"/>
          <w:sz w:val="20"/>
          <w:szCs w:val="20"/>
        </w:rPr>
        <w:t>f December 31, 2021, we held approximately 2,300 U.S. patents and 2,000 foreign patents, and had approximately 300 U.S. patent applications pending and 300 foreign patent applications pending. Unpatented research, development and engineering skills also ma</w:t>
      </w:r>
      <w:r>
        <w:rPr>
          <w:rFonts w:eastAsia="Times New Roman"/>
          <w:color w:val="000000"/>
          <w:sz w:val="20"/>
          <w:szCs w:val="20"/>
        </w:rPr>
        <w:t>ke an important contribution to our business. Although our intellectual property rights in the aggregate are important to our business and the operations of our business segments, we do not consider our business or any business segment to be materially dep</w:t>
      </w:r>
      <w:r>
        <w:rPr>
          <w:rFonts w:eastAsia="Times New Roman"/>
          <w:color w:val="000000"/>
          <w:sz w:val="20"/>
          <w:szCs w:val="20"/>
        </w:rPr>
        <w:t>endent on any single patent, license or other intellectual property right, or any group of related patents, licenses or other intellectual property rights. We are engaged in a proactive patent licensing program and have entered into a number of licenses an</w:t>
      </w:r>
      <w:r>
        <w:rPr>
          <w:rFonts w:eastAsia="Times New Roman"/>
          <w:color w:val="000000"/>
          <w:sz w:val="20"/>
          <w:szCs w:val="20"/>
        </w:rPr>
        <w:t>d cross-license agreements, some of which generate royalty income. Although existing license agreements have generated income in past years and may do so in the future, there can be no assurances we will enter into additional income-producing license agree</w:t>
      </w:r>
      <w:r>
        <w:rPr>
          <w:rFonts w:eastAsia="Times New Roman"/>
          <w:color w:val="000000"/>
          <w:sz w:val="20"/>
          <w:szCs w:val="20"/>
        </w:rPr>
        <w:t>ments. From time to time, we engage in litigation to protect our patents and other intellectual property. Any of our patents, trade secrets, trademarks, copyrights and other proprietary rights could be challenged, invalidated or circumvented, or may not pr</w:t>
      </w:r>
      <w:r>
        <w:rPr>
          <w:rFonts w:eastAsia="Times New Roman"/>
          <w:color w:val="000000"/>
          <w:sz w:val="20"/>
          <w:szCs w:val="20"/>
        </w:rPr>
        <w:t>ovide competitive advantages. For further discussion of risks relating to intellectual property, see “Item 1A. Risk Factors” of this Report. With regard to certain patents, the U.S. Government has an irrevocable, non-exclusive, royalty-free license, pursua</w:t>
      </w:r>
      <w:r>
        <w:rPr>
          <w:rFonts w:eastAsia="Times New Roman"/>
          <w:color w:val="000000"/>
          <w:sz w:val="20"/>
          <w:szCs w:val="20"/>
        </w:rPr>
        <w:t>nt to which the U.S. Government may use or authorize others to use the inventions covered by such patents. Pursuant to similar arrangements, the U.S. Government may consent to our use of inventions covered by patents owned by other persons. Numerous tradem</w:t>
      </w:r>
      <w:r>
        <w:rPr>
          <w:rFonts w:eastAsia="Times New Roman"/>
          <w:color w:val="000000"/>
          <w:sz w:val="20"/>
          <w:szCs w:val="20"/>
        </w:rPr>
        <w:t>arks used on or in connection with our products are also considered to be a valuable asset.</w:t>
      </w:r>
    </w:p>
    <w:p w:rsidR="00000000" w:rsidRDefault="00AE54EE">
      <w:pPr>
        <w:ind w:firstLine="450"/>
        <w:jc w:val="center"/>
        <w:divId w:val="814222345"/>
        <w:rPr>
          <w:rFonts w:eastAsia="Times New Roman"/>
        </w:rPr>
      </w:pPr>
      <w:r>
        <w:rPr>
          <w:rFonts w:eastAsia="Times New Roman"/>
          <w:color w:val="000000"/>
          <w:sz w:val="20"/>
          <w:szCs w:val="20"/>
        </w:rPr>
        <w:t>8</w:t>
      </w:r>
    </w:p>
    <w:p w:rsidR="00000000" w:rsidRDefault="00AE54EE">
      <w:pPr>
        <w:rPr>
          <w:rFonts w:eastAsia="Times New Roman"/>
        </w:rPr>
      </w:pPr>
      <w:r>
        <w:rPr>
          <w:rFonts w:eastAsia="Times New Roman"/>
        </w:rPr>
        <w:pict>
          <v:rect id="_x0000_i1035" style="width:0;height:1.5pt" o:hralign="center" o:hrstd="t" o:hr="t" fillcolor="#a0a0a0" stroked="f"/>
        </w:pict>
      </w:r>
    </w:p>
    <w:p w:rsidR="00000000" w:rsidRDefault="00AE54EE">
      <w:pPr>
        <w:ind w:firstLine="450"/>
        <w:divId w:val="1118916884"/>
        <w:rPr>
          <w:rFonts w:eastAsia="Times New Roman"/>
        </w:rPr>
      </w:pPr>
    </w:p>
    <w:p w:rsidR="00000000" w:rsidRDefault="00AE54EE">
      <w:pPr>
        <w:divId w:val="543760272"/>
        <w:rPr>
          <w:rFonts w:eastAsia="Times New Roman"/>
        </w:rPr>
      </w:pPr>
      <w:r>
        <w:rPr>
          <w:rFonts w:eastAsia="Times New Roman"/>
          <w:b/>
          <w:bCs/>
          <w:color w:val="000000"/>
          <w:sz w:val="20"/>
          <w:szCs w:val="20"/>
        </w:rPr>
        <w:t>Government Regulations</w:t>
      </w:r>
    </w:p>
    <w:p w:rsidR="00000000" w:rsidRDefault="00AE54EE">
      <w:pPr>
        <w:ind w:firstLine="450"/>
        <w:divId w:val="1732266613"/>
        <w:rPr>
          <w:rFonts w:eastAsia="Times New Roman"/>
        </w:rPr>
      </w:pPr>
      <w:r>
        <w:rPr>
          <w:rFonts w:eastAsia="Times New Roman"/>
          <w:color w:val="000000"/>
          <w:sz w:val="20"/>
          <w:szCs w:val="20"/>
        </w:rPr>
        <w:t xml:space="preserve">Our company is subject to various federal, state, local and international laws and regulations relating to the development, manufacturing, sale and distribution of our products, systems and services, and it is our policy to comply with the applicable laws </w:t>
      </w:r>
      <w:r>
        <w:rPr>
          <w:rFonts w:eastAsia="Times New Roman"/>
          <w:color w:val="000000"/>
          <w:sz w:val="20"/>
          <w:szCs w:val="20"/>
        </w:rPr>
        <w:t>in each jurisdiction in which we conduct business. Regulations include, but are not limited to, those related to import and export controls, corruption, bribery, the protection of the environment, government procurement, wireless communications, competitio</w:t>
      </w:r>
      <w:r>
        <w:rPr>
          <w:rFonts w:eastAsia="Times New Roman"/>
          <w:color w:val="000000"/>
          <w:sz w:val="20"/>
          <w:szCs w:val="20"/>
        </w:rPr>
        <w:t>n, product safety, workplace health and safety, employment, labor and data privacy. The following describes significant regulations that may impact our businesses. For further discussion of risks relating to government regulations, see “Item 1A. Risk Facto</w:t>
      </w:r>
      <w:r>
        <w:rPr>
          <w:rFonts w:eastAsia="Times New Roman"/>
          <w:color w:val="000000"/>
          <w:sz w:val="20"/>
          <w:szCs w:val="20"/>
        </w:rPr>
        <w:t>rs” of this Report.</w:t>
      </w:r>
    </w:p>
    <w:p w:rsidR="00000000" w:rsidRDefault="00AE54EE">
      <w:pPr>
        <w:ind w:firstLine="450"/>
        <w:divId w:val="198015947"/>
        <w:rPr>
          <w:rFonts w:eastAsia="Times New Roman"/>
        </w:rPr>
      </w:pPr>
      <w:r>
        <w:rPr>
          <w:rFonts w:eastAsia="Times New Roman"/>
          <w:b/>
          <w:bCs/>
          <w:i/>
          <w:iCs/>
          <w:color w:val="000000"/>
          <w:sz w:val="20"/>
          <w:szCs w:val="20"/>
        </w:rPr>
        <w:t>Import/Export Regulations.</w:t>
      </w:r>
      <w:r>
        <w:rPr>
          <w:rFonts w:eastAsia="Times New Roman"/>
          <w:i/>
          <w:iCs/>
          <w:color w:val="000000"/>
          <w:sz w:val="20"/>
          <w:szCs w:val="20"/>
        </w:rPr>
        <w:t xml:space="preserve"> </w:t>
      </w:r>
      <w:r>
        <w:rPr>
          <w:rFonts w:eastAsia="Times New Roman"/>
          <w:color w:val="000000"/>
          <w:sz w:val="20"/>
          <w:szCs w:val="20"/>
        </w:rPr>
        <w:t>We sell products and solutions to customers all over the world and are required to comply with U.S. export control regulations, including the International Traffic in Arms Regulations (“ITAR”) and the U.S. Exp</w:t>
      </w:r>
      <w:r>
        <w:rPr>
          <w:rFonts w:eastAsia="Times New Roman"/>
          <w:color w:val="000000"/>
          <w:sz w:val="20"/>
          <w:szCs w:val="20"/>
        </w:rPr>
        <w:t>ort Administration Regulations, and economic and trade sanctions programs limiting or banning sales into certain countries. Countries outside of the U.S. have implemented similar controls and sanction regulations. Together these controls and regulations ma</w:t>
      </w:r>
      <w:r>
        <w:rPr>
          <w:rFonts w:eastAsia="Times New Roman"/>
          <w:color w:val="000000"/>
          <w:sz w:val="20"/>
          <w:szCs w:val="20"/>
        </w:rPr>
        <w:t>y impose licensing requirements on exports of certain technology and software from the U.S. and may impact our ability to transact business in certain countries or with certain customers. We have developed compliance programs and training to prevent violat</w:t>
      </w:r>
      <w:r>
        <w:rPr>
          <w:rFonts w:eastAsia="Times New Roman"/>
          <w:color w:val="000000"/>
          <w:sz w:val="20"/>
          <w:szCs w:val="20"/>
        </w:rPr>
        <w:t>ions of these programs and regulations, and we regularly monitor changes in the law and regulations and create strategies to deal with changes. Changes in the law may restrict or further restrict our ability to sell products and solutions.</w:t>
      </w:r>
    </w:p>
    <w:p w:rsidR="00000000" w:rsidRDefault="00AE54EE">
      <w:pPr>
        <w:ind w:firstLine="450"/>
        <w:divId w:val="1394545547"/>
        <w:rPr>
          <w:rFonts w:eastAsia="Times New Roman"/>
        </w:rPr>
      </w:pPr>
      <w:r>
        <w:rPr>
          <w:rFonts w:eastAsia="Times New Roman"/>
          <w:b/>
          <w:bCs/>
          <w:i/>
          <w:iCs/>
          <w:color w:val="000000"/>
          <w:sz w:val="20"/>
          <w:szCs w:val="20"/>
        </w:rPr>
        <w:t xml:space="preserve">Anti-Corruption </w:t>
      </w:r>
      <w:r>
        <w:rPr>
          <w:rFonts w:eastAsia="Times New Roman"/>
          <w:b/>
          <w:bCs/>
          <w:i/>
          <w:iCs/>
          <w:color w:val="000000"/>
          <w:sz w:val="20"/>
          <w:szCs w:val="20"/>
        </w:rPr>
        <w:t>Regulations.</w:t>
      </w:r>
      <w:r>
        <w:rPr>
          <w:rFonts w:eastAsia="Times New Roman"/>
          <w:i/>
          <w:iCs/>
          <w:color w:val="000000"/>
          <w:sz w:val="20"/>
          <w:szCs w:val="20"/>
        </w:rPr>
        <w:t xml:space="preserve"> </w:t>
      </w:r>
      <w:r>
        <w:rPr>
          <w:rFonts w:eastAsia="Times New Roman"/>
          <w:color w:val="000000"/>
          <w:sz w:val="20"/>
          <w:szCs w:val="20"/>
        </w:rPr>
        <w:t>Because we have significant international operations, we must comply with complex regulations, including U.S. Foreign Corrupt Practices Act, the U.K. Bribery Act and other local laws prohibiting corrupt payments to governmental officials and a</w:t>
      </w:r>
      <w:r>
        <w:rPr>
          <w:rFonts w:eastAsia="Times New Roman"/>
          <w:color w:val="000000"/>
          <w:sz w:val="20"/>
          <w:szCs w:val="20"/>
        </w:rPr>
        <w:t>nti-competition regulations. We have compliance policies, programs and training to prevent non-compliance with such anti-corruption regulations in the U.S. and outside the U.S. We monitor pending and proposed legislation and regulatory changes that may imp</w:t>
      </w:r>
      <w:r>
        <w:rPr>
          <w:rFonts w:eastAsia="Times New Roman"/>
          <w:color w:val="000000"/>
          <w:sz w:val="20"/>
          <w:szCs w:val="20"/>
        </w:rPr>
        <w:t>act our business and develop strategies to address the changes and incorporate them into existing compliance programs.</w:t>
      </w:r>
    </w:p>
    <w:p w:rsidR="00000000" w:rsidRDefault="00AE54EE">
      <w:pPr>
        <w:ind w:firstLine="450"/>
        <w:divId w:val="938220518"/>
        <w:rPr>
          <w:rFonts w:eastAsia="Times New Roman"/>
        </w:rPr>
      </w:pPr>
      <w:r>
        <w:rPr>
          <w:rFonts w:eastAsia="Times New Roman"/>
          <w:b/>
          <w:bCs/>
          <w:i/>
          <w:iCs/>
          <w:color w:val="000000"/>
          <w:sz w:val="20"/>
          <w:szCs w:val="20"/>
        </w:rPr>
        <w:t>Environmental Regulations.</w:t>
      </w:r>
      <w:r>
        <w:rPr>
          <w:rFonts w:eastAsia="Times New Roman"/>
          <w:color w:val="000000"/>
          <w:sz w:val="20"/>
          <w:szCs w:val="20"/>
        </w:rPr>
        <w:t xml:space="preserve"> Our operations are subject to and affected by U.S. Federal, state, local and foreign laws and regulations rega</w:t>
      </w:r>
      <w:r>
        <w:rPr>
          <w:rFonts w:eastAsia="Times New Roman"/>
          <w:color w:val="000000"/>
          <w:sz w:val="20"/>
          <w:szCs w:val="20"/>
        </w:rPr>
        <w:t>rding discharge of materials into the environment or otherwise relating to the protection of the environment. We believe that we have complied with these requirements and that such compliance has not had a material adverse effect on our financial condition</w:t>
      </w:r>
      <w:r>
        <w:rPr>
          <w:rFonts w:eastAsia="Times New Roman"/>
          <w:color w:val="000000"/>
          <w:sz w:val="20"/>
          <w:szCs w:val="20"/>
        </w:rPr>
        <w:t>, results of operations, cash flows or equity. We have installed waste treatment facilities and pollution control equipment to satisfy legal requirements and to achieve our waste minimization and prevention goals. A portion of our environmental expenditure</w:t>
      </w:r>
      <w:r>
        <w:rPr>
          <w:rFonts w:eastAsia="Times New Roman"/>
          <w:color w:val="000000"/>
          <w:sz w:val="20"/>
          <w:szCs w:val="20"/>
        </w:rPr>
        <w:t xml:space="preserve">s relates to businesses or operations we no longer own, but for which we have retained certain environmental liabilities. </w:t>
      </w:r>
    </w:p>
    <w:p w:rsidR="00000000" w:rsidRDefault="00AE54EE">
      <w:pPr>
        <w:ind w:firstLine="450"/>
        <w:divId w:val="1467891953"/>
        <w:rPr>
          <w:rFonts w:eastAsia="Times New Roman"/>
        </w:rPr>
      </w:pPr>
      <w:r>
        <w:rPr>
          <w:rFonts w:eastAsia="Times New Roman"/>
          <w:color w:val="000000"/>
          <w:sz w:val="20"/>
          <w:szCs w:val="20"/>
        </w:rPr>
        <w:t>We did not spend material amounts on environmental-related capital projects in fiscal 2021, fiscal 2020, the two quarters ended Janua</w:t>
      </w:r>
      <w:r>
        <w:rPr>
          <w:rFonts w:eastAsia="Times New Roman"/>
          <w:color w:val="000000"/>
          <w:sz w:val="20"/>
          <w:szCs w:val="20"/>
        </w:rPr>
        <w:t xml:space="preserve">ry 3, 2020, or fiscal 2019. Based on currently available information, we do not expect environmental-related capital expenditures or compliance with existing and pending environmental laws and regulations to be material or to have a material impact on our </w:t>
      </w:r>
      <w:r>
        <w:rPr>
          <w:rFonts w:eastAsia="Times New Roman"/>
          <w:color w:val="000000"/>
          <w:sz w:val="20"/>
          <w:szCs w:val="20"/>
        </w:rPr>
        <w:t>competitive position or financial condition in fiscal 2022 or over the next several years. We can give no assurance that such expenditures will not exceed current expectations, as such expenditures may increase in future years. If future treaties, laws and</w:t>
      </w:r>
      <w:r>
        <w:rPr>
          <w:rFonts w:eastAsia="Times New Roman"/>
          <w:color w:val="000000"/>
          <w:sz w:val="20"/>
          <w:szCs w:val="20"/>
        </w:rPr>
        <w:t xml:space="preserve"> regulations contain more stringent requirements than presently anticipated, actual expenditures may be higher than our present estimates of those expenditures. </w:t>
      </w:r>
    </w:p>
    <w:p w:rsidR="00000000" w:rsidRDefault="00AE54EE">
      <w:pPr>
        <w:ind w:firstLine="450"/>
        <w:divId w:val="30228174"/>
        <w:rPr>
          <w:rFonts w:eastAsia="Times New Roman"/>
        </w:rPr>
      </w:pPr>
      <w:r>
        <w:rPr>
          <w:rFonts w:eastAsia="Times New Roman"/>
          <w:color w:val="000000"/>
          <w:sz w:val="20"/>
          <w:szCs w:val="20"/>
        </w:rPr>
        <w:t>Additional information regarding environmental and regulatory matters is set forth in “Item 3.</w:t>
      </w:r>
      <w:r>
        <w:rPr>
          <w:rFonts w:eastAsia="Times New Roman"/>
          <w:color w:val="000000"/>
          <w:sz w:val="20"/>
          <w:szCs w:val="20"/>
        </w:rPr>
        <w:t xml:space="preserve"> Legal Proceedings” of this Report and in </w:t>
      </w:r>
      <w:r>
        <w:rPr>
          <w:rFonts w:eastAsia="Times New Roman"/>
          <w:i/>
          <w:iCs/>
          <w:color w:val="000000"/>
          <w:sz w:val="20"/>
          <w:szCs w:val="20"/>
        </w:rPr>
        <w:t>Note 1: Significant Accounting Policies</w:t>
      </w:r>
      <w:r>
        <w:rPr>
          <w:rFonts w:eastAsia="Times New Roman"/>
          <w:color w:val="000000"/>
          <w:sz w:val="20"/>
          <w:szCs w:val="20"/>
        </w:rPr>
        <w:t xml:space="preserve"> and </w:t>
      </w:r>
      <w:r>
        <w:rPr>
          <w:rFonts w:eastAsia="Times New Roman"/>
          <w:i/>
          <w:iCs/>
          <w:color w:val="000000"/>
          <w:sz w:val="20"/>
          <w:szCs w:val="20"/>
        </w:rPr>
        <w:t>Note 25: Legal Proceedings and Contingencies</w:t>
      </w:r>
      <w:r>
        <w:rPr>
          <w:rFonts w:eastAsia="Times New Roman"/>
          <w:color w:val="000000"/>
          <w:sz w:val="20"/>
          <w:szCs w:val="20"/>
        </w:rPr>
        <w:t xml:space="preserve"> in the Notes.</w:t>
      </w:r>
    </w:p>
    <w:p w:rsidR="00000000" w:rsidRDefault="00AE54EE">
      <w:pPr>
        <w:ind w:firstLine="450"/>
        <w:divId w:val="2065982063"/>
        <w:rPr>
          <w:rFonts w:eastAsia="Times New Roman"/>
        </w:rPr>
      </w:pPr>
      <w:r>
        <w:rPr>
          <w:rFonts w:eastAsia="Times New Roman"/>
          <w:color w:val="000000"/>
          <w:sz w:val="20"/>
          <w:szCs w:val="20"/>
        </w:rPr>
        <w:t>Electronic products are subject to governmental environmental regulation in several jurisdictions, such as dome</w:t>
      </w:r>
      <w:r>
        <w:rPr>
          <w:rFonts w:eastAsia="Times New Roman"/>
          <w:color w:val="000000"/>
          <w:sz w:val="20"/>
          <w:szCs w:val="20"/>
        </w:rPr>
        <w:t xml:space="preserve">stic and international requirements requiring end-of-life management and/or restricting materials in products delivered to customers, including the European Union’s Directive 2012/19/EU on Waste Electrical and Electronic Equipment and Directive 2011/65/EU </w:t>
      </w:r>
      <w:r>
        <w:rPr>
          <w:rFonts w:eastAsia="Times New Roman"/>
          <w:color w:val="000000"/>
          <w:sz w:val="20"/>
          <w:szCs w:val="20"/>
        </w:rPr>
        <w:t>on the Restriction of the use of certain Hazardous Substances in Electrical and Electronic Equipment (“RoHS”), as amended. Other jurisdictions have adopted similar legislation. Such requirements typically are not applicable to most equipment produced by ou</w:t>
      </w:r>
      <w:r>
        <w:rPr>
          <w:rFonts w:eastAsia="Times New Roman"/>
          <w:color w:val="000000"/>
          <w:sz w:val="20"/>
          <w:szCs w:val="20"/>
        </w:rPr>
        <w:t>r segments. We believe that we have complied with such rules and regulations, where applicable, with respect to our existing products sold into such jurisdictions. We intend to comply with such rules and regulations with respect to our future products.</w:t>
      </w:r>
    </w:p>
    <w:p w:rsidR="00000000" w:rsidRDefault="00AE54EE">
      <w:pPr>
        <w:ind w:firstLine="450"/>
        <w:divId w:val="1371800762"/>
        <w:rPr>
          <w:rFonts w:eastAsia="Times New Roman"/>
        </w:rPr>
      </w:pPr>
      <w:r>
        <w:rPr>
          <w:rFonts w:eastAsia="Times New Roman"/>
          <w:b/>
          <w:bCs/>
          <w:i/>
          <w:iCs/>
          <w:color w:val="000000"/>
          <w:sz w:val="20"/>
          <w:szCs w:val="20"/>
        </w:rPr>
        <w:t>Wir</w:t>
      </w:r>
      <w:r>
        <w:rPr>
          <w:rFonts w:eastAsia="Times New Roman"/>
          <w:b/>
          <w:bCs/>
          <w:i/>
          <w:iCs/>
          <w:color w:val="000000"/>
          <w:sz w:val="20"/>
          <w:szCs w:val="20"/>
        </w:rPr>
        <w:t>eless Communications Regulations.</w:t>
      </w:r>
      <w:r>
        <w:rPr>
          <w:rFonts w:eastAsia="Times New Roman"/>
          <w:i/>
          <w:iCs/>
          <w:color w:val="000000"/>
          <w:sz w:val="20"/>
          <w:szCs w:val="20"/>
        </w:rPr>
        <w:t xml:space="preserve"> </w:t>
      </w:r>
      <w:r>
        <w:rPr>
          <w:rFonts w:eastAsia="Times New Roman"/>
          <w:color w:val="000000"/>
          <w:sz w:val="20"/>
          <w:szCs w:val="20"/>
        </w:rPr>
        <w:t>Wireless communications, whether radio, satellite or telecommunications, are also subject to governmental regulation. Equipment produced in our Communication Systems and Space &amp; Airborne Systems segments, in particular, is</w:t>
      </w:r>
      <w:r>
        <w:rPr>
          <w:rFonts w:eastAsia="Times New Roman"/>
          <w:color w:val="000000"/>
          <w:sz w:val="20"/>
          <w:szCs w:val="20"/>
        </w:rPr>
        <w:t xml:space="preserve"> subject to domestic and international requirements to avoid interference among users of radio and television frequencies and to permit interconnection of telecommunications equipment. We are also required to comply with technical operating and licensing r</w:t>
      </w:r>
      <w:r>
        <w:rPr>
          <w:rFonts w:eastAsia="Times New Roman"/>
          <w:color w:val="000000"/>
          <w:sz w:val="20"/>
          <w:szCs w:val="20"/>
        </w:rPr>
        <w:t xml:space="preserve">equirements that pertain to our wireless licenses and operations. We believe that we have complied with such rules and regulations and licenses with respect to our existing products and services, and we intend to comply with such rules and regulations and </w:t>
      </w:r>
      <w:r>
        <w:rPr>
          <w:rFonts w:eastAsia="Times New Roman"/>
          <w:color w:val="000000"/>
          <w:sz w:val="20"/>
          <w:szCs w:val="20"/>
        </w:rPr>
        <w:t>licenses with respect to our future products and services. Governmental reallocation of the frequency spectrum could impact our business, financial condition and results of operations.</w:t>
      </w:r>
    </w:p>
    <w:p w:rsidR="00000000" w:rsidRDefault="00AE54EE">
      <w:pPr>
        <w:ind w:firstLine="450"/>
        <w:jc w:val="center"/>
        <w:divId w:val="1737581578"/>
        <w:rPr>
          <w:rFonts w:eastAsia="Times New Roman"/>
        </w:rPr>
      </w:pPr>
      <w:r>
        <w:rPr>
          <w:rFonts w:eastAsia="Times New Roman"/>
          <w:color w:val="000000"/>
          <w:sz w:val="20"/>
          <w:szCs w:val="20"/>
        </w:rPr>
        <w:t>9</w:t>
      </w:r>
    </w:p>
    <w:p w:rsidR="00000000" w:rsidRDefault="00AE54EE">
      <w:pPr>
        <w:rPr>
          <w:rFonts w:eastAsia="Times New Roman"/>
        </w:rPr>
      </w:pPr>
      <w:r>
        <w:rPr>
          <w:rFonts w:eastAsia="Times New Roman"/>
        </w:rPr>
        <w:pict>
          <v:rect id="_x0000_i1036" style="width:0;height:1.5pt" o:hralign="center" o:hrstd="t" o:hr="t" fillcolor="#a0a0a0" stroked="f"/>
        </w:pict>
      </w:r>
    </w:p>
    <w:p w:rsidR="00000000" w:rsidRDefault="00AE54EE">
      <w:pPr>
        <w:ind w:firstLine="450"/>
        <w:divId w:val="889146926"/>
        <w:rPr>
          <w:rFonts w:eastAsia="Times New Roman"/>
        </w:rPr>
      </w:pPr>
    </w:p>
    <w:p w:rsidR="00000000" w:rsidRDefault="00AE54EE">
      <w:pPr>
        <w:divId w:val="906764910"/>
        <w:rPr>
          <w:rFonts w:eastAsia="Times New Roman"/>
        </w:rPr>
      </w:pPr>
      <w:r>
        <w:rPr>
          <w:rFonts w:eastAsia="Times New Roman"/>
          <w:b/>
          <w:bCs/>
          <w:color w:val="000000"/>
          <w:sz w:val="20"/>
          <w:szCs w:val="20"/>
        </w:rPr>
        <w:t>Raw Materials and Supplies</w:t>
      </w:r>
    </w:p>
    <w:p w:rsidR="00000000" w:rsidRDefault="00AE54EE">
      <w:pPr>
        <w:ind w:firstLine="450"/>
        <w:divId w:val="1987465496"/>
        <w:rPr>
          <w:rFonts w:eastAsia="Times New Roman"/>
        </w:rPr>
      </w:pPr>
      <w:r>
        <w:rPr>
          <w:rFonts w:eastAsia="Times New Roman"/>
          <w:color w:val="000000"/>
          <w:sz w:val="20"/>
          <w:szCs w:val="20"/>
        </w:rPr>
        <w:t>Because of the diversity of our products and services, as well as the wide geographic dispersion of our facilities, we use numerous sources for the wide array of raw materials, such as electronic components, printed circuit board</w:t>
      </w:r>
      <w:r>
        <w:rPr>
          <w:rFonts w:eastAsia="Times New Roman"/>
          <w:color w:val="000000"/>
          <w:sz w:val="20"/>
          <w:szCs w:val="20"/>
        </w:rPr>
        <w:t xml:space="preserve">s, metals and plastics needed for our operations and for our products. We are dependent on suppliers and subcontractors for a large number of components and subsystems and the ability of our suppliers and subcontractors to adhere to customer or regulatory </w:t>
      </w:r>
      <w:r>
        <w:rPr>
          <w:rFonts w:eastAsia="Times New Roman"/>
          <w:color w:val="000000"/>
          <w:sz w:val="20"/>
          <w:szCs w:val="20"/>
        </w:rPr>
        <w:t>materials restrictions and to meet performance and quality specifications and delivery schedules. In some instances, we are dependent on one or a few sources, either because of the specialized nature of a particular item or because of local content prefere</w:t>
      </w:r>
      <w:r>
        <w:rPr>
          <w:rFonts w:eastAsia="Times New Roman"/>
          <w:color w:val="000000"/>
          <w:sz w:val="20"/>
          <w:szCs w:val="20"/>
        </w:rPr>
        <w:t xml:space="preserve">nce requirements pursuant to which we operate on a given project. In addition, in connection with our U.S. Government contracts, we are required to procure certain materials, components and parts, including microelectronics components, from supply sources </w:t>
      </w:r>
      <w:r>
        <w:rPr>
          <w:rFonts w:eastAsia="Times New Roman"/>
          <w:color w:val="000000"/>
          <w:sz w:val="20"/>
          <w:szCs w:val="20"/>
        </w:rPr>
        <w:t>approved by the U.S. Government, which may limit the suppliers and subcontractors we may utilize. Although we have been affected by financial and performance issues of some of our suppliers and subcontractors, other than in our Communication Systems segmen</w:t>
      </w:r>
      <w:r>
        <w:rPr>
          <w:rFonts w:eastAsia="Times New Roman"/>
          <w:color w:val="000000"/>
          <w:sz w:val="20"/>
          <w:szCs w:val="20"/>
        </w:rPr>
        <w:t xml:space="preserve">t, we have not been materially adversely affected by the inability to obtain raw materials or products. On occasion, we have experienced component shortages from vendors as a result of pandemics, natural disasters, or the RoHS environmental regulations in </w:t>
      </w:r>
      <w:r>
        <w:rPr>
          <w:rFonts w:eastAsia="Times New Roman"/>
          <w:color w:val="000000"/>
          <w:sz w:val="20"/>
          <w:szCs w:val="20"/>
        </w:rPr>
        <w:t xml:space="preserve">the European Union or similar regulations in other jurisdictions. These events or regulations may cause a spike in demand for certain electronic components, such as lead-free components, resulting in industry-wide supply chain shortages. </w:t>
      </w:r>
    </w:p>
    <w:p w:rsidR="00000000" w:rsidRDefault="00AE54EE">
      <w:pPr>
        <w:ind w:firstLine="450"/>
        <w:divId w:val="708644469"/>
        <w:rPr>
          <w:rFonts w:eastAsia="Times New Roman"/>
        </w:rPr>
      </w:pPr>
      <w:r>
        <w:rPr>
          <w:rFonts w:eastAsia="Times New Roman"/>
          <w:color w:val="000000"/>
          <w:sz w:val="20"/>
          <w:szCs w:val="20"/>
        </w:rPr>
        <w:t>Revenue, operatin</w:t>
      </w:r>
      <w:r>
        <w:rPr>
          <w:rFonts w:eastAsia="Times New Roman"/>
          <w:color w:val="000000"/>
          <w:sz w:val="20"/>
          <w:szCs w:val="20"/>
        </w:rPr>
        <w:t>g income and orders have been, and we expect will continue to be, adversely impacted by supply chain-related constraints, primarily in our Communication Systems segment. While our customer base remains strong, we can give no assurances and the ultimate ext</w:t>
      </w:r>
      <w:r>
        <w:rPr>
          <w:rFonts w:eastAsia="Times New Roman"/>
          <w:color w:val="000000"/>
          <w:sz w:val="20"/>
          <w:szCs w:val="20"/>
        </w:rPr>
        <w:t xml:space="preserve">ent of the supply chain-related constraints to our Communication Systems segment remains uncertain. </w:t>
      </w:r>
    </w:p>
    <w:p w:rsidR="00000000" w:rsidRDefault="00AE54EE">
      <w:pPr>
        <w:ind w:firstLine="450"/>
        <w:divId w:val="453524006"/>
        <w:rPr>
          <w:rFonts w:eastAsia="Times New Roman"/>
        </w:rPr>
      </w:pPr>
      <w:r>
        <w:rPr>
          <w:rFonts w:eastAsia="Times New Roman"/>
          <w:color w:val="000000"/>
          <w:sz w:val="20"/>
          <w:szCs w:val="20"/>
        </w:rPr>
        <w:t xml:space="preserve">For further discussion of risks relating to subcontractors and suppliers, see “Item 1A. Risk Factors” of this Report. </w:t>
      </w:r>
    </w:p>
    <w:p w:rsidR="00000000" w:rsidRDefault="00AE54EE">
      <w:pPr>
        <w:divId w:val="1576478629"/>
        <w:rPr>
          <w:rFonts w:eastAsia="Times New Roman"/>
        </w:rPr>
      </w:pPr>
      <w:r>
        <w:rPr>
          <w:rFonts w:eastAsia="Times New Roman"/>
          <w:b/>
          <w:bCs/>
          <w:color w:val="000000"/>
          <w:sz w:val="20"/>
          <w:szCs w:val="20"/>
        </w:rPr>
        <w:t>Seasonality</w:t>
      </w:r>
    </w:p>
    <w:p w:rsidR="00000000" w:rsidRDefault="00AE54EE">
      <w:pPr>
        <w:ind w:firstLine="450"/>
        <w:divId w:val="1997033388"/>
        <w:rPr>
          <w:rFonts w:eastAsia="Times New Roman"/>
        </w:rPr>
      </w:pPr>
      <w:r>
        <w:rPr>
          <w:rFonts w:eastAsia="Times New Roman"/>
          <w:color w:val="000000"/>
          <w:sz w:val="20"/>
          <w:szCs w:val="20"/>
        </w:rPr>
        <w:t>We do not consider any m</w:t>
      </w:r>
      <w:r>
        <w:rPr>
          <w:rFonts w:eastAsia="Times New Roman"/>
          <w:color w:val="000000"/>
          <w:sz w:val="20"/>
          <w:szCs w:val="20"/>
        </w:rPr>
        <w:t>aterial portion of our business to be seasonal. Various factors can affect the distribution of our revenue between accounting periods, including the timing of contract awards and the timing and availability of U.S. Government funding, as well as the timing</w:t>
      </w:r>
      <w:r>
        <w:rPr>
          <w:rFonts w:eastAsia="Times New Roman"/>
          <w:color w:val="000000"/>
          <w:sz w:val="20"/>
          <w:szCs w:val="20"/>
        </w:rPr>
        <w:t xml:space="preserve"> of product deliveries and customer acceptance.</w:t>
      </w:r>
    </w:p>
    <w:p w:rsidR="00000000" w:rsidRDefault="00AE54EE">
      <w:pPr>
        <w:divId w:val="418255977"/>
        <w:rPr>
          <w:rFonts w:eastAsia="Times New Roman"/>
        </w:rPr>
      </w:pPr>
      <w:r>
        <w:rPr>
          <w:rFonts w:eastAsia="Times New Roman"/>
          <w:b/>
          <w:bCs/>
          <w:color w:val="000000"/>
          <w:sz w:val="20"/>
          <w:szCs w:val="20"/>
        </w:rPr>
        <w:t xml:space="preserve">Human Capital </w:t>
      </w:r>
    </w:p>
    <w:p w:rsidR="00000000" w:rsidRDefault="00AE54EE">
      <w:pPr>
        <w:ind w:firstLine="450"/>
        <w:divId w:val="351957501"/>
        <w:rPr>
          <w:rFonts w:eastAsia="Times New Roman"/>
        </w:rPr>
      </w:pPr>
      <w:r>
        <w:rPr>
          <w:rFonts w:eastAsia="Times New Roman"/>
          <w:color w:val="000000"/>
          <w:sz w:val="20"/>
          <w:szCs w:val="20"/>
        </w:rPr>
        <w:t>As a global aerospace and defense technology company, our performance is dependent on our highly educated and skilled workforce for our success. Attracting, developing, motivating and retaining</w:t>
      </w:r>
      <w:r>
        <w:rPr>
          <w:rFonts w:eastAsia="Times New Roman"/>
          <w:color w:val="000000"/>
          <w:sz w:val="20"/>
          <w:szCs w:val="20"/>
        </w:rPr>
        <w:t xml:space="preserve"> highly skilled employees, particularly those with technical, engineering and science backgrounds and experience, is a critical factor in our ability to execute our strategic priorities. We use human capital measures to set goals and monitor performance in</w:t>
      </w:r>
      <w:r>
        <w:rPr>
          <w:rFonts w:eastAsia="Times New Roman"/>
          <w:color w:val="000000"/>
          <w:sz w:val="20"/>
          <w:szCs w:val="20"/>
        </w:rPr>
        <w:t xml:space="preserve"> several areas, including employee health and safety; talent acquisition, development and retention; and diversity and inclusion.</w:t>
      </w:r>
    </w:p>
    <w:p w:rsidR="00000000" w:rsidRDefault="00AE54EE">
      <w:pPr>
        <w:ind w:firstLine="450"/>
        <w:divId w:val="869146033"/>
        <w:rPr>
          <w:rFonts w:eastAsia="Times New Roman"/>
        </w:rPr>
      </w:pPr>
      <w:r>
        <w:rPr>
          <w:rFonts w:eastAsia="Times New Roman"/>
          <w:b/>
          <w:bCs/>
          <w:i/>
          <w:iCs/>
          <w:color w:val="000000"/>
          <w:sz w:val="20"/>
          <w:szCs w:val="20"/>
        </w:rPr>
        <w:t>Workforce Demographics.</w:t>
      </w:r>
      <w:r>
        <w:rPr>
          <w:rFonts w:eastAsia="Times New Roman"/>
          <w:color w:val="000000"/>
          <w:sz w:val="20"/>
          <w:szCs w:val="20"/>
        </w:rPr>
        <w:t xml:space="preserve"> We had approximately 47,000 employees at December 31, 2021, including approximately 19,000 engineers a</w:t>
      </w:r>
      <w:r>
        <w:rPr>
          <w:rFonts w:eastAsia="Times New Roman"/>
          <w:color w:val="000000"/>
          <w:sz w:val="20"/>
          <w:szCs w:val="20"/>
        </w:rPr>
        <w:t>nd scientists. Approximately 87 percent of our employees are located in the U.S. and a significant number of our employees possess a U.S. Government security clearance. As of December 31, 2021, approximately 2,500 of our U.S. employees were covered by vari</w:t>
      </w:r>
      <w:r>
        <w:rPr>
          <w:rFonts w:eastAsia="Times New Roman"/>
          <w:color w:val="000000"/>
          <w:sz w:val="20"/>
          <w:szCs w:val="20"/>
        </w:rPr>
        <w:t xml:space="preserve">ous collective bargaining agreements, which we expect will be renegotiated as they expire, as we historically have done without significant disruption to operating activities. </w:t>
      </w:r>
    </w:p>
    <w:p w:rsidR="00000000" w:rsidRDefault="00AE54EE">
      <w:pPr>
        <w:ind w:firstLine="450"/>
        <w:divId w:val="577861244"/>
        <w:rPr>
          <w:rFonts w:eastAsia="Times New Roman"/>
        </w:rPr>
      </w:pPr>
      <w:r>
        <w:rPr>
          <w:rFonts w:eastAsia="Times New Roman"/>
          <w:b/>
          <w:bCs/>
          <w:i/>
          <w:iCs/>
          <w:color w:val="000000"/>
          <w:sz w:val="20"/>
          <w:szCs w:val="20"/>
        </w:rPr>
        <w:t>Health and Safety.</w:t>
      </w:r>
      <w:r>
        <w:rPr>
          <w:rFonts w:eastAsia="Times New Roman"/>
          <w:i/>
          <w:iCs/>
          <w:color w:val="000000"/>
          <w:sz w:val="20"/>
          <w:szCs w:val="20"/>
        </w:rPr>
        <w:t xml:space="preserve"> </w:t>
      </w:r>
      <w:r>
        <w:rPr>
          <w:rFonts w:eastAsia="Times New Roman"/>
          <w:color w:val="000000"/>
          <w:sz w:val="20"/>
          <w:szCs w:val="20"/>
        </w:rPr>
        <w:t>We strive to maintain a safe work environment for all employ</w:t>
      </w:r>
      <w:r>
        <w:rPr>
          <w:rFonts w:eastAsia="Times New Roman"/>
          <w:color w:val="000000"/>
          <w:sz w:val="20"/>
          <w:szCs w:val="20"/>
        </w:rPr>
        <w:t>ees and eliminate workplace incidents, risks and hazards. We review and monitor our performance closely to reduce Occupational Safety and Health Administration reportable incidents. For fiscal 2021, our total recordable injury rate declined by 4 percent an</w:t>
      </w:r>
      <w:r>
        <w:rPr>
          <w:rFonts w:eastAsia="Times New Roman"/>
          <w:color w:val="000000"/>
          <w:sz w:val="20"/>
          <w:szCs w:val="20"/>
        </w:rPr>
        <w:t>d lost day injury rate remained flat, compared with the previous year, while numerous locations across L3Harris reached one year or more without a recordable injury. Our response to COVID has been a consistent focus on keeping our employees safe while stri</w:t>
      </w:r>
      <w:r>
        <w:rPr>
          <w:rFonts w:eastAsia="Times New Roman"/>
          <w:color w:val="000000"/>
          <w:sz w:val="20"/>
          <w:szCs w:val="20"/>
        </w:rPr>
        <w:t>ving to maintain continuity of operations, meet customer commitments and support suppliers. With more extensive information about the transmission of COVID, the wide availability of COVID vaccines and the temporarily-in-force U.S. Government federal contra</w:t>
      </w:r>
      <w:r>
        <w:rPr>
          <w:rFonts w:eastAsia="Times New Roman"/>
          <w:color w:val="000000"/>
          <w:sz w:val="20"/>
          <w:szCs w:val="20"/>
        </w:rPr>
        <w:t>ctor vaccine mandate, we have transitioned a greater number of employees back to on-site work and resumed certain essential business events and travel. We continue to maintain detailed safety precautions and protocols for on-site work, such as mandatory fa</w:t>
      </w:r>
      <w:r>
        <w:rPr>
          <w:rFonts w:eastAsia="Times New Roman"/>
          <w:color w:val="000000"/>
          <w:sz w:val="20"/>
          <w:szCs w:val="20"/>
        </w:rPr>
        <w:t xml:space="preserve">ce coverings and physical distancing. </w:t>
      </w:r>
    </w:p>
    <w:p w:rsidR="00000000" w:rsidRDefault="00AE54EE">
      <w:pPr>
        <w:ind w:firstLine="450"/>
        <w:divId w:val="591281725"/>
        <w:rPr>
          <w:rFonts w:eastAsia="Times New Roman"/>
        </w:rPr>
      </w:pPr>
      <w:r>
        <w:rPr>
          <w:rFonts w:eastAsia="Times New Roman"/>
          <w:b/>
          <w:bCs/>
          <w:i/>
          <w:iCs/>
          <w:color w:val="000000"/>
          <w:sz w:val="20"/>
          <w:szCs w:val="20"/>
        </w:rPr>
        <w:t>Talent Acquisition, Development and Retention.</w:t>
      </w:r>
      <w:r>
        <w:rPr>
          <w:rFonts w:eastAsia="Times New Roman"/>
          <w:b/>
          <w:bCs/>
          <w:color w:val="000000"/>
          <w:sz w:val="20"/>
          <w:szCs w:val="20"/>
        </w:rPr>
        <w:t xml:space="preserve"> </w:t>
      </w:r>
      <w:r>
        <w:rPr>
          <w:rFonts w:eastAsia="Times New Roman"/>
          <w:color w:val="000000"/>
          <w:sz w:val="20"/>
          <w:szCs w:val="20"/>
        </w:rPr>
        <w:t>Our talent acquisition, development and retention strategy is focused on attracting the best talent, recognizing and rewarding performance while continually developing, e</w:t>
      </w:r>
      <w:r>
        <w:rPr>
          <w:rFonts w:eastAsia="Times New Roman"/>
          <w:color w:val="000000"/>
          <w:sz w:val="20"/>
          <w:szCs w:val="20"/>
        </w:rPr>
        <w:t xml:space="preserve">ngaging and retaining high-performing employees. We strive to attract employees in all stages of their careers and in fiscal 2021 we hired approximately 8,000 new employees. In fiscal 2021, L3Harris was recognized as “a great place to work” with nearly 20 </w:t>
      </w:r>
      <w:r>
        <w:rPr>
          <w:rFonts w:eastAsia="Times New Roman"/>
          <w:color w:val="000000"/>
          <w:sz w:val="20"/>
          <w:szCs w:val="20"/>
        </w:rPr>
        <w:t>awards or recognitions from external organizations. We support and develop our employees through global training that promotes our “e3” operating system (excellence, everywhere, everyday). We provide ongoing training and career development by offering quar</w:t>
      </w:r>
      <w:r>
        <w:rPr>
          <w:rFonts w:eastAsia="Times New Roman"/>
          <w:color w:val="000000"/>
          <w:sz w:val="20"/>
          <w:szCs w:val="20"/>
        </w:rPr>
        <w:t>terly and annual courses through our in person and online learning management system focused on compliance with our Code of Conduct, ethics and laws applicable to our businesses; skills and competencies directly related to employees’ positions; and respons</w:t>
      </w:r>
      <w:r>
        <w:rPr>
          <w:rFonts w:eastAsia="Times New Roman"/>
          <w:color w:val="000000"/>
          <w:sz w:val="20"/>
          <w:szCs w:val="20"/>
        </w:rPr>
        <w:t xml:space="preserve">ibility for personal safety and the safety of fellow employees, others and the environment. We offer competitive salaries and </w:t>
      </w:r>
    </w:p>
    <w:p w:rsidR="00000000" w:rsidRDefault="00AE54EE">
      <w:pPr>
        <w:ind w:firstLine="450"/>
        <w:jc w:val="center"/>
        <w:divId w:val="942765038"/>
        <w:rPr>
          <w:rFonts w:eastAsia="Times New Roman"/>
        </w:rPr>
      </w:pPr>
      <w:r>
        <w:rPr>
          <w:rFonts w:eastAsia="Times New Roman"/>
          <w:color w:val="000000"/>
          <w:sz w:val="20"/>
          <w:szCs w:val="20"/>
        </w:rPr>
        <w:t>10</w:t>
      </w:r>
    </w:p>
    <w:p w:rsidR="00000000" w:rsidRDefault="00AE54EE">
      <w:pPr>
        <w:rPr>
          <w:rFonts w:eastAsia="Times New Roman"/>
        </w:rPr>
      </w:pPr>
      <w:r>
        <w:rPr>
          <w:rFonts w:eastAsia="Times New Roman"/>
        </w:rPr>
        <w:pict>
          <v:rect id="_x0000_i1037" style="width:0;height:1.5pt" o:hralign="center" o:hrstd="t" o:hr="t" fillcolor="#a0a0a0" stroked="f"/>
        </w:pict>
      </w:r>
    </w:p>
    <w:p w:rsidR="00000000" w:rsidRDefault="00AE54EE">
      <w:pPr>
        <w:ind w:firstLine="450"/>
        <w:divId w:val="657272619"/>
        <w:rPr>
          <w:rFonts w:eastAsia="Times New Roman"/>
        </w:rPr>
      </w:pPr>
    </w:p>
    <w:p w:rsidR="00000000" w:rsidRDefault="00AE54EE">
      <w:pPr>
        <w:divId w:val="405498911"/>
        <w:rPr>
          <w:rFonts w:eastAsia="Times New Roman"/>
        </w:rPr>
      </w:pPr>
      <w:r>
        <w:rPr>
          <w:rFonts w:eastAsia="Times New Roman"/>
          <w:color w:val="000000"/>
          <w:sz w:val="20"/>
          <w:szCs w:val="20"/>
        </w:rPr>
        <w:t xml:space="preserve">comprehensive benefit packages, including health care, retirement planning and employer </w:t>
      </w:r>
      <w:r>
        <w:rPr>
          <w:rFonts w:eastAsia="Times New Roman"/>
          <w:color w:val="000000"/>
          <w:sz w:val="20"/>
          <w:szCs w:val="20"/>
        </w:rPr>
        <w:t>retirement contributions, educational assistance, child and elder back-up care, paid parental leave and a discretionary paid time off program. In addition, we have established a comprehensive employee survey process to help us better understand the total e</w:t>
      </w:r>
      <w:r>
        <w:rPr>
          <w:rFonts w:eastAsia="Times New Roman"/>
          <w:color w:val="000000"/>
          <w:sz w:val="20"/>
          <w:szCs w:val="20"/>
        </w:rPr>
        <w:t xml:space="preserve">mployee experience, including continual lifecycle, frequent pulse and periodic census surveys. </w:t>
      </w:r>
    </w:p>
    <w:p w:rsidR="00000000" w:rsidRDefault="00AE54EE">
      <w:pPr>
        <w:ind w:firstLine="450"/>
        <w:divId w:val="116680060"/>
        <w:rPr>
          <w:rFonts w:eastAsia="Times New Roman"/>
        </w:rPr>
      </w:pPr>
      <w:r>
        <w:rPr>
          <w:rFonts w:eastAsia="Times New Roman"/>
          <w:b/>
          <w:bCs/>
          <w:i/>
          <w:iCs/>
          <w:color w:val="000000"/>
          <w:sz w:val="20"/>
          <w:szCs w:val="20"/>
        </w:rPr>
        <w:t>Diversity, Equity and Inclusion.</w:t>
      </w:r>
      <w:r>
        <w:rPr>
          <w:rFonts w:eastAsia="Times New Roman"/>
          <w:i/>
          <w:iCs/>
          <w:color w:val="000000"/>
          <w:sz w:val="20"/>
          <w:szCs w:val="20"/>
        </w:rPr>
        <w:t xml:space="preserve"> </w:t>
      </w:r>
      <w:r>
        <w:rPr>
          <w:rFonts w:eastAsia="Times New Roman"/>
          <w:color w:val="000000"/>
          <w:sz w:val="20"/>
          <w:szCs w:val="20"/>
        </w:rPr>
        <w:t>We believe that our future success depends on our ability to continue to innovate and develop new solutions to solve our customers’ most critical challenges, and that diversity of thought, experience, perspective and background drives innovation. We have e</w:t>
      </w:r>
      <w:r>
        <w:rPr>
          <w:rFonts w:eastAsia="Times New Roman"/>
          <w:color w:val="000000"/>
          <w:sz w:val="20"/>
          <w:szCs w:val="20"/>
        </w:rPr>
        <w:t>stablished two clear goals: half of our workforce will be women and at least a third will be people of color. We are investing in an inclusive and diverse workforce by supporting a variety of science, technology, engineering and mathematics initiatives. We</w:t>
      </w:r>
      <w:r>
        <w:rPr>
          <w:rFonts w:eastAsia="Times New Roman"/>
          <w:color w:val="000000"/>
          <w:sz w:val="20"/>
          <w:szCs w:val="20"/>
        </w:rPr>
        <w:t xml:space="preserve"> also have established a diversity council, co-chaired by our CEO and comprised of employee resource group leadership and executives from across the company, to evaluate and influence the strategies, policies and steps we take to advance diversity and incl</w:t>
      </w:r>
      <w:r>
        <w:rPr>
          <w:rFonts w:eastAsia="Times New Roman"/>
          <w:color w:val="000000"/>
          <w:sz w:val="20"/>
          <w:szCs w:val="20"/>
        </w:rPr>
        <w:t>usion. We offer nine employee resource groups that bring together employees from diverse backgrounds and foster networking, professional development and community outreach opportunities. Finally, we believe that celebrating our unique and diverse backgroun</w:t>
      </w:r>
      <w:r>
        <w:rPr>
          <w:rFonts w:eastAsia="Times New Roman"/>
          <w:color w:val="000000"/>
          <w:sz w:val="20"/>
          <w:szCs w:val="20"/>
        </w:rPr>
        <w:t>ds and experiences makes us stronger, demonstrated by our various listening and communications strategies that celebrate the unique storytelling and voices of employees. Through the above and other efforts, we have improved the diversity of our workforce a</w:t>
      </w:r>
      <w:r>
        <w:rPr>
          <w:rFonts w:eastAsia="Times New Roman"/>
          <w:color w:val="000000"/>
          <w:sz w:val="20"/>
          <w:szCs w:val="20"/>
        </w:rPr>
        <w:t xml:space="preserve">nd we continue to work toward our long term goals. </w:t>
      </w:r>
    </w:p>
    <w:p w:rsidR="00000000" w:rsidRDefault="00AE54EE">
      <w:pPr>
        <w:ind w:firstLine="450"/>
        <w:divId w:val="343438405"/>
        <w:rPr>
          <w:rFonts w:eastAsia="Times New Roman"/>
        </w:rPr>
      </w:pPr>
      <w:r>
        <w:rPr>
          <w:rFonts w:eastAsia="Times New Roman"/>
          <w:color w:val="000000"/>
          <w:sz w:val="20"/>
          <w:szCs w:val="20"/>
        </w:rPr>
        <w:t>The table below provides the makeup of our workforce in fiscal 2021:</w:t>
      </w:r>
    </w:p>
    <w:tbl>
      <w:tblPr>
        <w:tblW w:w="5000" w:type="pct"/>
        <w:tblCellMar>
          <w:top w:w="15" w:type="dxa"/>
          <w:left w:w="15" w:type="dxa"/>
          <w:bottom w:w="15" w:type="dxa"/>
          <w:right w:w="15" w:type="dxa"/>
        </w:tblCellMar>
        <w:tblLook w:val="04A0" w:firstRow="1" w:lastRow="0" w:firstColumn="1" w:lastColumn="0" w:noHBand="0" w:noVBand="1"/>
      </w:tblPr>
      <w:tblGrid>
        <w:gridCol w:w="62"/>
        <w:gridCol w:w="4818"/>
        <w:gridCol w:w="38"/>
        <w:gridCol w:w="63"/>
        <w:gridCol w:w="1548"/>
        <w:gridCol w:w="36"/>
        <w:gridCol w:w="36"/>
        <w:gridCol w:w="36"/>
        <w:gridCol w:w="36"/>
        <w:gridCol w:w="49"/>
        <w:gridCol w:w="1548"/>
        <w:gridCol w:w="36"/>
      </w:tblGrid>
      <w:tr w:rsidR="00000000">
        <w:trPr>
          <w:divId w:val="343438405"/>
        </w:trPr>
        <w:tc>
          <w:tcPr>
            <w:tcW w:w="50" w:type="pct"/>
            <w:vAlign w:val="center"/>
            <w:hideMark/>
          </w:tcPr>
          <w:p w:rsidR="00000000" w:rsidRDefault="00AE54EE">
            <w:pPr>
              <w:ind w:firstLine="450"/>
              <w:rPr>
                <w:rFonts w:eastAsia="Times New Roman"/>
              </w:rPr>
            </w:pPr>
          </w:p>
        </w:tc>
        <w:tc>
          <w:tcPr>
            <w:tcW w:w="291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94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94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343438405"/>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Overall</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Executive</w:t>
            </w:r>
          </w:p>
        </w:tc>
      </w:tr>
      <w:tr w:rsidR="00000000">
        <w:trPr>
          <w:divId w:val="343438405"/>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Persons of color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26%</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18%</w:t>
            </w:r>
          </w:p>
        </w:tc>
      </w:tr>
      <w:tr w:rsidR="00000000">
        <w:trPr>
          <w:divId w:val="343438405"/>
        </w:trPr>
        <w:tc>
          <w:tcPr>
            <w:tcW w:w="0" w:type="auto"/>
            <w:gridSpan w:val="3"/>
            <w:shd w:val="clear" w:color="auto" w:fill="FFFF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Female population</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25%</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34%</w:t>
            </w:r>
          </w:p>
        </w:tc>
      </w:tr>
      <w:tr w:rsidR="00000000">
        <w:trPr>
          <w:divId w:val="343438405"/>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Veterans</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15%</w:t>
            </w:r>
          </w:p>
        </w:tc>
      </w:tr>
      <w:tr w:rsidR="00000000">
        <w:trPr>
          <w:divId w:val="343438405"/>
        </w:trPr>
        <w:tc>
          <w:tcPr>
            <w:tcW w:w="0" w:type="auto"/>
            <w:gridSpan w:val="3"/>
            <w:shd w:val="clear" w:color="auto" w:fill="FFFF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Persons with disabilities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8%</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7%</w:t>
            </w:r>
          </w:p>
        </w:tc>
      </w:tr>
      <w:tr w:rsidR="00000000">
        <w:trPr>
          <w:divId w:val="343438405"/>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divId w:val="1691178051"/>
              <w:rPr>
                <w:rFonts w:eastAsia="Times New Roman"/>
              </w:rPr>
            </w:pPr>
            <w:r>
              <w:rPr>
                <w:rFonts w:eastAsia="Times New Roman"/>
                <w:b/>
                <w:bCs/>
                <w:color w:val="000000"/>
                <w:sz w:val="20"/>
                <w:szCs w:val="20"/>
              </w:rPr>
              <w:t>Generational breakou</w:t>
            </w:r>
            <w:r>
              <w:rPr>
                <w:rFonts w:eastAsia="Times New Roman"/>
                <w:b/>
                <w:bCs/>
                <w:color w:val="000000"/>
                <w:sz w:val="20"/>
                <w:szCs w:val="20"/>
              </w:rPr>
              <w:t>t</w:t>
            </w:r>
            <w:r>
              <w:rPr>
                <w:rFonts w:eastAsia="Times New Roman"/>
                <w:b/>
                <w:bCs/>
                <w:color w:val="000000"/>
                <w:sz w:val="13"/>
                <w:szCs w:val="13"/>
              </w:rPr>
              <w:t>(1</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343438405"/>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Boomers (1945-1964)</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26%</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30%</w:t>
            </w:r>
          </w:p>
        </w:tc>
      </w:tr>
      <w:tr w:rsidR="00000000">
        <w:trPr>
          <w:divId w:val="343438405"/>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Generation X (1965-1980)</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35%</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56%</w:t>
            </w:r>
          </w:p>
        </w:tc>
      </w:tr>
      <w:tr w:rsidR="00000000">
        <w:trPr>
          <w:divId w:val="343438405"/>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Millennials (1981-1996)</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34%</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14%</w:t>
            </w:r>
          </w:p>
        </w:tc>
      </w:tr>
      <w:tr w:rsidR="00000000">
        <w:trPr>
          <w:divId w:val="343438405"/>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Generation Z (after 1996)</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w:t>
            </w:r>
          </w:p>
        </w:tc>
      </w:tr>
    </w:tbl>
    <w:p w:rsidR="00000000" w:rsidRDefault="00AE54EE">
      <w:pPr>
        <w:divId w:val="878014382"/>
        <w:rPr>
          <w:rFonts w:eastAsia="Times New Roman"/>
        </w:rPr>
      </w:pPr>
      <w:r>
        <w:rPr>
          <w:rFonts w:eastAsia="Times New Roman"/>
          <w:color w:val="000000"/>
          <w:sz w:val="16"/>
          <w:szCs w:val="16"/>
        </w:rPr>
        <w:t>_______________</w:t>
      </w:r>
    </w:p>
    <w:p w:rsidR="00000000" w:rsidRDefault="00AE54EE">
      <w:pPr>
        <w:ind w:hanging="360"/>
        <w:divId w:val="317854321"/>
        <w:rPr>
          <w:rFonts w:eastAsia="Times New Roman"/>
        </w:rPr>
      </w:pPr>
      <w:r>
        <w:rPr>
          <w:rFonts w:eastAsia="Times New Roman"/>
          <w:color w:val="000000"/>
          <w:sz w:val="16"/>
          <w:szCs w:val="16"/>
        </w:rPr>
        <w:t xml:space="preserve">(1)Age ranges align with Pew Research Center definitions. “Traditionalists” </w:t>
      </w:r>
      <w:r>
        <w:rPr>
          <w:rFonts w:eastAsia="Times New Roman"/>
          <w:color w:val="000000"/>
          <w:sz w:val="16"/>
          <w:szCs w:val="16"/>
        </w:rPr>
        <w:t xml:space="preserve">represent less than 1 percent of our employee population. </w:t>
      </w:r>
    </w:p>
    <w:p w:rsidR="00000000" w:rsidRDefault="00AE54EE">
      <w:pPr>
        <w:ind w:firstLine="450"/>
        <w:divId w:val="363603450"/>
        <w:rPr>
          <w:rFonts w:eastAsia="Times New Roman"/>
        </w:rPr>
      </w:pPr>
      <w:r>
        <w:rPr>
          <w:rFonts w:eastAsia="Times New Roman"/>
          <w:color w:val="000000"/>
          <w:sz w:val="20"/>
          <w:szCs w:val="20"/>
        </w:rPr>
        <w:t>Additional information regarding our human capital strategy is available in our Diversity, Equity and Inclusion Annual Report that can be found on our company website. Information on our website, including our Diversity, Equity and Inclusion Annual Report,</w:t>
      </w:r>
      <w:r>
        <w:rPr>
          <w:rFonts w:eastAsia="Times New Roman"/>
          <w:color w:val="000000"/>
          <w:sz w:val="20"/>
          <w:szCs w:val="20"/>
        </w:rPr>
        <w:t xml:space="preserve"> is not incorporated by reference into this Report. </w:t>
      </w:r>
    </w:p>
    <w:p w:rsidR="00000000" w:rsidRDefault="00AE54EE">
      <w:pPr>
        <w:divId w:val="2062483855"/>
        <w:rPr>
          <w:rFonts w:eastAsia="Times New Roman"/>
        </w:rPr>
      </w:pPr>
      <w:r>
        <w:rPr>
          <w:rFonts w:eastAsia="Times New Roman"/>
          <w:b/>
          <w:bCs/>
          <w:color w:val="000000"/>
          <w:sz w:val="20"/>
          <w:szCs w:val="20"/>
        </w:rPr>
        <w:t>Sustainability</w:t>
      </w:r>
    </w:p>
    <w:p w:rsidR="00000000" w:rsidRDefault="00AE54EE">
      <w:pPr>
        <w:ind w:firstLine="450"/>
        <w:divId w:val="1174032939"/>
        <w:rPr>
          <w:rFonts w:eastAsia="Times New Roman"/>
        </w:rPr>
      </w:pPr>
      <w:r>
        <w:rPr>
          <w:rFonts w:eastAsia="Times New Roman"/>
          <w:color w:val="000000"/>
          <w:sz w:val="20"/>
          <w:szCs w:val="20"/>
        </w:rPr>
        <w:t>In 2020, we announced our environmental sustainability goals: to reduce greenhouse gas (“GHG”) emissions by 30% and water usage by 20% from 2019 levels and achieve a 75% solid waste divers</w:t>
      </w:r>
      <w:r>
        <w:rPr>
          <w:rFonts w:eastAsia="Times New Roman"/>
          <w:color w:val="000000"/>
          <w:sz w:val="20"/>
          <w:szCs w:val="20"/>
        </w:rPr>
        <w:t>ion rate (away from landfills) by 2026</w:t>
      </w:r>
      <w:r>
        <w:rPr>
          <w:rFonts w:eastAsia="Times New Roman"/>
          <w:color w:val="3051F2"/>
          <w:sz w:val="20"/>
          <w:szCs w:val="20"/>
        </w:rPr>
        <w:t xml:space="preserve">. </w:t>
      </w:r>
      <w:r>
        <w:rPr>
          <w:rFonts w:eastAsia="Times New Roman"/>
          <w:color w:val="000000"/>
          <w:sz w:val="20"/>
          <w:szCs w:val="20"/>
        </w:rPr>
        <w:t xml:space="preserve">We are investing in renewable energy, including entering into virtual power purchase agreements, and other solutions to achieve our GHG reduction target and other environmental sustainability goals. We are committed </w:t>
      </w:r>
      <w:r>
        <w:rPr>
          <w:rFonts w:eastAsia="Times New Roman"/>
          <w:color w:val="000000"/>
          <w:sz w:val="20"/>
          <w:szCs w:val="20"/>
        </w:rPr>
        <w:t xml:space="preserve">to climate and environmental sustainability and have a comprehensive environmental sustainability program that seeks to mitigate our impact on the environment, with a focus on continually reducing carbon emissions. </w:t>
      </w:r>
    </w:p>
    <w:p w:rsidR="00000000" w:rsidRDefault="00AE54EE">
      <w:pPr>
        <w:divId w:val="1579249728"/>
        <w:rPr>
          <w:rFonts w:eastAsia="Times New Roman"/>
        </w:rPr>
      </w:pPr>
      <w:r>
        <w:rPr>
          <w:rFonts w:eastAsia="Times New Roman"/>
          <w:b/>
          <w:bCs/>
          <w:color w:val="000000"/>
          <w:sz w:val="20"/>
          <w:szCs w:val="20"/>
        </w:rPr>
        <w:t>Website Access to L3Harris Reports; Avai</w:t>
      </w:r>
      <w:r>
        <w:rPr>
          <w:rFonts w:eastAsia="Times New Roman"/>
          <w:b/>
          <w:bCs/>
          <w:color w:val="000000"/>
          <w:sz w:val="20"/>
          <w:szCs w:val="20"/>
        </w:rPr>
        <w:t>lable Information</w:t>
      </w:r>
    </w:p>
    <w:p w:rsidR="00000000" w:rsidRDefault="00AE54EE">
      <w:pPr>
        <w:ind w:firstLine="450"/>
        <w:divId w:val="2008820403"/>
        <w:rPr>
          <w:rFonts w:eastAsia="Times New Roman"/>
        </w:rPr>
      </w:pPr>
      <w:r>
        <w:rPr>
          <w:rFonts w:eastAsia="Times New Roman"/>
          <w:b/>
          <w:bCs/>
          <w:i/>
          <w:iCs/>
          <w:color w:val="000000"/>
          <w:sz w:val="20"/>
          <w:szCs w:val="20"/>
        </w:rPr>
        <w:t>General.</w:t>
      </w:r>
      <w:r>
        <w:rPr>
          <w:rFonts w:eastAsia="Times New Roman"/>
          <w:i/>
          <w:iCs/>
          <w:color w:val="000000"/>
          <w:sz w:val="20"/>
          <w:szCs w:val="20"/>
        </w:rPr>
        <w:t xml:space="preserve"> </w:t>
      </w:r>
      <w:r>
        <w:rPr>
          <w:rFonts w:eastAsia="Times New Roman"/>
          <w:color w:val="000000"/>
          <w:sz w:val="20"/>
          <w:szCs w:val="20"/>
        </w:rPr>
        <w:t xml:space="preserve">We maintain an Internet website at </w:t>
      </w:r>
      <w:r>
        <w:rPr>
          <w:rFonts w:eastAsia="Times New Roman"/>
          <w:i/>
          <w:iCs/>
          <w:color w:val="000000"/>
          <w:sz w:val="20"/>
          <w:szCs w:val="20"/>
        </w:rPr>
        <w:t>https://www.l3harris.com</w:t>
      </w:r>
      <w:r>
        <w:rPr>
          <w:rFonts w:eastAsia="Times New Roman"/>
          <w:color w:val="000000"/>
          <w:sz w:val="20"/>
          <w:szCs w:val="20"/>
        </w:rPr>
        <w:t>. We file annual reports on Form 10-K, quarterly reports on Form 10-Q, proxy statements, current reports on Form 8-K and amendments to such reports, with the U.S. Securit</w:t>
      </w:r>
      <w:r>
        <w:rPr>
          <w:rFonts w:eastAsia="Times New Roman"/>
          <w:color w:val="000000"/>
          <w:sz w:val="20"/>
          <w:szCs w:val="20"/>
        </w:rPr>
        <w:t>ies and Exchange Commission (“SEC”). These filings, are available free of charge on our website as soon as reasonably practicable after these reports are electronically filed with or furnished to the SEC. We also will provide the reports in electronic or p</w:t>
      </w:r>
      <w:r>
        <w:rPr>
          <w:rFonts w:eastAsia="Times New Roman"/>
          <w:color w:val="000000"/>
          <w:sz w:val="20"/>
          <w:szCs w:val="20"/>
        </w:rPr>
        <w:t>aper form free of charge upon request to our Secretary at L3Harris Technologies, Inc., 1025 West NASA Boulevard, Melbourne, Florida 32919. We also make available free of charge on our website our annual report to shareholders and proxy statement. Our websi</w:t>
      </w:r>
      <w:r>
        <w:rPr>
          <w:rFonts w:eastAsia="Times New Roman"/>
          <w:color w:val="000000"/>
          <w:sz w:val="20"/>
          <w:szCs w:val="20"/>
        </w:rPr>
        <w:t>te and the information posted thereon are not incorporated into this Report or any current or other periodic report that we file with or furnish to the SEC. The SEC maintains an internet site that contains reports, proxy and information statements and othe</w:t>
      </w:r>
      <w:r>
        <w:rPr>
          <w:rFonts w:eastAsia="Times New Roman"/>
          <w:color w:val="000000"/>
          <w:sz w:val="20"/>
          <w:szCs w:val="20"/>
        </w:rPr>
        <w:t xml:space="preserve">r information regarding issuers that file electronically with the SEC at </w:t>
      </w:r>
      <w:r>
        <w:rPr>
          <w:rFonts w:eastAsia="Times New Roman"/>
          <w:i/>
          <w:iCs/>
          <w:color w:val="000000"/>
          <w:sz w:val="20"/>
          <w:szCs w:val="20"/>
        </w:rPr>
        <w:t>https://www.sec.gov</w:t>
      </w:r>
      <w:r>
        <w:rPr>
          <w:rFonts w:eastAsia="Times New Roman"/>
          <w:color w:val="000000"/>
          <w:sz w:val="20"/>
          <w:szCs w:val="20"/>
        </w:rPr>
        <w:t>, and reports we file with or furnish to the SEC are available free of charge at this internet site.</w:t>
      </w:r>
    </w:p>
    <w:p w:rsidR="00000000" w:rsidRDefault="00AE54EE">
      <w:pPr>
        <w:ind w:firstLine="450"/>
        <w:divId w:val="572400217"/>
        <w:rPr>
          <w:rFonts w:eastAsia="Times New Roman"/>
        </w:rPr>
      </w:pPr>
      <w:r>
        <w:rPr>
          <w:rFonts w:eastAsia="Times New Roman"/>
          <w:color w:val="000000"/>
          <w:sz w:val="20"/>
          <w:szCs w:val="20"/>
        </w:rPr>
        <w:t xml:space="preserve">Additional information relating to our business, including our </w:t>
      </w:r>
      <w:r>
        <w:rPr>
          <w:rFonts w:eastAsia="Times New Roman"/>
          <w:color w:val="000000"/>
          <w:sz w:val="20"/>
          <w:szCs w:val="20"/>
        </w:rPr>
        <w:t>business segments, is set forth in “Item 7. Management’s Discussion and Analysis of Financial Condition and Results of Operations” of this Report.</w:t>
      </w:r>
    </w:p>
    <w:p w:rsidR="00000000" w:rsidRDefault="00AE54EE">
      <w:pPr>
        <w:ind w:firstLine="450"/>
        <w:divId w:val="1414357296"/>
        <w:rPr>
          <w:rFonts w:eastAsia="Times New Roman"/>
        </w:rPr>
      </w:pPr>
      <w:r>
        <w:rPr>
          <w:rFonts w:eastAsia="Times New Roman"/>
          <w:b/>
          <w:bCs/>
          <w:i/>
          <w:iCs/>
          <w:color w:val="000000"/>
          <w:sz w:val="20"/>
          <w:szCs w:val="20"/>
        </w:rPr>
        <w:t>Corporate Governance Guidelines and Committee Charters.</w:t>
      </w:r>
      <w:r>
        <w:rPr>
          <w:rFonts w:eastAsia="Times New Roman"/>
          <w:i/>
          <w:iCs/>
          <w:color w:val="000000"/>
          <w:sz w:val="20"/>
          <w:szCs w:val="20"/>
        </w:rPr>
        <w:t xml:space="preserve"> </w:t>
      </w:r>
      <w:r>
        <w:rPr>
          <w:rFonts w:eastAsia="Times New Roman"/>
          <w:color w:val="000000"/>
          <w:sz w:val="20"/>
          <w:szCs w:val="20"/>
        </w:rPr>
        <w:t>We previously adopted Corporate Governance Guidelines</w:t>
      </w:r>
      <w:r>
        <w:rPr>
          <w:rFonts w:eastAsia="Times New Roman"/>
          <w:color w:val="000000"/>
          <w:sz w:val="20"/>
          <w:szCs w:val="20"/>
        </w:rPr>
        <w:t xml:space="preserve">, which are available on the Corporate Governance section of our website at </w:t>
      </w:r>
      <w:r>
        <w:rPr>
          <w:rFonts w:eastAsia="Times New Roman"/>
          <w:i/>
          <w:iCs/>
          <w:color w:val="000000"/>
          <w:sz w:val="20"/>
          <w:szCs w:val="20"/>
        </w:rPr>
        <w:t>https://www.l3harris.com/company/environmental-social-and-governance</w:t>
      </w:r>
      <w:r>
        <w:rPr>
          <w:rFonts w:eastAsia="Times New Roman"/>
          <w:color w:val="000000"/>
          <w:sz w:val="20"/>
          <w:szCs w:val="20"/>
        </w:rPr>
        <w:t xml:space="preserve">. In addition, the charters of each of the standing committees of our Board of Directors, namely, the Audit </w:t>
      </w:r>
    </w:p>
    <w:p w:rsidR="00000000" w:rsidRDefault="00AE54EE">
      <w:pPr>
        <w:ind w:firstLine="450"/>
        <w:jc w:val="center"/>
        <w:divId w:val="409279087"/>
        <w:rPr>
          <w:rFonts w:eastAsia="Times New Roman"/>
        </w:rPr>
      </w:pPr>
      <w:r>
        <w:rPr>
          <w:rFonts w:eastAsia="Times New Roman"/>
          <w:color w:val="000000"/>
          <w:sz w:val="20"/>
          <w:szCs w:val="20"/>
        </w:rPr>
        <w:t>11</w:t>
      </w:r>
    </w:p>
    <w:p w:rsidR="00000000" w:rsidRDefault="00AE54EE">
      <w:pPr>
        <w:rPr>
          <w:rFonts w:eastAsia="Times New Roman"/>
        </w:rPr>
      </w:pPr>
      <w:r>
        <w:rPr>
          <w:rFonts w:eastAsia="Times New Roman"/>
        </w:rPr>
        <w:pict>
          <v:rect id="_x0000_i1038" style="width:0;height:1.5pt" o:hralign="center" o:hrstd="t" o:hr="t" fillcolor="#a0a0a0" stroked="f"/>
        </w:pict>
      </w:r>
    </w:p>
    <w:p w:rsidR="00000000" w:rsidRDefault="00AE54EE">
      <w:pPr>
        <w:ind w:firstLine="450"/>
        <w:divId w:val="437871111"/>
        <w:rPr>
          <w:rFonts w:eastAsia="Times New Roman"/>
        </w:rPr>
      </w:pPr>
    </w:p>
    <w:p w:rsidR="00000000" w:rsidRDefault="00AE54EE">
      <w:pPr>
        <w:divId w:val="208348042"/>
        <w:rPr>
          <w:rFonts w:eastAsia="Times New Roman"/>
        </w:rPr>
      </w:pPr>
      <w:r>
        <w:rPr>
          <w:rFonts w:eastAsia="Times New Roman"/>
          <w:color w:val="000000"/>
          <w:sz w:val="20"/>
          <w:szCs w:val="20"/>
        </w:rPr>
        <w:t>Committee, Compensation Committee, Finance Committee, Innovation and Cyber Committee and Nominating and Governance Committee, are also available on the Corporate Governance section of our website. A copy of the charter</w:t>
      </w:r>
      <w:r>
        <w:rPr>
          <w:rFonts w:eastAsia="Times New Roman"/>
          <w:color w:val="000000"/>
          <w:sz w:val="20"/>
          <w:szCs w:val="20"/>
        </w:rPr>
        <w:t>s is also available free of charge upon written request to our Secretary at L3Harris Technologies, Inc., 1025 West NASA Boulevard, Melbourne, Florida 32919.</w:t>
      </w:r>
    </w:p>
    <w:p w:rsidR="00000000" w:rsidRDefault="00AE54EE">
      <w:pPr>
        <w:ind w:firstLine="450"/>
        <w:divId w:val="1686665960"/>
        <w:rPr>
          <w:rFonts w:eastAsia="Times New Roman"/>
        </w:rPr>
      </w:pPr>
      <w:r>
        <w:rPr>
          <w:rFonts w:eastAsia="Times New Roman"/>
          <w:b/>
          <w:bCs/>
          <w:i/>
          <w:iCs/>
          <w:color w:val="000000"/>
          <w:sz w:val="20"/>
          <w:szCs w:val="20"/>
        </w:rPr>
        <w:t>Certifications.</w:t>
      </w:r>
      <w:r>
        <w:rPr>
          <w:rFonts w:eastAsia="Times New Roman"/>
          <w:i/>
          <w:iCs/>
          <w:color w:val="000000"/>
          <w:sz w:val="20"/>
          <w:szCs w:val="20"/>
        </w:rPr>
        <w:t xml:space="preserve"> </w:t>
      </w:r>
      <w:r>
        <w:rPr>
          <w:rFonts w:eastAsia="Times New Roman"/>
          <w:color w:val="000000"/>
          <w:sz w:val="20"/>
          <w:szCs w:val="20"/>
        </w:rPr>
        <w:t>We have filed with the SEC the certifications required by Section 302 of the Sarban</w:t>
      </w:r>
      <w:r>
        <w:rPr>
          <w:rFonts w:eastAsia="Times New Roman"/>
          <w:color w:val="000000"/>
          <w:sz w:val="20"/>
          <w:szCs w:val="20"/>
        </w:rPr>
        <w:t>es-Oxley Act of 2002 as exhibits to this Report. In addition, an annual CEO certification was submitted by our Chief Executive Officer to the New York Stock Exchange (“NYSE”) in May 2021 in accordance with the NYSE’s listing standards, which included a cer</w:t>
      </w:r>
      <w:r>
        <w:rPr>
          <w:rFonts w:eastAsia="Times New Roman"/>
          <w:color w:val="000000"/>
          <w:sz w:val="20"/>
          <w:szCs w:val="20"/>
        </w:rPr>
        <w:t>tification that he was not aware of any violation by L3Harris of the NYSE’s corporate governance listing standards.</w:t>
      </w:r>
    </w:p>
    <w:tbl>
      <w:tblPr>
        <w:tblW w:w="1587"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514"/>
        <w:gridCol w:w="36"/>
      </w:tblGrid>
      <w:tr w:rsidR="00000000">
        <w:trPr>
          <w:divId w:val="354310710"/>
        </w:trPr>
        <w:tc>
          <w:tcPr>
            <w:tcW w:w="50" w:type="pct"/>
            <w:vAlign w:val="center"/>
            <w:hideMark/>
          </w:tcPr>
          <w:p w:rsidR="00000000" w:rsidRDefault="00AE54EE">
            <w:pPr>
              <w:ind w:firstLine="450"/>
              <w:rPr>
                <w:rFonts w:eastAsia="Times New Roman"/>
              </w:rPr>
            </w:pPr>
          </w:p>
        </w:tc>
        <w:tc>
          <w:tcPr>
            <w:tcW w:w="193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95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354310710"/>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1A.</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RISK FACTORS.</w:t>
            </w:r>
          </w:p>
        </w:tc>
      </w:tr>
    </w:tbl>
    <w:p w:rsidR="00000000" w:rsidRDefault="00AE54EE">
      <w:pPr>
        <w:ind w:firstLine="450"/>
        <w:divId w:val="1850294636"/>
        <w:rPr>
          <w:rFonts w:eastAsia="Times New Roman"/>
        </w:rPr>
      </w:pPr>
      <w:r>
        <w:rPr>
          <w:rFonts w:eastAsia="Times New Roman"/>
          <w:color w:val="000000"/>
          <w:sz w:val="20"/>
          <w:szCs w:val="20"/>
        </w:rPr>
        <w:t>We have described many of the trends and other factors that we believe could impact our business and future results in “Item 7. Management’s Discussion and Analysis of Financial Condition and Results of Operations” of this Report. In addition, our business</w:t>
      </w:r>
      <w:r>
        <w:rPr>
          <w:rFonts w:eastAsia="Times New Roman"/>
          <w:color w:val="000000"/>
          <w:sz w:val="20"/>
          <w:szCs w:val="20"/>
        </w:rPr>
        <w:t>, financial condition, results of operations, cash flows and equity are subject to, and could be materially adversely affected by, various risks and uncertainties, including, without limitation, those set forth below, any one of which could cause our actua</w:t>
      </w:r>
      <w:r>
        <w:rPr>
          <w:rFonts w:eastAsia="Times New Roman"/>
          <w:color w:val="000000"/>
          <w:sz w:val="20"/>
          <w:szCs w:val="20"/>
        </w:rPr>
        <w:t>l results to vary materially from recent results or our anticipated future results.</w:t>
      </w:r>
    </w:p>
    <w:p w:rsidR="00000000" w:rsidRDefault="00AE54EE">
      <w:pPr>
        <w:divId w:val="1790472611"/>
        <w:rPr>
          <w:rFonts w:eastAsia="Times New Roman"/>
        </w:rPr>
      </w:pPr>
      <w:r>
        <w:rPr>
          <w:rFonts w:eastAsia="Times New Roman"/>
          <w:b/>
          <w:bCs/>
          <w:color w:val="000000"/>
          <w:sz w:val="20"/>
          <w:szCs w:val="20"/>
        </w:rPr>
        <w:t>COVID-Related Risks</w:t>
      </w:r>
    </w:p>
    <w:p w:rsidR="00000000" w:rsidRDefault="00AE54EE">
      <w:pPr>
        <w:divId w:val="360126981"/>
        <w:rPr>
          <w:rFonts w:eastAsia="Times New Roman"/>
        </w:rPr>
      </w:pPr>
      <w:r>
        <w:rPr>
          <w:rFonts w:eastAsia="Times New Roman"/>
          <w:b/>
          <w:bCs/>
          <w:i/>
          <w:iCs/>
          <w:color w:val="000000"/>
          <w:sz w:val="20"/>
          <w:szCs w:val="20"/>
        </w:rPr>
        <w:t>The effects of COVID could have a material adverse effect on our business operations, financial condition, results of operations, cash flows and equity.</w:t>
      </w:r>
    </w:p>
    <w:p w:rsidR="00000000" w:rsidRDefault="00AE54EE">
      <w:pPr>
        <w:ind w:firstLine="450"/>
        <w:divId w:val="931938725"/>
        <w:rPr>
          <w:rFonts w:eastAsia="Times New Roman"/>
        </w:rPr>
      </w:pPr>
      <w:r>
        <w:rPr>
          <w:rFonts w:eastAsia="Times New Roman"/>
          <w:color w:val="000000"/>
          <w:sz w:val="20"/>
          <w:szCs w:val="20"/>
        </w:rPr>
        <w:t>The COVID pandemic and the emergence and spread of more transmissible variants, and ongoing attempts to contain and reduce its spread, such as mandatory closures, “shelter-in-place” orders, vaccine programs and mandates and travel and quarantine restricti</w:t>
      </w:r>
      <w:r>
        <w:rPr>
          <w:rFonts w:eastAsia="Times New Roman"/>
          <w:color w:val="000000"/>
          <w:sz w:val="20"/>
          <w:szCs w:val="20"/>
        </w:rPr>
        <w:t>ons, have caused significant volatility, uncertainty, disruption and other adverse effects on the U.S. and global economies, including impacts to supply chains, customer demand, workforce, international trade and capital markets. These effects have adverse</w:t>
      </w:r>
      <w:r>
        <w:rPr>
          <w:rFonts w:eastAsia="Times New Roman"/>
          <w:color w:val="000000"/>
          <w:sz w:val="20"/>
          <w:szCs w:val="20"/>
        </w:rPr>
        <w:t>ly affected certain of our business operations, may further adversely affect our business operations and may materially and adversely affect our financial condition, results of operations, cash flows and equity.</w:t>
      </w:r>
    </w:p>
    <w:p w:rsidR="00000000" w:rsidRDefault="00AE54EE">
      <w:pPr>
        <w:ind w:firstLine="450"/>
        <w:divId w:val="2091148657"/>
        <w:rPr>
          <w:rFonts w:eastAsia="Times New Roman"/>
        </w:rPr>
      </w:pPr>
      <w:r>
        <w:rPr>
          <w:rFonts w:eastAsia="Times New Roman"/>
          <w:color w:val="000000"/>
          <w:sz w:val="20"/>
          <w:szCs w:val="20"/>
        </w:rPr>
        <w:t>Our response to COVID and related impacts ha</w:t>
      </w:r>
      <w:r>
        <w:rPr>
          <w:rFonts w:eastAsia="Times New Roman"/>
          <w:color w:val="000000"/>
          <w:sz w:val="20"/>
          <w:szCs w:val="20"/>
        </w:rPr>
        <w:t>s involved increasing our focus on keeping our employees safe while striving to maintain continuity of operations, meet customer commitments and support suppliers. For example, we instituted numerous types of precautions, protocols and other arrangements d</w:t>
      </w:r>
      <w:r>
        <w:rPr>
          <w:rFonts w:eastAsia="Times New Roman"/>
          <w:color w:val="000000"/>
          <w:sz w:val="20"/>
          <w:szCs w:val="20"/>
        </w:rPr>
        <w:t>esigned to protect employees from COVID infections and to comply with applicable regulations, and we have also maintained an active dialog, and in some cases developed plans, with key suppliers in an effort to mitigate supply chain risks or otherwise minim</w:t>
      </w:r>
      <w:r>
        <w:rPr>
          <w:rFonts w:eastAsia="Times New Roman"/>
          <w:color w:val="000000"/>
          <w:sz w:val="20"/>
          <w:szCs w:val="20"/>
        </w:rPr>
        <w:t>ize the potential impact from those risks. On September 9, 2021, President Biden issued an executive order mandating U.S.-based government contractor employees to be fully vaccinated against COVID unless a religious or medical exemption applies. We took st</w:t>
      </w:r>
      <w:r>
        <w:rPr>
          <w:rFonts w:eastAsia="Times New Roman"/>
          <w:color w:val="000000"/>
          <w:sz w:val="20"/>
          <w:szCs w:val="20"/>
        </w:rPr>
        <w:t xml:space="preserve">eps to comply with the executive order until it was enjoined by a federal court in December 2021. If the executive order is reinstated on appeal, or new mandates are implemented, it is uncertain to what extent compliance with any such vaccine mandates may </w:t>
      </w:r>
      <w:r>
        <w:rPr>
          <w:rFonts w:eastAsia="Times New Roman"/>
          <w:color w:val="000000"/>
          <w:sz w:val="20"/>
          <w:szCs w:val="20"/>
        </w:rPr>
        <w:t>result in adverse impacts, such as employee attrition for us or our subcontractors, or reduced morale or efficiency. The U.S. Government response to COVID also has included identifying the Defense Industrial Base as a Critical Infrastructure Sector and enh</w:t>
      </w:r>
      <w:r>
        <w:rPr>
          <w:rFonts w:eastAsia="Times New Roman"/>
          <w:color w:val="000000"/>
          <w:sz w:val="20"/>
          <w:szCs w:val="20"/>
        </w:rPr>
        <w:t>ancing cash flow and liquidity for the Defense Industrial Base, such as by increasing progress payments and accelerating contract awards, which enabled us to keep our U.S. production facilities largely operational in support of national security commitment</w:t>
      </w:r>
      <w:r>
        <w:rPr>
          <w:rFonts w:eastAsia="Times New Roman"/>
          <w:color w:val="000000"/>
          <w:sz w:val="20"/>
          <w:szCs w:val="20"/>
        </w:rPr>
        <w:t>s to U.S. Government customers (as part of the Defense Industrial Base) and to accelerate payments to small business suppliers, which we expect to continue while the U.S. Government’s responsive actions remain in effect.</w:t>
      </w:r>
    </w:p>
    <w:p w:rsidR="00000000" w:rsidRDefault="00AE54EE">
      <w:pPr>
        <w:ind w:firstLine="450"/>
        <w:divId w:val="1473139886"/>
        <w:rPr>
          <w:rFonts w:eastAsia="Times New Roman"/>
        </w:rPr>
      </w:pPr>
      <w:r>
        <w:rPr>
          <w:rFonts w:eastAsia="Times New Roman"/>
          <w:color w:val="000000"/>
          <w:sz w:val="20"/>
          <w:szCs w:val="20"/>
        </w:rPr>
        <w:t>Although we believe that a large pe</w:t>
      </w:r>
      <w:r>
        <w:rPr>
          <w:rFonts w:eastAsia="Times New Roman"/>
          <w:color w:val="000000"/>
          <w:sz w:val="20"/>
          <w:szCs w:val="20"/>
        </w:rPr>
        <w:t>rcentage of our revenue, earnings and cash flow that is derived from sales to the U.S. Government, both directly and through prime contractors, will be relatively predictable, in part due to the U.S. Government’s responsive actions described above, our com</w:t>
      </w:r>
      <w:r>
        <w:rPr>
          <w:rFonts w:eastAsia="Times New Roman"/>
          <w:color w:val="000000"/>
          <w:sz w:val="20"/>
          <w:szCs w:val="20"/>
        </w:rPr>
        <w:t xml:space="preserve">mercial and international businesses have experienced adverse COVID-related impacts and remain at a higher risk of further adverse COVID-related impacts, and we cannot eliminate all potential impacts to our business from supply chain risks, such as longer </w:t>
      </w:r>
      <w:r>
        <w:rPr>
          <w:rFonts w:eastAsia="Times New Roman"/>
          <w:color w:val="000000"/>
          <w:sz w:val="20"/>
          <w:szCs w:val="20"/>
        </w:rPr>
        <w:t>lead times and shortages of electronics and other components used in our products. For example, the severe decline in global air traffic from travel restrictions and the resulting downturn in the commercial aviation market and its impact on customer operat</w:t>
      </w:r>
      <w:r>
        <w:rPr>
          <w:rFonts w:eastAsia="Times New Roman"/>
          <w:color w:val="000000"/>
          <w:sz w:val="20"/>
          <w:szCs w:val="20"/>
        </w:rPr>
        <w:t>ions has significantly reduced demand for flight training, flight simulators and commercial avionics products in our Aviation Systems segment’s Commercial Aviation Solutions sector. Another example of the effects of supply chain disruption that we have exp</w:t>
      </w:r>
      <w:r>
        <w:rPr>
          <w:rFonts w:eastAsia="Times New Roman"/>
          <w:color w:val="000000"/>
          <w:sz w:val="20"/>
          <w:szCs w:val="20"/>
        </w:rPr>
        <w:t>erienced is that revenue, operating income and orders in our Communication Systems segment have been, and we expect will continue to be, adversely impacted by supply chain-related constraints.</w:t>
      </w:r>
    </w:p>
    <w:p w:rsidR="00000000" w:rsidRDefault="00AE54EE">
      <w:pPr>
        <w:ind w:firstLine="450"/>
        <w:divId w:val="765465413"/>
        <w:rPr>
          <w:rFonts w:eastAsia="Times New Roman"/>
        </w:rPr>
      </w:pPr>
      <w:r>
        <w:rPr>
          <w:rFonts w:eastAsia="Times New Roman"/>
          <w:color w:val="000000"/>
          <w:sz w:val="20"/>
          <w:szCs w:val="20"/>
        </w:rPr>
        <w:t>We continue to closely monitor COVID-related impacts on all asp</w:t>
      </w:r>
      <w:r>
        <w:rPr>
          <w:rFonts w:eastAsia="Times New Roman"/>
          <w:color w:val="000000"/>
          <w:sz w:val="20"/>
          <w:szCs w:val="20"/>
        </w:rPr>
        <w:t>ects of our business and geographies, including on our workforce, supply chain and customers. We may restrict operations of our facilities if we deem it necessary or if recommended or mandated by governmental authorities, and we may experience volatility i</w:t>
      </w:r>
      <w:r>
        <w:rPr>
          <w:rFonts w:eastAsia="Times New Roman"/>
          <w:color w:val="000000"/>
          <w:sz w:val="20"/>
          <w:szCs w:val="20"/>
        </w:rPr>
        <w:t xml:space="preserve">n the overall demand environment for our products, systems and services or impacts to our business from supply chain risks, any of which would have a further adverse impact on us. </w:t>
      </w:r>
    </w:p>
    <w:p w:rsidR="00000000" w:rsidRDefault="00AE54EE">
      <w:pPr>
        <w:ind w:firstLine="450"/>
        <w:jc w:val="center"/>
        <w:divId w:val="980577117"/>
        <w:rPr>
          <w:rFonts w:eastAsia="Times New Roman"/>
        </w:rPr>
      </w:pPr>
      <w:r>
        <w:rPr>
          <w:rFonts w:eastAsia="Times New Roman"/>
          <w:color w:val="000000"/>
          <w:sz w:val="20"/>
          <w:szCs w:val="20"/>
        </w:rPr>
        <w:t>12</w:t>
      </w:r>
    </w:p>
    <w:p w:rsidR="00000000" w:rsidRDefault="00AE54EE">
      <w:pPr>
        <w:rPr>
          <w:rFonts w:eastAsia="Times New Roman"/>
        </w:rPr>
      </w:pPr>
      <w:r>
        <w:rPr>
          <w:rFonts w:eastAsia="Times New Roman"/>
        </w:rPr>
        <w:pict>
          <v:rect id="_x0000_i1039" style="width:0;height:1.5pt" o:hralign="center" o:hrstd="t" o:hr="t" fillcolor="#a0a0a0" stroked="f"/>
        </w:pict>
      </w:r>
    </w:p>
    <w:p w:rsidR="00000000" w:rsidRDefault="00AE54EE">
      <w:pPr>
        <w:ind w:firstLine="450"/>
        <w:divId w:val="1013218088"/>
        <w:rPr>
          <w:rFonts w:eastAsia="Times New Roman"/>
        </w:rPr>
      </w:pPr>
    </w:p>
    <w:p w:rsidR="00000000" w:rsidRDefault="00AE54EE">
      <w:pPr>
        <w:divId w:val="673191262"/>
        <w:rPr>
          <w:rFonts w:eastAsia="Times New Roman"/>
        </w:rPr>
      </w:pPr>
      <w:r>
        <w:rPr>
          <w:rFonts w:eastAsia="Times New Roman"/>
          <w:color w:val="000000"/>
          <w:sz w:val="20"/>
          <w:szCs w:val="20"/>
        </w:rPr>
        <w:t>Our management’s focus on mitigati</w:t>
      </w:r>
      <w:r>
        <w:rPr>
          <w:rFonts w:eastAsia="Times New Roman"/>
          <w:color w:val="000000"/>
          <w:sz w:val="20"/>
          <w:szCs w:val="20"/>
        </w:rPr>
        <w:t>ng COVID-related impacts has required and may continue to require a large investment of time and resources across our enterprise, which may impact other value-added services or initiatives. Additionally, it remains uncertain on what scale our employees tha</w:t>
      </w:r>
      <w:r>
        <w:rPr>
          <w:rFonts w:eastAsia="Times New Roman"/>
          <w:color w:val="000000"/>
          <w:sz w:val="20"/>
          <w:szCs w:val="20"/>
        </w:rPr>
        <w:t>t are working remotely will return to work in person, and an extended period of remote work arrangements could strain our business continuity plans, create additional operational risk, such as cyber security risks, and impair our ability to manage our busi</w:t>
      </w:r>
      <w:r>
        <w:rPr>
          <w:rFonts w:eastAsia="Times New Roman"/>
          <w:color w:val="000000"/>
          <w:sz w:val="20"/>
          <w:szCs w:val="20"/>
        </w:rPr>
        <w:t>ness. While we see many benefits to remote and hybrid work and have adopted new tools and processes to support the workforce, if we are unable to effectively adapt to a hybrid work environment long term, then we may experience a less cohesive workforce, in</w:t>
      </w:r>
      <w:r>
        <w:rPr>
          <w:rFonts w:eastAsia="Times New Roman"/>
          <w:color w:val="000000"/>
          <w:sz w:val="20"/>
          <w:szCs w:val="20"/>
        </w:rPr>
        <w:t>creased attrition, reduced program performance and less innovation. We may suffer damage to our reputation, which could adversely affect our business, if our responses to COVID-related impacts are unsuccessful or perceived as inadequate for the U.S. or our</w:t>
      </w:r>
      <w:r>
        <w:rPr>
          <w:rFonts w:eastAsia="Times New Roman"/>
          <w:color w:val="000000"/>
          <w:sz w:val="20"/>
          <w:szCs w:val="20"/>
        </w:rPr>
        <w:t xml:space="preserve"> international markets.</w:t>
      </w:r>
    </w:p>
    <w:p w:rsidR="00000000" w:rsidRDefault="00AE54EE">
      <w:pPr>
        <w:ind w:firstLine="450"/>
        <w:divId w:val="1277297968"/>
        <w:rPr>
          <w:rFonts w:eastAsia="Times New Roman"/>
        </w:rPr>
      </w:pPr>
      <w:r>
        <w:rPr>
          <w:rFonts w:eastAsia="Times New Roman"/>
          <w:color w:val="000000"/>
          <w:sz w:val="20"/>
          <w:szCs w:val="20"/>
        </w:rPr>
        <w:t>The manner and extent to which COVID-related disruptions and impacts further affect us, directly and indirectly by affecting our workforce, supply chain and customers, including our ability to perform under U.S. Government and other contracts within agreed</w:t>
      </w:r>
      <w:r>
        <w:rPr>
          <w:rFonts w:eastAsia="Times New Roman"/>
          <w:color w:val="000000"/>
          <w:sz w:val="20"/>
          <w:szCs w:val="20"/>
        </w:rPr>
        <w:t xml:space="preserve"> timeframes and ultimately on our results of operations and cash flows, will depend on numerous evolving factors and future developments, including: the ultimate severity and duration of COVID; the extent, effectiveness and other impacts and consequences o</w:t>
      </w:r>
      <w:r>
        <w:rPr>
          <w:rFonts w:eastAsia="Times New Roman"/>
          <w:color w:val="000000"/>
          <w:sz w:val="20"/>
          <w:szCs w:val="20"/>
        </w:rPr>
        <w:t>f governmental authority containment, mitigation and other actions related to COVID; governmental, business and other actions, which could include closures or other limitations on our or our supply chain’s operations or mandates to provide products, system</w:t>
      </w:r>
      <w:r>
        <w:rPr>
          <w:rFonts w:eastAsia="Times New Roman"/>
          <w:color w:val="000000"/>
          <w:sz w:val="20"/>
          <w:szCs w:val="20"/>
        </w:rPr>
        <w:t>s or services; impacts on economic activity and customer demand, budgets and buying patterns, including global air traffic demand and governmental subsidies to airlines; the health of and the effect on our workforce and our ability to meet staffing needs i</w:t>
      </w:r>
      <w:r>
        <w:rPr>
          <w:rFonts w:eastAsia="Times New Roman"/>
          <w:color w:val="000000"/>
          <w:sz w:val="20"/>
          <w:szCs w:val="20"/>
        </w:rPr>
        <w:t>n our businesses and facilities, particularly if members of our workforce are quarantined as a result of exposure; any impairment in value of our tangible or intangible assets which could be recorded as a result of weaker economic conditions; potential eff</w:t>
      </w:r>
      <w:r>
        <w:rPr>
          <w:rFonts w:eastAsia="Times New Roman"/>
          <w:color w:val="000000"/>
          <w:sz w:val="20"/>
          <w:szCs w:val="20"/>
        </w:rPr>
        <w:t>ects on our internal controls, including those over financial reporting, as a result of changes in working environments, among others; and disruptions or turmoil in the credit or financial markets or impacts on our credit ratings, which could adversely aff</w:t>
      </w:r>
      <w:r>
        <w:rPr>
          <w:rFonts w:eastAsia="Times New Roman"/>
          <w:color w:val="000000"/>
          <w:sz w:val="20"/>
          <w:szCs w:val="20"/>
        </w:rPr>
        <w:t xml:space="preserve">ect our ability to access capital on favorable terms and continue to meet our liquidity needs. </w:t>
      </w:r>
    </w:p>
    <w:p w:rsidR="00000000" w:rsidRDefault="00AE54EE">
      <w:pPr>
        <w:ind w:firstLine="450"/>
        <w:divId w:val="358748656"/>
        <w:rPr>
          <w:rFonts w:eastAsia="Times New Roman"/>
        </w:rPr>
      </w:pPr>
      <w:r>
        <w:rPr>
          <w:rFonts w:eastAsia="Times New Roman"/>
          <w:color w:val="000000"/>
          <w:sz w:val="20"/>
          <w:szCs w:val="20"/>
        </w:rPr>
        <w:t>COVID cases (including the emergence and spread of more transmissible variants) may surge in certain parts of the world, including the U.S. While vaccines for C</w:t>
      </w:r>
      <w:r>
        <w:rPr>
          <w:rFonts w:eastAsia="Times New Roman"/>
          <w:color w:val="000000"/>
          <w:sz w:val="20"/>
          <w:szCs w:val="20"/>
        </w:rPr>
        <w:t>OVID continue to be administered in the U.S. and other countries, the extent and rate of vaccine adoption, the long-term efficacy of these vaccines and other factors remain uncertain. As long as the pandemic continues, our employees will continue to be exp</w:t>
      </w:r>
      <w:r>
        <w:rPr>
          <w:rFonts w:eastAsia="Times New Roman"/>
          <w:color w:val="000000"/>
          <w:sz w:val="20"/>
          <w:szCs w:val="20"/>
        </w:rPr>
        <w:t>osed to health risks, and we could be negatively impacted in the future if a significant number of our employees, or employees who perform critical functions, become ill, quarantine as a result of exposure to COVID or do not comply with applicable vaccinat</w:t>
      </w:r>
      <w:r>
        <w:rPr>
          <w:rFonts w:eastAsia="Times New Roman"/>
          <w:color w:val="000000"/>
          <w:sz w:val="20"/>
          <w:szCs w:val="20"/>
        </w:rPr>
        <w:t>ion programs. As we continue to monitor the situation and public health guidance throughout the world, we may adjust our current policies and practices, and existing and new precautionary measures could negatively affect our operations.</w:t>
      </w:r>
    </w:p>
    <w:p w:rsidR="00000000" w:rsidRDefault="00AE54EE">
      <w:pPr>
        <w:divId w:val="549802991"/>
        <w:rPr>
          <w:rFonts w:eastAsia="Times New Roman"/>
        </w:rPr>
      </w:pPr>
      <w:r>
        <w:rPr>
          <w:rFonts w:eastAsia="Times New Roman"/>
          <w:b/>
          <w:bCs/>
          <w:color w:val="000000"/>
          <w:sz w:val="20"/>
          <w:szCs w:val="20"/>
        </w:rPr>
        <w:t>Macroeconomic, Indu</w:t>
      </w:r>
      <w:r>
        <w:rPr>
          <w:rFonts w:eastAsia="Times New Roman"/>
          <w:b/>
          <w:bCs/>
          <w:color w:val="000000"/>
          <w:sz w:val="20"/>
          <w:szCs w:val="20"/>
        </w:rPr>
        <w:t>stry and Governmental Risks</w:t>
      </w:r>
    </w:p>
    <w:p w:rsidR="00000000" w:rsidRDefault="00AE54EE">
      <w:pPr>
        <w:divId w:val="401761201"/>
        <w:rPr>
          <w:rFonts w:eastAsia="Times New Roman"/>
        </w:rPr>
      </w:pPr>
      <w:r>
        <w:rPr>
          <w:rFonts w:eastAsia="Times New Roman"/>
          <w:b/>
          <w:bCs/>
          <w:i/>
          <w:iCs/>
          <w:color w:val="000000"/>
          <w:sz w:val="20"/>
          <w:szCs w:val="20"/>
        </w:rPr>
        <w:t>We depend on U.S. Government customers for a significant portion of our revenue, and the loss of these relationships, a reduction in U.S. Government funding or a change in U.S. Government spending priorities could have an advers</w:t>
      </w:r>
      <w:r>
        <w:rPr>
          <w:rFonts w:eastAsia="Times New Roman"/>
          <w:b/>
          <w:bCs/>
          <w:i/>
          <w:iCs/>
          <w:color w:val="000000"/>
          <w:sz w:val="20"/>
          <w:szCs w:val="20"/>
        </w:rPr>
        <w:t>e impact on our business, financial condition, results of operations, cash flows and equity.</w:t>
      </w:r>
    </w:p>
    <w:p w:rsidR="00000000" w:rsidRDefault="00AE54EE">
      <w:pPr>
        <w:ind w:firstLine="450"/>
        <w:divId w:val="903176820"/>
        <w:rPr>
          <w:rFonts w:eastAsia="Times New Roman"/>
        </w:rPr>
      </w:pPr>
      <w:r>
        <w:rPr>
          <w:rFonts w:eastAsia="Times New Roman"/>
          <w:color w:val="000000"/>
          <w:sz w:val="20"/>
          <w:szCs w:val="20"/>
        </w:rPr>
        <w:t>We are highly dependent on sales to U.S. Government customers, primarily defense-related programs with the DoD and a broad range of programs with the U.S. Intellig</w:t>
      </w:r>
      <w:r>
        <w:rPr>
          <w:rFonts w:eastAsia="Times New Roman"/>
          <w:color w:val="000000"/>
          <w:sz w:val="20"/>
          <w:szCs w:val="20"/>
        </w:rPr>
        <w:t>ence Community and other U.S. Government departments and agencies. The percentage of our revenue derived from sales to U.S. Government customers, including foreign military sales funded through the U.S. Government, both directly and through prime contracto</w:t>
      </w:r>
      <w:r>
        <w:rPr>
          <w:rFonts w:eastAsia="Times New Roman"/>
          <w:color w:val="000000"/>
          <w:sz w:val="20"/>
          <w:szCs w:val="20"/>
        </w:rPr>
        <w:t>rs, was 75 percent, 78 percent, 73 percent and 77 percent in fiscal 2021, fiscal 2020, the two quarters ended January 3, 2020 and fiscal 2019, respectively. Therefore, any significant disruption or deterioration of our relationship with the U.S. Government</w:t>
      </w:r>
      <w:r>
        <w:rPr>
          <w:rFonts w:eastAsia="Times New Roman"/>
          <w:color w:val="000000"/>
          <w:sz w:val="20"/>
          <w:szCs w:val="20"/>
        </w:rPr>
        <w:t xml:space="preserve"> (in particular, the DoD) would significantly reduce our revenue and have an adverse impact on our business, financial condition, results of operations, cash flows and equity.</w:t>
      </w:r>
    </w:p>
    <w:p w:rsidR="00000000" w:rsidRDefault="00AE54EE">
      <w:pPr>
        <w:ind w:firstLine="450"/>
        <w:divId w:val="669256399"/>
        <w:rPr>
          <w:rFonts w:eastAsia="Times New Roman"/>
        </w:rPr>
      </w:pPr>
      <w:r>
        <w:rPr>
          <w:rFonts w:eastAsia="Times New Roman"/>
          <w:color w:val="000000"/>
          <w:sz w:val="20"/>
          <w:szCs w:val="20"/>
        </w:rPr>
        <w:t xml:space="preserve">We operate in highly competitive markets, and the U.S. Government may choose to </w:t>
      </w:r>
      <w:r>
        <w:rPr>
          <w:rFonts w:eastAsia="Times New Roman"/>
          <w:color w:val="000000"/>
          <w:sz w:val="20"/>
          <w:szCs w:val="20"/>
        </w:rPr>
        <w:t>use contractors other than us, for example as part of competitive bidding processes (through which we expect that a majority of the business we seek will be awarded), or otherwise due to our competitors’ ongoing efforts to expand their business relationshi</w:t>
      </w:r>
      <w:r>
        <w:rPr>
          <w:rFonts w:eastAsia="Times New Roman"/>
          <w:color w:val="000000"/>
          <w:sz w:val="20"/>
          <w:szCs w:val="20"/>
        </w:rPr>
        <w:t>ps with the U.S. Government. The U.S. Government has increasingly relied on certain types of contracts that are subject to multiple competitive bidding processes, including multi-vendor IDIQ, GWAC, General Services Administration Schedule and other multi-a</w:t>
      </w:r>
      <w:r>
        <w:rPr>
          <w:rFonts w:eastAsia="Times New Roman"/>
          <w:color w:val="000000"/>
          <w:sz w:val="20"/>
          <w:szCs w:val="20"/>
        </w:rPr>
        <w:t>ward contracts, which has resulted in greater competition and increased pricing pressure. Some of our competitors have greater financial resources than we do and may have more extensive or more specialized engineering, manufacturing and marketing capabilit</w:t>
      </w:r>
      <w:r>
        <w:rPr>
          <w:rFonts w:eastAsia="Times New Roman"/>
          <w:color w:val="000000"/>
          <w:sz w:val="20"/>
          <w:szCs w:val="20"/>
        </w:rPr>
        <w:t>ies than we do in some areas. We may not be able to continue to win competitively awarded contracts or to obtain task orders under multi-award contracts. Further, competitive bidding processes involve significant cost and managerial time to prepare bids an</w:t>
      </w:r>
      <w:r>
        <w:rPr>
          <w:rFonts w:eastAsia="Times New Roman"/>
          <w:color w:val="000000"/>
          <w:sz w:val="20"/>
          <w:szCs w:val="20"/>
        </w:rPr>
        <w:t>d proposals for contracts that may not be awarded to us or may be split with competitors and the risk that we may fail to accurately estimate the resources and costs required to fulfill any contract awarded to us. The current competitive bidding environmen</w:t>
      </w:r>
      <w:r>
        <w:rPr>
          <w:rFonts w:eastAsia="Times New Roman"/>
          <w:color w:val="000000"/>
          <w:sz w:val="20"/>
          <w:szCs w:val="20"/>
        </w:rPr>
        <w:t>t has resulted in an increase of bid protests from unsuccessful bidders, which typically extends the time until work on a contract can begin and may result in us experiencing significant expense or delay, contract modification or contract rescission as a r</w:t>
      </w:r>
      <w:r>
        <w:rPr>
          <w:rFonts w:eastAsia="Times New Roman"/>
          <w:color w:val="000000"/>
          <w:sz w:val="20"/>
          <w:szCs w:val="20"/>
        </w:rPr>
        <w:t xml:space="preserve">esult of our competitors protesting or challenging contracts awarded to us. </w:t>
      </w:r>
    </w:p>
    <w:p w:rsidR="00000000" w:rsidRDefault="00AE54EE">
      <w:pPr>
        <w:ind w:firstLine="450"/>
        <w:jc w:val="center"/>
        <w:divId w:val="912815298"/>
        <w:rPr>
          <w:rFonts w:eastAsia="Times New Roman"/>
        </w:rPr>
      </w:pPr>
      <w:r>
        <w:rPr>
          <w:rFonts w:eastAsia="Times New Roman"/>
          <w:color w:val="000000"/>
          <w:sz w:val="20"/>
          <w:szCs w:val="20"/>
        </w:rPr>
        <w:t>13</w:t>
      </w:r>
    </w:p>
    <w:p w:rsidR="00000000" w:rsidRDefault="00AE54EE">
      <w:pPr>
        <w:rPr>
          <w:rFonts w:eastAsia="Times New Roman"/>
        </w:rPr>
      </w:pPr>
      <w:r>
        <w:rPr>
          <w:rFonts w:eastAsia="Times New Roman"/>
        </w:rPr>
        <w:pict>
          <v:rect id="_x0000_i1040" style="width:0;height:1.5pt" o:hralign="center" o:hrstd="t" o:hr="t" fillcolor="#a0a0a0" stroked="f"/>
        </w:pict>
      </w:r>
    </w:p>
    <w:p w:rsidR="00000000" w:rsidRDefault="00AE54EE">
      <w:pPr>
        <w:ind w:firstLine="450"/>
        <w:divId w:val="259800708"/>
        <w:rPr>
          <w:rFonts w:eastAsia="Times New Roman"/>
        </w:rPr>
      </w:pPr>
    </w:p>
    <w:p w:rsidR="00000000" w:rsidRDefault="00AE54EE">
      <w:pPr>
        <w:ind w:firstLine="450"/>
        <w:divId w:val="1034160372"/>
        <w:rPr>
          <w:rFonts w:eastAsia="Times New Roman"/>
        </w:rPr>
      </w:pPr>
      <w:r>
        <w:rPr>
          <w:rFonts w:eastAsia="Times New Roman"/>
          <w:color w:val="000000"/>
          <w:sz w:val="20"/>
          <w:szCs w:val="20"/>
        </w:rPr>
        <w:t>Our U.S. Government programs must compete with programs managed by other government contractors and with other policy imperatives for cons</w:t>
      </w:r>
      <w:r>
        <w:rPr>
          <w:rFonts w:eastAsia="Times New Roman"/>
          <w:color w:val="000000"/>
          <w:sz w:val="20"/>
          <w:szCs w:val="20"/>
        </w:rPr>
        <w:t>ideration for limited resources and for uncertain levels of funding during the budget and appropriations process. Budget and appropriations decisions made by the U.S. Government are outside of our control and have long-term consequences for our business. U</w:t>
      </w:r>
      <w:r>
        <w:rPr>
          <w:rFonts w:eastAsia="Times New Roman"/>
          <w:color w:val="000000"/>
          <w:sz w:val="20"/>
          <w:szCs w:val="20"/>
        </w:rPr>
        <w:t>.S. Government spending priorities and levels remain uncertain and difficult to predict and are affected by numerous factors, including sequestration (automatic, across-the-board U.S. Government budgetary spending cuts) and potential alternative funding ar</w:t>
      </w:r>
      <w:r>
        <w:rPr>
          <w:rFonts w:eastAsia="Times New Roman"/>
          <w:color w:val="000000"/>
          <w:sz w:val="20"/>
          <w:szCs w:val="20"/>
        </w:rPr>
        <w:t>rangements. A change in U.S. Government spending priorities or an increase in non-procurement spending at the expense of our programs, or a reduction in total U.S. Government spending, could have material adverse consequences on our current or future busin</w:t>
      </w:r>
      <w:r>
        <w:rPr>
          <w:rFonts w:eastAsia="Times New Roman"/>
          <w:color w:val="000000"/>
          <w:sz w:val="20"/>
          <w:szCs w:val="20"/>
        </w:rPr>
        <w:t>ess. Any inability of the U.S. Government to complete its budget process for any government fiscal year, and consequently having to operate on funding levels equivalent to its prior fiscal year pursuant to a “continuing resolution” or shut down, also could</w:t>
      </w:r>
      <w:r>
        <w:rPr>
          <w:rFonts w:eastAsia="Times New Roman"/>
          <w:color w:val="000000"/>
          <w:sz w:val="20"/>
          <w:szCs w:val="20"/>
        </w:rPr>
        <w:t xml:space="preserve"> have material adverse consequences on our current or future business. For more information see “Item 7. Management’s Discussion and Analysis of Financial Condition and Results of Operations - Business Considerations - Industry-Wide Opportunities, Challeng</w:t>
      </w:r>
      <w:r>
        <w:rPr>
          <w:rFonts w:eastAsia="Times New Roman"/>
          <w:color w:val="000000"/>
          <w:sz w:val="20"/>
          <w:szCs w:val="20"/>
        </w:rPr>
        <w:t>es and Risks” of this Report.</w:t>
      </w:r>
    </w:p>
    <w:p w:rsidR="00000000" w:rsidRDefault="00AE54EE">
      <w:pPr>
        <w:divId w:val="177935982"/>
        <w:rPr>
          <w:rFonts w:eastAsia="Times New Roman"/>
        </w:rPr>
      </w:pPr>
      <w:r>
        <w:rPr>
          <w:rFonts w:eastAsia="Times New Roman"/>
          <w:b/>
          <w:bCs/>
          <w:i/>
          <w:iCs/>
          <w:color w:val="000000"/>
          <w:sz w:val="20"/>
          <w:szCs w:val="20"/>
        </w:rPr>
        <w:t>We depend significantly on U.S. Government contracts, which often are only partially funded, subject to immediate termination, and heavily regulated and audited. The termination or failure to fund, or negative audit findings f</w:t>
      </w:r>
      <w:r>
        <w:rPr>
          <w:rFonts w:eastAsia="Times New Roman"/>
          <w:b/>
          <w:bCs/>
          <w:i/>
          <w:iCs/>
          <w:color w:val="000000"/>
          <w:sz w:val="20"/>
          <w:szCs w:val="20"/>
        </w:rPr>
        <w:t>or, one or more of these contracts could have an adverse impact on our business, financial condition, results of operations, cash flows and equity.</w:t>
      </w:r>
    </w:p>
    <w:p w:rsidR="00000000" w:rsidRDefault="00AE54EE">
      <w:pPr>
        <w:ind w:firstLine="450"/>
        <w:divId w:val="275335393"/>
        <w:rPr>
          <w:rFonts w:eastAsia="Times New Roman"/>
        </w:rPr>
      </w:pPr>
      <w:r>
        <w:rPr>
          <w:rFonts w:eastAsia="Times New Roman"/>
          <w:color w:val="000000"/>
          <w:sz w:val="20"/>
          <w:szCs w:val="20"/>
        </w:rPr>
        <w:t>A U.S. Government program may be implemented by the award of many different individual contracts and subcont</w:t>
      </w:r>
      <w:r>
        <w:rPr>
          <w:rFonts w:eastAsia="Times New Roman"/>
          <w:color w:val="000000"/>
          <w:sz w:val="20"/>
          <w:szCs w:val="20"/>
        </w:rPr>
        <w:t>racts over its lifetime, and its funding is subject to Congressional appropriations, which have been affected by larger U.S. Government budgetary issues and related legislation in recent years. Although multi-year contracts may be authorized and appropriat</w:t>
      </w:r>
      <w:r>
        <w:rPr>
          <w:rFonts w:eastAsia="Times New Roman"/>
          <w:color w:val="000000"/>
          <w:sz w:val="20"/>
          <w:szCs w:val="20"/>
        </w:rPr>
        <w:t>ed in connection with major procurements, Congress generally appropriates funds on a government fiscal year basis. Procurement funds are typically made available for obligation over the course of one to three years. Consequently, programs often initially r</w:t>
      </w:r>
      <w:r>
        <w:rPr>
          <w:rFonts w:eastAsia="Times New Roman"/>
          <w:color w:val="000000"/>
          <w:sz w:val="20"/>
          <w:szCs w:val="20"/>
        </w:rPr>
        <w:t>eceive only partial funding, and additional funds are obligated only as Congress authorizes further appropriations. We cannot predict the extent to which total funding and/or funding for individual programs will be included, increased or reduced as part of</w:t>
      </w:r>
      <w:r>
        <w:rPr>
          <w:rFonts w:eastAsia="Times New Roman"/>
          <w:color w:val="000000"/>
          <w:sz w:val="20"/>
          <w:szCs w:val="20"/>
        </w:rPr>
        <w:t xml:space="preserve"> the annual appropriations process ultimately approved by Congress and the President or in separate supplemental appropriations or continuing resolutions, as applicable. The termination of funding for a U.S. Government program would result in a loss of ant</w:t>
      </w:r>
      <w:r>
        <w:rPr>
          <w:rFonts w:eastAsia="Times New Roman"/>
          <w:color w:val="000000"/>
          <w:sz w:val="20"/>
          <w:szCs w:val="20"/>
        </w:rPr>
        <w:t xml:space="preserve">icipated future revenue attributable to that program, which could have an adverse impact on our operations. In addition, the termination of a program or the failure to commit additional funds to a program that already has been started could result in lost </w:t>
      </w:r>
      <w:r>
        <w:rPr>
          <w:rFonts w:eastAsia="Times New Roman"/>
          <w:color w:val="000000"/>
          <w:sz w:val="20"/>
          <w:szCs w:val="20"/>
        </w:rPr>
        <w:t>revenue and increase our overall costs of doing business.</w:t>
      </w:r>
    </w:p>
    <w:p w:rsidR="00000000" w:rsidRDefault="00AE54EE">
      <w:pPr>
        <w:ind w:firstLine="450"/>
        <w:divId w:val="2104956680"/>
        <w:rPr>
          <w:rFonts w:eastAsia="Times New Roman"/>
        </w:rPr>
      </w:pPr>
      <w:r>
        <w:rPr>
          <w:rFonts w:eastAsia="Times New Roman"/>
          <w:color w:val="000000"/>
          <w:sz w:val="20"/>
          <w:szCs w:val="20"/>
        </w:rPr>
        <w:t>U.S. Government contracts also generally are subject to U.S. Government oversight audits, which could result in adjustments to our contract costs. Any costs found to be improperly allocated to a spe</w:t>
      </w:r>
      <w:r>
        <w:rPr>
          <w:rFonts w:eastAsia="Times New Roman"/>
          <w:color w:val="000000"/>
          <w:sz w:val="20"/>
          <w:szCs w:val="20"/>
        </w:rPr>
        <w:t>cific contract will not be reimbursed, and such costs already reimbursed must be refunded. We have recorded contract revenue based on costs we expect to realize upon final audit. However, we do not know the outcome of any future audits and adjustments, and</w:t>
      </w:r>
      <w:r>
        <w:rPr>
          <w:rFonts w:eastAsia="Times New Roman"/>
          <w:color w:val="000000"/>
          <w:sz w:val="20"/>
          <w:szCs w:val="20"/>
        </w:rPr>
        <w:t xml:space="preserve"> we may be required to materially reduce our revenue or profits upon completion and final negotiation of audits. Negative audit findings could also result in termination of a contract, forfeiture of profits, suspension of payments, fines or suspension or d</w:t>
      </w:r>
      <w:r>
        <w:rPr>
          <w:rFonts w:eastAsia="Times New Roman"/>
          <w:color w:val="000000"/>
          <w:sz w:val="20"/>
          <w:szCs w:val="20"/>
        </w:rPr>
        <w:t>ebarment from U.S. Government contracting or subcontracting for a period of time.</w:t>
      </w:r>
    </w:p>
    <w:p w:rsidR="00000000" w:rsidRDefault="00AE54EE">
      <w:pPr>
        <w:ind w:firstLine="450"/>
        <w:divId w:val="705064855"/>
        <w:rPr>
          <w:rFonts w:eastAsia="Times New Roman"/>
        </w:rPr>
      </w:pPr>
      <w:r>
        <w:rPr>
          <w:rFonts w:eastAsia="Times New Roman"/>
          <w:color w:val="000000"/>
          <w:sz w:val="20"/>
          <w:szCs w:val="20"/>
        </w:rPr>
        <w:t>In addition, U.S. Government contracts generally contain provisions permitting termination, in whole or in part, without prior notice at the U.S. Government’s convenience upo</w:t>
      </w:r>
      <w:r>
        <w:rPr>
          <w:rFonts w:eastAsia="Times New Roman"/>
          <w:color w:val="000000"/>
          <w:sz w:val="20"/>
          <w:szCs w:val="20"/>
        </w:rPr>
        <w:t>n payment only for work done and commitments made at the time of termination. For some contracts, we are a subcontractor and not the prime contractor, and in those arrangements, the U.S. Government could terminate the prime contractor for convenience witho</w:t>
      </w:r>
      <w:r>
        <w:rPr>
          <w:rFonts w:eastAsia="Times New Roman"/>
          <w:color w:val="000000"/>
          <w:sz w:val="20"/>
          <w:szCs w:val="20"/>
        </w:rPr>
        <w:t xml:space="preserve">ut regard for our performance as a subcontractor. We may be unable to procure new contracts to offset revenue or backlog lost as a result of any termination of our U.S. Government contracts. Because a significant portion of our revenue is dependent on our </w:t>
      </w:r>
      <w:r>
        <w:rPr>
          <w:rFonts w:eastAsia="Times New Roman"/>
          <w:color w:val="000000"/>
          <w:sz w:val="20"/>
          <w:szCs w:val="20"/>
        </w:rPr>
        <w:t>performance and payment under our U.S. Government contracts, the loss of one or more large contracts could have a material adverse impact on our business, financial condition, results of operations, cash flows and equity.</w:t>
      </w:r>
    </w:p>
    <w:p w:rsidR="00000000" w:rsidRDefault="00AE54EE">
      <w:pPr>
        <w:ind w:firstLine="450"/>
        <w:divId w:val="520557866"/>
        <w:rPr>
          <w:rFonts w:eastAsia="Times New Roman"/>
        </w:rPr>
      </w:pPr>
      <w:r>
        <w:rPr>
          <w:rFonts w:eastAsia="Times New Roman"/>
          <w:color w:val="000000"/>
          <w:sz w:val="20"/>
          <w:szCs w:val="20"/>
        </w:rPr>
        <w:t xml:space="preserve">Our U.S. Government business also </w:t>
      </w:r>
      <w:r>
        <w:rPr>
          <w:rFonts w:eastAsia="Times New Roman"/>
          <w:color w:val="000000"/>
          <w:sz w:val="20"/>
          <w:szCs w:val="20"/>
        </w:rPr>
        <w:t>is subject to specific procurement regulations and a variety of socioeconomic and other requirements that, although customary in U.S. Government contracts, increase our performance and compliance costs. These costs might increase in the future, thereby red</w:t>
      </w:r>
      <w:r>
        <w:rPr>
          <w:rFonts w:eastAsia="Times New Roman"/>
          <w:color w:val="000000"/>
          <w:sz w:val="20"/>
          <w:szCs w:val="20"/>
        </w:rPr>
        <w:t xml:space="preserve">ucing our margins, which could have an adverse effect on our business, financial condition, results of operations, cash flows and equity. In addition, the U.S. Government has and may continue to implement initiatives focused on efficiencies, affordability </w:t>
      </w:r>
      <w:r>
        <w:rPr>
          <w:rFonts w:eastAsia="Times New Roman"/>
          <w:color w:val="000000"/>
          <w:sz w:val="20"/>
          <w:szCs w:val="20"/>
        </w:rPr>
        <w:t>and cost growth and other changes to its procurement practices. These initiatives and changes to procurement practices may change the way U.S. Government contracts are solicited, negotiated and managed, which may affect whether and how we pursue opportunit</w:t>
      </w:r>
      <w:r>
        <w:rPr>
          <w:rFonts w:eastAsia="Times New Roman"/>
          <w:color w:val="000000"/>
          <w:sz w:val="20"/>
          <w:szCs w:val="20"/>
        </w:rPr>
        <w:t>ies to provide our products and services to the U.S. Government, including the terms and conditions under which we do so, which may have an adverse impact on our business, financial condition, results of operations, cash flows and equity. For example, cont</w:t>
      </w:r>
      <w:r>
        <w:rPr>
          <w:rFonts w:eastAsia="Times New Roman"/>
          <w:color w:val="000000"/>
          <w:sz w:val="20"/>
          <w:szCs w:val="20"/>
        </w:rPr>
        <w:t>racts awarded under the DoD’s Other Transaction Authority for research and prototypes generally require cost-sharing and may not follow, or may follow only in part, standard U.S. Government contracting practices and terms, such as the FAR and Cost Accounti</w:t>
      </w:r>
      <w:r>
        <w:rPr>
          <w:rFonts w:eastAsia="Times New Roman"/>
          <w:color w:val="000000"/>
          <w:sz w:val="20"/>
          <w:szCs w:val="20"/>
        </w:rPr>
        <w:t xml:space="preserve">ng Standards. </w:t>
      </w:r>
    </w:p>
    <w:p w:rsidR="00000000" w:rsidRDefault="00AE54EE">
      <w:pPr>
        <w:ind w:firstLine="450"/>
        <w:jc w:val="center"/>
        <w:divId w:val="1797213862"/>
        <w:rPr>
          <w:rFonts w:eastAsia="Times New Roman"/>
        </w:rPr>
      </w:pPr>
      <w:r>
        <w:rPr>
          <w:rFonts w:eastAsia="Times New Roman"/>
          <w:color w:val="000000"/>
          <w:sz w:val="20"/>
          <w:szCs w:val="20"/>
        </w:rPr>
        <w:t>14</w:t>
      </w:r>
    </w:p>
    <w:p w:rsidR="00000000" w:rsidRDefault="00AE54EE">
      <w:pPr>
        <w:rPr>
          <w:rFonts w:eastAsia="Times New Roman"/>
        </w:rPr>
      </w:pPr>
      <w:r>
        <w:rPr>
          <w:rFonts w:eastAsia="Times New Roman"/>
        </w:rPr>
        <w:pict>
          <v:rect id="_x0000_i1041" style="width:0;height:1.5pt" o:hralign="center" o:hrstd="t" o:hr="t" fillcolor="#a0a0a0" stroked="f"/>
        </w:pict>
      </w:r>
    </w:p>
    <w:p w:rsidR="00000000" w:rsidRDefault="00AE54EE">
      <w:pPr>
        <w:ind w:firstLine="450"/>
        <w:divId w:val="289091086"/>
        <w:rPr>
          <w:rFonts w:eastAsia="Times New Roman"/>
        </w:rPr>
      </w:pPr>
    </w:p>
    <w:p w:rsidR="00000000" w:rsidRDefault="00AE54EE">
      <w:pPr>
        <w:ind w:firstLine="450"/>
        <w:divId w:val="1149058990"/>
        <w:rPr>
          <w:rFonts w:eastAsia="Times New Roman"/>
        </w:rPr>
      </w:pPr>
      <w:r>
        <w:rPr>
          <w:rFonts w:eastAsia="Times New Roman"/>
          <w:color w:val="000000"/>
          <w:sz w:val="20"/>
          <w:szCs w:val="20"/>
        </w:rPr>
        <w:t>Failure to comply with applicable regulations and requirements could lead to fines, penalties, repayments, or compensatory or treble damages, or suspension or debarment from U.S. Government contractin</w:t>
      </w:r>
      <w:r>
        <w:rPr>
          <w:rFonts w:eastAsia="Times New Roman"/>
          <w:color w:val="000000"/>
          <w:sz w:val="20"/>
          <w:szCs w:val="20"/>
        </w:rPr>
        <w:t>g or subcontracting for a period of time. Among the causes for debarment are violations of various laws and regulations, including those related to procurement integrity, export control (including ITAR), U.S. Government security, employment practices, prot</w:t>
      </w:r>
      <w:r>
        <w:rPr>
          <w:rFonts w:eastAsia="Times New Roman"/>
          <w:color w:val="000000"/>
          <w:sz w:val="20"/>
          <w:szCs w:val="20"/>
        </w:rPr>
        <w:t>ection of the environment, accuracy of records, proper recording of costs and foreign corruption. The termination of a U.S. Government contract or relationship as a result of any of these acts would have an adverse impact on our operations and could have a</w:t>
      </w:r>
      <w:r>
        <w:rPr>
          <w:rFonts w:eastAsia="Times New Roman"/>
          <w:color w:val="000000"/>
          <w:sz w:val="20"/>
          <w:szCs w:val="20"/>
        </w:rPr>
        <w:t>n adverse effect on our standing and eligibility for future U.S. Government contracts.</w:t>
      </w:r>
    </w:p>
    <w:p w:rsidR="00000000" w:rsidRDefault="00AE54EE">
      <w:pPr>
        <w:divId w:val="236524397"/>
        <w:rPr>
          <w:rFonts w:eastAsia="Times New Roman"/>
        </w:rPr>
      </w:pPr>
      <w:r>
        <w:rPr>
          <w:rFonts w:eastAsia="Times New Roman"/>
          <w:b/>
          <w:bCs/>
          <w:i/>
          <w:iCs/>
          <w:color w:val="000000"/>
          <w:sz w:val="20"/>
          <w:szCs w:val="20"/>
        </w:rPr>
        <w:t>The U.S. Government’s budget deficit and the national debt, as well as any inability of the U.S. Government to complete its budget process for any government fiscal year</w:t>
      </w:r>
      <w:r>
        <w:rPr>
          <w:rFonts w:eastAsia="Times New Roman"/>
          <w:b/>
          <w:bCs/>
          <w:i/>
          <w:iCs/>
          <w:color w:val="000000"/>
          <w:sz w:val="20"/>
          <w:szCs w:val="20"/>
        </w:rPr>
        <w:t xml:space="preserve"> and consequently having to shut down or operate on funding levels equivalent to its prior fiscal year pursuant to a “continuing resolution,” could have an adverse impact on our business, financial condition, results of operations, cash flows and equity.</w:t>
      </w:r>
    </w:p>
    <w:p w:rsidR="00000000" w:rsidRDefault="00AE54EE">
      <w:pPr>
        <w:ind w:firstLine="450"/>
        <w:divId w:val="1040057654"/>
        <w:rPr>
          <w:rFonts w:eastAsia="Times New Roman"/>
        </w:rPr>
      </w:pPr>
      <w:r>
        <w:rPr>
          <w:rFonts w:eastAsia="Times New Roman"/>
          <w:color w:val="000000"/>
          <w:sz w:val="20"/>
          <w:szCs w:val="20"/>
        </w:rPr>
        <w:t>C</w:t>
      </w:r>
      <w:r>
        <w:rPr>
          <w:rFonts w:eastAsia="Times New Roman"/>
          <w:color w:val="000000"/>
          <w:sz w:val="20"/>
          <w:szCs w:val="20"/>
        </w:rPr>
        <w:t>onsiderable uncertainty exists regarding how future budget and program decisions will unfold, including the defense spending priorities of the U.S. Government, what challenges budget reductions will present for the defense industry and whether annual appro</w:t>
      </w:r>
      <w:r>
        <w:rPr>
          <w:rFonts w:eastAsia="Times New Roman"/>
          <w:color w:val="000000"/>
          <w:sz w:val="20"/>
          <w:szCs w:val="20"/>
        </w:rPr>
        <w:t>priations bills for all agencies will be enacted for U.S. Government fiscal 2022 and thereafter. The U.S. Government’s budget deficit and the national debt could have an adverse impact on our business, financial condition, results of operations, cash flows</w:t>
      </w:r>
      <w:r>
        <w:rPr>
          <w:rFonts w:eastAsia="Times New Roman"/>
          <w:color w:val="000000"/>
          <w:sz w:val="20"/>
          <w:szCs w:val="20"/>
        </w:rPr>
        <w:t xml:space="preserve"> and equity in a number of ways, including the following:</w:t>
      </w:r>
    </w:p>
    <w:p w:rsidR="00000000" w:rsidRDefault="00AE54EE">
      <w:pPr>
        <w:ind w:hanging="360"/>
        <w:divId w:val="2048488088"/>
        <w:rPr>
          <w:rFonts w:eastAsia="Times New Roman"/>
        </w:rPr>
      </w:pPr>
      <w:r>
        <w:rPr>
          <w:rFonts w:eastAsia="Times New Roman"/>
          <w:color w:val="000000"/>
          <w:sz w:val="20"/>
          <w:szCs w:val="20"/>
        </w:rPr>
        <w:t>•The U.S. Government could reduce or delay its spending on, or reprioritize its spending away from, the government programs in which we participate;</w:t>
      </w:r>
    </w:p>
    <w:p w:rsidR="00000000" w:rsidRDefault="00AE54EE">
      <w:pPr>
        <w:ind w:hanging="360"/>
        <w:divId w:val="1846700173"/>
        <w:rPr>
          <w:rFonts w:eastAsia="Times New Roman"/>
        </w:rPr>
      </w:pPr>
      <w:r>
        <w:rPr>
          <w:rFonts w:eastAsia="Times New Roman"/>
          <w:color w:val="000000"/>
          <w:sz w:val="20"/>
          <w:szCs w:val="20"/>
        </w:rPr>
        <w:t>•U.S. Government spending could be impacted by al</w:t>
      </w:r>
      <w:r>
        <w:rPr>
          <w:rFonts w:eastAsia="Times New Roman"/>
          <w:color w:val="000000"/>
          <w:sz w:val="20"/>
          <w:szCs w:val="20"/>
        </w:rPr>
        <w:t>ternate arrangements to sequestration, which increases the uncertainty as to, and the difficulty in predicting, U.S. Government spending priorities and levels; and</w:t>
      </w:r>
    </w:p>
    <w:p w:rsidR="00000000" w:rsidRDefault="00AE54EE">
      <w:pPr>
        <w:ind w:hanging="360"/>
        <w:divId w:val="337346383"/>
        <w:rPr>
          <w:rFonts w:eastAsia="Times New Roman"/>
        </w:rPr>
      </w:pPr>
      <w:r>
        <w:rPr>
          <w:rFonts w:eastAsia="Times New Roman"/>
          <w:color w:val="000000"/>
          <w:sz w:val="20"/>
          <w:szCs w:val="20"/>
        </w:rPr>
        <w:t xml:space="preserve">•We may experience declines in revenue, profitability and cash flows as a result of reduced </w:t>
      </w:r>
      <w:r>
        <w:rPr>
          <w:rFonts w:eastAsia="Times New Roman"/>
          <w:color w:val="000000"/>
          <w:sz w:val="20"/>
          <w:szCs w:val="20"/>
        </w:rPr>
        <w:t>or delayed orders or payments or other factors caused by economic difficulties of our customers and prospective customers, including U.S. Federal, state and local governments.</w:t>
      </w:r>
    </w:p>
    <w:p w:rsidR="00000000" w:rsidRDefault="00AE54EE">
      <w:pPr>
        <w:ind w:firstLine="450"/>
        <w:divId w:val="820346427"/>
        <w:rPr>
          <w:rFonts w:eastAsia="Times New Roman"/>
        </w:rPr>
      </w:pPr>
      <w:r>
        <w:rPr>
          <w:rFonts w:eastAsia="Times New Roman"/>
          <w:color w:val="000000"/>
          <w:sz w:val="20"/>
          <w:szCs w:val="20"/>
        </w:rPr>
        <w:t>Furthermore, we believe continued budget pressures and additional budget pressur</w:t>
      </w:r>
      <w:r>
        <w:rPr>
          <w:rFonts w:eastAsia="Times New Roman"/>
          <w:color w:val="000000"/>
          <w:sz w:val="20"/>
          <w:szCs w:val="20"/>
        </w:rPr>
        <w:t>es from COVID-related impacts could have serious negative consequences for U.S. security and for companies in the defense industrial base and the customers, employees, suppliers, investors and communities that rely on them. Budget and program decisions mad</w:t>
      </w:r>
      <w:r>
        <w:rPr>
          <w:rFonts w:eastAsia="Times New Roman"/>
          <w:color w:val="000000"/>
          <w:sz w:val="20"/>
          <w:szCs w:val="20"/>
        </w:rPr>
        <w:t>e in this environment would have long-term implications for us and the rest of the defense industry.</w:t>
      </w:r>
    </w:p>
    <w:p w:rsidR="00000000" w:rsidRDefault="00AE54EE">
      <w:pPr>
        <w:divId w:val="1293638479"/>
        <w:rPr>
          <w:rFonts w:eastAsia="Times New Roman"/>
        </w:rPr>
      </w:pPr>
      <w:r>
        <w:rPr>
          <w:rFonts w:eastAsia="Times New Roman"/>
          <w:b/>
          <w:bCs/>
          <w:i/>
          <w:iCs/>
          <w:color w:val="000000"/>
          <w:sz w:val="20"/>
          <w:szCs w:val="20"/>
        </w:rPr>
        <w:t>Our results of operations and cash flows are substantially affected by our mix of fixed-price, cost-plus and time-and-material type contracts. In particula</w:t>
      </w:r>
      <w:r>
        <w:rPr>
          <w:rFonts w:eastAsia="Times New Roman"/>
          <w:b/>
          <w:bCs/>
          <w:i/>
          <w:iCs/>
          <w:color w:val="000000"/>
          <w:sz w:val="20"/>
          <w:szCs w:val="20"/>
        </w:rPr>
        <w:t>r, our fixed-price contracts could subject us to losses in the event of cost overruns or a significant increase in inflation.</w:t>
      </w:r>
    </w:p>
    <w:p w:rsidR="00000000" w:rsidRDefault="00AE54EE">
      <w:pPr>
        <w:ind w:firstLine="450"/>
        <w:divId w:val="2020964228"/>
        <w:rPr>
          <w:rFonts w:eastAsia="Times New Roman"/>
        </w:rPr>
      </w:pPr>
      <w:r>
        <w:rPr>
          <w:rFonts w:eastAsia="Times New Roman"/>
          <w:color w:val="000000"/>
          <w:sz w:val="20"/>
          <w:szCs w:val="20"/>
        </w:rPr>
        <w:t xml:space="preserve">We generate revenue through various fixed-price, cost-plus and time-and-material contracts. For a general description of our U.S. </w:t>
      </w:r>
      <w:r>
        <w:rPr>
          <w:rFonts w:eastAsia="Times New Roman"/>
          <w:color w:val="000000"/>
          <w:sz w:val="20"/>
          <w:szCs w:val="20"/>
        </w:rPr>
        <w:t>Government contracts and subcontracts, including a discussion of revenue generated thereunder and of cost-reimbursable versus fixed-price contracts, see “Item 1. Business - Principal Customers; Government Contracts” of this Report. For a description of our</w:t>
      </w:r>
      <w:r>
        <w:rPr>
          <w:rFonts w:eastAsia="Times New Roman"/>
          <w:color w:val="000000"/>
          <w:sz w:val="20"/>
          <w:szCs w:val="20"/>
        </w:rPr>
        <w:t xml:space="preserve"> revenue recognition policies, see “Item 7. Management’s Discussion and Analysis of Financial Conditions and Results of Operations - Critical Accounting Policies and Estimates - Revenue Recognition” of this Report.</w:t>
      </w:r>
    </w:p>
    <w:p w:rsidR="00000000" w:rsidRDefault="00AE54EE">
      <w:pPr>
        <w:ind w:firstLine="450"/>
        <w:divId w:val="714550931"/>
        <w:rPr>
          <w:rFonts w:eastAsia="Times New Roman"/>
        </w:rPr>
      </w:pPr>
      <w:r>
        <w:rPr>
          <w:rFonts w:eastAsia="Times New Roman"/>
          <w:color w:val="000000"/>
          <w:sz w:val="20"/>
          <w:szCs w:val="20"/>
        </w:rPr>
        <w:t>In fiscal 2021, 74 percent of our revenue was derived from fixed-price contracts which allow us to benefit from cost savings, but subject us to the risk of potential cost overruns, including due to greater than anticipated inflation or unexpected delays, p</w:t>
      </w:r>
      <w:r>
        <w:rPr>
          <w:rFonts w:eastAsia="Times New Roman"/>
          <w:color w:val="000000"/>
          <w:sz w:val="20"/>
          <w:szCs w:val="20"/>
        </w:rPr>
        <w:t>articularly for firm fixed-price contracts because we assume all of the cost burden. If our initial estimates are incorrect, we can lose money (or make more or less money than estimated) on these contracts. U.S. Government contracts can expose us to potent</w:t>
      </w:r>
      <w:r>
        <w:rPr>
          <w:rFonts w:eastAsia="Times New Roman"/>
          <w:color w:val="000000"/>
          <w:sz w:val="20"/>
          <w:szCs w:val="20"/>
        </w:rPr>
        <w:t>ially large losses because the U.S. Government can hold us responsible for completing a project or, in certain circumstances, paying the entire cost of its replacement by another provider regardless of the size or foreseeability of any cost overruns that o</w:t>
      </w:r>
      <w:r>
        <w:rPr>
          <w:rFonts w:eastAsia="Times New Roman"/>
          <w:color w:val="000000"/>
          <w:sz w:val="20"/>
          <w:szCs w:val="20"/>
        </w:rPr>
        <w:t xml:space="preserve">ccur over the life of the contract. Because many of these contracts involve new technologies and applications and can last for years, unforeseen events, such as technological difficulties, fluctuations in the price of raw materials, a significant increase </w:t>
      </w:r>
      <w:r>
        <w:rPr>
          <w:rFonts w:eastAsia="Times New Roman"/>
          <w:color w:val="000000"/>
          <w:sz w:val="20"/>
          <w:szCs w:val="20"/>
        </w:rPr>
        <w:t>in inflation, problems with our suppliers and cost overruns, can result in the contractual price becoming less favorable or even unprofitable to us over time. Furthermore, if we do not meet contract deadlines or specifications, we may need to renegotiate c</w:t>
      </w:r>
      <w:r>
        <w:rPr>
          <w:rFonts w:eastAsia="Times New Roman"/>
          <w:color w:val="000000"/>
          <w:sz w:val="20"/>
          <w:szCs w:val="20"/>
        </w:rPr>
        <w:t>ontracts on less favorable terms, be forced to pay penalties or liquidated damages or suffer major losses if the customer exercises its right to terminate. In addition, some of our contracts have provisions relating to cost controls and audit rights, and i</w:t>
      </w:r>
      <w:r>
        <w:rPr>
          <w:rFonts w:eastAsia="Times New Roman"/>
          <w:color w:val="000000"/>
          <w:sz w:val="20"/>
          <w:szCs w:val="20"/>
        </w:rPr>
        <w:t>f we fail to meet the terms specified in those contracts, we may not realize their full benefits. Cost overruns would adversely impact our results of operations, which are dependent on our ability to maximize our earnings from our contracts, and the potent</w:t>
      </w:r>
      <w:r>
        <w:rPr>
          <w:rFonts w:eastAsia="Times New Roman"/>
          <w:color w:val="000000"/>
          <w:sz w:val="20"/>
          <w:szCs w:val="20"/>
        </w:rPr>
        <w:t>ial risk would be greater if our contracts shifted toward a greater percentage of fixed-price contracts, particularly firm fixed-price contracts. In addition, changes in contract financing policy for fixed-price contracts, such as changes in performance an</w:t>
      </w:r>
      <w:r>
        <w:rPr>
          <w:rFonts w:eastAsia="Times New Roman"/>
          <w:color w:val="000000"/>
          <w:sz w:val="20"/>
          <w:szCs w:val="20"/>
        </w:rPr>
        <w:t>d progress payments policies, including a reversal or modification of the DoD’s March 2020 increase to the applicable progress payment rate from 80% to 90%, could significantly affect the timing of our cash flows.</w:t>
      </w:r>
    </w:p>
    <w:p w:rsidR="00000000" w:rsidRDefault="00AE54EE">
      <w:pPr>
        <w:ind w:firstLine="450"/>
        <w:divId w:val="1494645675"/>
        <w:rPr>
          <w:rFonts w:eastAsia="Times New Roman"/>
        </w:rPr>
      </w:pPr>
      <w:r>
        <w:rPr>
          <w:rFonts w:eastAsia="Times New Roman"/>
          <w:color w:val="000000"/>
          <w:sz w:val="20"/>
          <w:szCs w:val="20"/>
        </w:rPr>
        <w:t xml:space="preserve">In fiscal 2021, 26 percent of our revenue </w:t>
      </w:r>
      <w:r>
        <w:rPr>
          <w:rFonts w:eastAsia="Times New Roman"/>
          <w:color w:val="000000"/>
          <w:sz w:val="20"/>
          <w:szCs w:val="20"/>
        </w:rPr>
        <w:t>was derived from cost-plus and time-and-material contracts, substantially all of which are with U.S. Government customers. Sales to foreign government and commercial customers are generally under fixed-</w:t>
      </w:r>
    </w:p>
    <w:p w:rsidR="00000000" w:rsidRDefault="00AE54EE">
      <w:pPr>
        <w:ind w:firstLine="450"/>
        <w:jc w:val="center"/>
        <w:divId w:val="1790277964"/>
        <w:rPr>
          <w:rFonts w:eastAsia="Times New Roman"/>
        </w:rPr>
      </w:pPr>
      <w:r>
        <w:rPr>
          <w:rFonts w:eastAsia="Times New Roman"/>
          <w:color w:val="000000"/>
          <w:sz w:val="20"/>
          <w:szCs w:val="20"/>
        </w:rPr>
        <w:t>15</w:t>
      </w:r>
    </w:p>
    <w:p w:rsidR="00000000" w:rsidRDefault="00AE54EE">
      <w:pPr>
        <w:rPr>
          <w:rFonts w:eastAsia="Times New Roman"/>
        </w:rPr>
      </w:pPr>
      <w:r>
        <w:rPr>
          <w:rFonts w:eastAsia="Times New Roman"/>
        </w:rPr>
        <w:pict>
          <v:rect id="_x0000_i1042" style="width:0;height:1.5pt" o:hralign="center" o:hrstd="t" o:hr="t" fillcolor="#a0a0a0" stroked="f"/>
        </w:pict>
      </w:r>
    </w:p>
    <w:p w:rsidR="00000000" w:rsidRDefault="00AE54EE">
      <w:pPr>
        <w:ind w:firstLine="450"/>
        <w:divId w:val="86734491"/>
        <w:rPr>
          <w:rFonts w:eastAsia="Times New Roman"/>
        </w:rPr>
      </w:pPr>
    </w:p>
    <w:p w:rsidR="00000000" w:rsidRDefault="00AE54EE">
      <w:pPr>
        <w:divId w:val="318702433"/>
        <w:rPr>
          <w:rFonts w:eastAsia="Times New Roman"/>
        </w:rPr>
      </w:pPr>
      <w:r>
        <w:rPr>
          <w:rFonts w:eastAsia="Times New Roman"/>
          <w:color w:val="000000"/>
          <w:sz w:val="20"/>
          <w:szCs w:val="20"/>
        </w:rPr>
        <w:t>price arrang</w:t>
      </w:r>
      <w:r>
        <w:rPr>
          <w:rFonts w:eastAsia="Times New Roman"/>
          <w:color w:val="000000"/>
          <w:sz w:val="20"/>
          <w:szCs w:val="20"/>
        </w:rPr>
        <w:t>ements and are included in our fixed-price contract sales. For a cost-plus contract, we are paid our allowable incurred costs plus a profit, which can be fixed or variable depending on the contract’s fee arrangement up to predetermined funding levels estab</w:t>
      </w:r>
      <w:r>
        <w:rPr>
          <w:rFonts w:eastAsia="Times New Roman"/>
          <w:color w:val="000000"/>
          <w:sz w:val="20"/>
          <w:szCs w:val="20"/>
        </w:rPr>
        <w:t>lished by our customers. For a time-and-material contract, we are paid on the basis of direct labor hours expended at specified fixed-price hourly rates (which include wages, overhead, allowable general and administrative expenses and profit) and materials</w:t>
      </w:r>
      <w:r>
        <w:rPr>
          <w:rFonts w:eastAsia="Times New Roman"/>
          <w:color w:val="000000"/>
          <w:sz w:val="20"/>
          <w:szCs w:val="20"/>
        </w:rPr>
        <w:t xml:space="preserve"> at cost. Therefore, on cost-plus and time-and-material type contracts, we do not bear the risks of unexpected cost overruns, provided that we do not incur costs that exceed the predetermined funded amounts.</w:t>
      </w:r>
    </w:p>
    <w:p w:rsidR="00000000" w:rsidRDefault="00AE54EE">
      <w:pPr>
        <w:ind w:firstLine="450"/>
        <w:divId w:val="537744417"/>
        <w:rPr>
          <w:rFonts w:eastAsia="Times New Roman"/>
        </w:rPr>
      </w:pPr>
      <w:r>
        <w:rPr>
          <w:rFonts w:eastAsia="Times New Roman"/>
          <w:color w:val="000000"/>
          <w:sz w:val="20"/>
          <w:szCs w:val="20"/>
        </w:rPr>
        <w:t>Given broader inflation in the economy, we are m</w:t>
      </w:r>
      <w:r>
        <w:rPr>
          <w:rFonts w:eastAsia="Times New Roman"/>
          <w:color w:val="000000"/>
          <w:sz w:val="20"/>
          <w:szCs w:val="20"/>
        </w:rPr>
        <w:t>onitoring the risk inflation presents to active and future contracts. To date we have not seen broad based increases in costs from inflation that are material to the business as a whole; however, if we begin to experience greater than expected supply chain</w:t>
      </w:r>
      <w:r>
        <w:rPr>
          <w:rFonts w:eastAsia="Times New Roman"/>
          <w:color w:val="000000"/>
          <w:sz w:val="20"/>
          <w:szCs w:val="20"/>
        </w:rPr>
        <w:t xml:space="preserve"> and labor inflation our profits and margins under our contracts, in particular fixed price contracts, could be adversely affected.</w:t>
      </w:r>
    </w:p>
    <w:p w:rsidR="00000000" w:rsidRDefault="00AE54EE">
      <w:pPr>
        <w:ind w:firstLine="450"/>
        <w:divId w:val="207038470"/>
        <w:rPr>
          <w:rFonts w:eastAsia="Times New Roman"/>
        </w:rPr>
      </w:pPr>
      <w:r>
        <w:rPr>
          <w:rFonts w:eastAsia="Times New Roman"/>
          <w:color w:val="000000"/>
          <w:sz w:val="20"/>
          <w:szCs w:val="20"/>
        </w:rPr>
        <w:t>Any or all of the foregoing could have a negative impact on our business, financial condition, results of operations, cash f</w:t>
      </w:r>
      <w:r>
        <w:rPr>
          <w:rFonts w:eastAsia="Times New Roman"/>
          <w:color w:val="000000"/>
          <w:sz w:val="20"/>
          <w:szCs w:val="20"/>
        </w:rPr>
        <w:t>lows and equity.</w:t>
      </w:r>
    </w:p>
    <w:p w:rsidR="00000000" w:rsidRDefault="00AE54EE">
      <w:pPr>
        <w:divId w:val="2037847270"/>
        <w:rPr>
          <w:rFonts w:eastAsia="Times New Roman"/>
        </w:rPr>
      </w:pPr>
      <w:r>
        <w:rPr>
          <w:rFonts w:eastAsia="Times New Roman"/>
          <w:b/>
          <w:bCs/>
          <w:i/>
          <w:iCs/>
          <w:color w:val="000000"/>
          <w:sz w:val="20"/>
          <w:szCs w:val="20"/>
        </w:rPr>
        <w:t xml:space="preserve">Our commercial aviation products, systems and services businesses are affected by global demand and economic factors that could negatively impact our financial results. </w:t>
      </w:r>
    </w:p>
    <w:p w:rsidR="00000000" w:rsidRDefault="00AE54EE">
      <w:pPr>
        <w:ind w:firstLine="450"/>
        <w:divId w:val="1268007026"/>
        <w:rPr>
          <w:rFonts w:eastAsia="Times New Roman"/>
        </w:rPr>
      </w:pPr>
      <w:r>
        <w:rPr>
          <w:rFonts w:eastAsia="Times New Roman"/>
          <w:color w:val="000000"/>
          <w:sz w:val="20"/>
          <w:szCs w:val="20"/>
        </w:rPr>
        <w:t>The operating results of our commercial aviation products, systems an</w:t>
      </w:r>
      <w:r>
        <w:rPr>
          <w:rFonts w:eastAsia="Times New Roman"/>
          <w:color w:val="000000"/>
          <w:sz w:val="20"/>
          <w:szCs w:val="20"/>
        </w:rPr>
        <w:t>d services businesses may be adversely affected by downturns in the global demand for air travel which impacts new aircraft production and orders, and global flying hours, which impacts air transport, regional and business aircraft utilization rates and pi</w:t>
      </w:r>
      <w:r>
        <w:rPr>
          <w:rFonts w:eastAsia="Times New Roman"/>
          <w:color w:val="000000"/>
          <w:sz w:val="20"/>
          <w:szCs w:val="20"/>
        </w:rPr>
        <w:t>lot training needs. The aviation industry is highly cyclical, and the level of demand for air travel is correlated to the strength of the U.S. and international economies and is impacted by long-term trends in airline passenger and cargo traffic. The resul</w:t>
      </w:r>
      <w:r>
        <w:rPr>
          <w:rFonts w:eastAsia="Times New Roman"/>
          <w:color w:val="000000"/>
          <w:sz w:val="20"/>
          <w:szCs w:val="20"/>
        </w:rPr>
        <w:t>ts of our commercial aviation businesses also depend on other factors, including general economic growth, political stability in both developed and emerging markets, pricing pressures, trends in capital goods markets and changes in original equipment manuf</w:t>
      </w:r>
      <w:r>
        <w:rPr>
          <w:rFonts w:eastAsia="Times New Roman"/>
          <w:color w:val="000000"/>
          <w:sz w:val="20"/>
          <w:szCs w:val="20"/>
        </w:rPr>
        <w:t>acturer production rates. As described above under “COVID-Related Risks,” our commercial aviation businesses experienced adverse COVID-related impacts in fiscal 2020 and remain at a higher risk of further adverse COVID-related impacts.</w:t>
      </w:r>
    </w:p>
    <w:p w:rsidR="00000000" w:rsidRDefault="00AE54EE">
      <w:pPr>
        <w:divId w:val="2079746370"/>
        <w:rPr>
          <w:rFonts w:eastAsia="Times New Roman"/>
        </w:rPr>
      </w:pPr>
      <w:r>
        <w:rPr>
          <w:rFonts w:eastAsia="Times New Roman"/>
          <w:b/>
          <w:bCs/>
          <w:i/>
          <w:iCs/>
          <w:color w:val="000000"/>
          <w:sz w:val="20"/>
          <w:szCs w:val="20"/>
        </w:rPr>
        <w:t>We participate in ma</w:t>
      </w:r>
      <w:r>
        <w:rPr>
          <w:rFonts w:eastAsia="Times New Roman"/>
          <w:b/>
          <w:bCs/>
          <w:i/>
          <w:iCs/>
          <w:color w:val="000000"/>
          <w:sz w:val="20"/>
          <w:szCs w:val="20"/>
        </w:rPr>
        <w:t>rkets that are often subject to uncertain economic conditions, which makes it difficult to estimate growth in our markets and, as a result, future income and expenditures.</w:t>
      </w:r>
    </w:p>
    <w:p w:rsidR="00000000" w:rsidRDefault="00AE54EE">
      <w:pPr>
        <w:ind w:firstLine="450"/>
        <w:divId w:val="956064383"/>
        <w:rPr>
          <w:rFonts w:eastAsia="Times New Roman"/>
        </w:rPr>
      </w:pPr>
      <w:r>
        <w:rPr>
          <w:rFonts w:eastAsia="Times New Roman"/>
          <w:color w:val="000000"/>
          <w:sz w:val="20"/>
          <w:szCs w:val="20"/>
        </w:rPr>
        <w:t>We participate in U.S. and international markets that are subject to uncertain econo</w:t>
      </w:r>
      <w:r>
        <w:rPr>
          <w:rFonts w:eastAsia="Times New Roman"/>
          <w:color w:val="000000"/>
          <w:sz w:val="20"/>
          <w:szCs w:val="20"/>
        </w:rPr>
        <w:t>mic conditions. In particular, U.S. Federal, state and local government spending priorities and levels remain uncertain and difficult to predict and are affected by numerous factors, including COVID-related impacts. In addition, certain of our non-U.S. cus</w:t>
      </w:r>
      <w:r>
        <w:rPr>
          <w:rFonts w:eastAsia="Times New Roman"/>
          <w:color w:val="000000"/>
          <w:sz w:val="20"/>
          <w:szCs w:val="20"/>
        </w:rPr>
        <w:t>tomers, including in the Middle East and other oil or natural gas-producing countries, could be adversely affected by weakness or volatility in oil or natural gas prices, or negative expectations about future prices or volatility, which could adversely aff</w:t>
      </w:r>
      <w:r>
        <w:rPr>
          <w:rFonts w:eastAsia="Times New Roman"/>
          <w:color w:val="000000"/>
          <w:sz w:val="20"/>
          <w:szCs w:val="20"/>
        </w:rPr>
        <w:t>ect demand for tactical communications, electronic systems or other products, systems, services or technologies. As a result of that uncertainty, it is difficult to develop accurate estimates of the level of growth in the markets we serve. Because those es</w:t>
      </w:r>
      <w:r>
        <w:rPr>
          <w:rFonts w:eastAsia="Times New Roman"/>
          <w:color w:val="000000"/>
          <w:sz w:val="20"/>
          <w:szCs w:val="20"/>
        </w:rPr>
        <w:t>timates underpin all components of our budgeting and forecasting, our estimates or guidance for future revenue, income and expenditures may be inaccurate, and we may make significant investments and expenditures but never realize the anticipated benefits.</w:t>
      </w:r>
    </w:p>
    <w:p w:rsidR="00000000" w:rsidRDefault="00AE54EE">
      <w:pPr>
        <w:divId w:val="1459569443"/>
        <w:rPr>
          <w:rFonts w:eastAsia="Times New Roman"/>
        </w:rPr>
      </w:pPr>
      <w:r>
        <w:rPr>
          <w:rFonts w:eastAsia="Times New Roman"/>
          <w:b/>
          <w:bCs/>
          <w:i/>
          <w:iCs/>
          <w:color w:val="000000"/>
          <w:sz w:val="20"/>
          <w:szCs w:val="20"/>
        </w:rPr>
        <w:t>We cannot predict the consequences of future geo-political events, but they may adversely affect the markets in which we operate, our ability to insure against risks, our operations or our profitability.</w:t>
      </w:r>
    </w:p>
    <w:p w:rsidR="00000000" w:rsidRDefault="00AE54EE">
      <w:pPr>
        <w:ind w:firstLine="450"/>
        <w:divId w:val="1073626384"/>
        <w:rPr>
          <w:rFonts w:eastAsia="Times New Roman"/>
        </w:rPr>
      </w:pPr>
      <w:r>
        <w:rPr>
          <w:rFonts w:eastAsia="Times New Roman"/>
          <w:color w:val="000000"/>
          <w:sz w:val="20"/>
          <w:szCs w:val="20"/>
        </w:rPr>
        <w:t xml:space="preserve">Ongoing instability and current conflicts in global </w:t>
      </w:r>
      <w:r>
        <w:rPr>
          <w:rFonts w:eastAsia="Times New Roman"/>
          <w:color w:val="000000"/>
          <w:sz w:val="20"/>
          <w:szCs w:val="20"/>
        </w:rPr>
        <w:t>markets, including in Eastern Europe, the Middle East and Asia, and the potential for other conflicts and future terrorist activities and other recent geo-political events throughout the world, including new or increased tariffs and potential trade wars, h</w:t>
      </w:r>
      <w:r>
        <w:rPr>
          <w:rFonts w:eastAsia="Times New Roman"/>
          <w:color w:val="000000"/>
          <w:sz w:val="20"/>
          <w:szCs w:val="20"/>
        </w:rPr>
        <w:t>ave created and may continue to create economic and political uncertainties and impacts that could have a material adverse effect on our business, operations and profitability. These types of matters cause uncertainty in financial and insurance markets and</w:t>
      </w:r>
      <w:r>
        <w:rPr>
          <w:rFonts w:eastAsia="Times New Roman"/>
          <w:color w:val="000000"/>
          <w:sz w:val="20"/>
          <w:szCs w:val="20"/>
        </w:rPr>
        <w:t xml:space="preserve"> may significantly increase the political, economic and social instability in the geographic areas in which we operate. If credit in financial markets outside of the U.S. tightened, it could adversely affect the ability of our international customers and s</w:t>
      </w:r>
      <w:r>
        <w:rPr>
          <w:rFonts w:eastAsia="Times New Roman"/>
          <w:color w:val="000000"/>
          <w:sz w:val="20"/>
          <w:szCs w:val="20"/>
        </w:rPr>
        <w:t xml:space="preserve">uppliers to obtain financing and could result in a decrease in or cancellation of orders for our products, systems and services or impact the ability of our customers to make payments. These matters also may cause us to experience increased costs, such as </w:t>
      </w:r>
      <w:r>
        <w:rPr>
          <w:rFonts w:eastAsia="Times New Roman"/>
          <w:color w:val="000000"/>
          <w:sz w:val="20"/>
          <w:szCs w:val="20"/>
        </w:rPr>
        <w:t>for insurance coverages and performance bonds (or for them to be unavailable altogether), as well as difficulty with future borrowings under our commercial paper program or credit facilities or in the debt markets or otherwise with financing our operating,</w:t>
      </w:r>
      <w:r>
        <w:rPr>
          <w:rFonts w:eastAsia="Times New Roman"/>
          <w:color w:val="000000"/>
          <w:sz w:val="20"/>
          <w:szCs w:val="20"/>
        </w:rPr>
        <w:t xml:space="preserve"> investing (including any future acquisitions) or financing activities. </w:t>
      </w:r>
    </w:p>
    <w:p w:rsidR="00000000" w:rsidRDefault="00AE54EE">
      <w:pPr>
        <w:divId w:val="754015608"/>
        <w:rPr>
          <w:rFonts w:eastAsia="Times New Roman"/>
        </w:rPr>
      </w:pPr>
      <w:r>
        <w:rPr>
          <w:rFonts w:eastAsia="Times New Roman"/>
          <w:b/>
          <w:bCs/>
          <w:i/>
          <w:iCs/>
          <w:color w:val="000000"/>
          <w:sz w:val="20"/>
          <w:szCs w:val="20"/>
        </w:rPr>
        <w:t>We derive a significant portion of our revenue from international operations and are subject to the risks of doing business internationally, including fluctuations in currency exchang</w:t>
      </w:r>
      <w:r>
        <w:rPr>
          <w:rFonts w:eastAsia="Times New Roman"/>
          <w:b/>
          <w:bCs/>
          <w:i/>
          <w:iCs/>
          <w:color w:val="000000"/>
          <w:sz w:val="20"/>
          <w:szCs w:val="20"/>
        </w:rPr>
        <w:t>e rates.</w:t>
      </w:r>
    </w:p>
    <w:p w:rsidR="00000000" w:rsidRDefault="00AE54EE">
      <w:pPr>
        <w:ind w:firstLine="450"/>
        <w:divId w:val="1565947500"/>
        <w:rPr>
          <w:rFonts w:eastAsia="Times New Roman"/>
        </w:rPr>
      </w:pPr>
      <w:r>
        <w:rPr>
          <w:rFonts w:eastAsia="Times New Roman"/>
          <w:color w:val="000000"/>
          <w:sz w:val="20"/>
          <w:szCs w:val="20"/>
        </w:rPr>
        <w:t>We are dependent on sales to customers outside the U.S. The percentage of our total revenue represented by revenue from products, systems and services where the end consumer is located outside the U.S., including foreign military sales through the</w:t>
      </w:r>
      <w:r>
        <w:rPr>
          <w:rFonts w:eastAsia="Times New Roman"/>
          <w:color w:val="000000"/>
          <w:sz w:val="20"/>
          <w:szCs w:val="20"/>
        </w:rPr>
        <w:t xml:space="preserve"> U.S. Government, was 22 percent, 20 percent, 21 percent and 22 percent in fiscal 2021, fiscal 2020, the two quarters ended January 3, 2020 and fiscal 2019, respectively. In fiscal 2021, 40 percent of our international business was transacted in local curr</w:t>
      </w:r>
      <w:r>
        <w:rPr>
          <w:rFonts w:eastAsia="Times New Roman"/>
          <w:color w:val="000000"/>
          <w:sz w:val="20"/>
          <w:szCs w:val="20"/>
        </w:rPr>
        <w:t xml:space="preserve">ency. Losses resulting from currency rate fluctuations can adversely affect our results. We expect that international revenue </w:t>
      </w:r>
    </w:p>
    <w:p w:rsidR="00000000" w:rsidRDefault="00AE54EE">
      <w:pPr>
        <w:ind w:firstLine="450"/>
        <w:jc w:val="center"/>
        <w:divId w:val="1033461138"/>
        <w:rPr>
          <w:rFonts w:eastAsia="Times New Roman"/>
        </w:rPr>
      </w:pPr>
      <w:r>
        <w:rPr>
          <w:rFonts w:eastAsia="Times New Roman"/>
          <w:color w:val="000000"/>
          <w:sz w:val="20"/>
          <w:szCs w:val="20"/>
        </w:rPr>
        <w:t>16</w:t>
      </w:r>
    </w:p>
    <w:p w:rsidR="00000000" w:rsidRDefault="00AE54EE">
      <w:pPr>
        <w:rPr>
          <w:rFonts w:eastAsia="Times New Roman"/>
        </w:rPr>
      </w:pPr>
      <w:r>
        <w:rPr>
          <w:rFonts w:eastAsia="Times New Roman"/>
        </w:rPr>
        <w:pict>
          <v:rect id="_x0000_i1043" style="width:0;height:1.5pt" o:hralign="center" o:hrstd="t" o:hr="t" fillcolor="#a0a0a0" stroked="f"/>
        </w:pict>
      </w:r>
    </w:p>
    <w:p w:rsidR="00000000" w:rsidRDefault="00AE54EE">
      <w:pPr>
        <w:ind w:firstLine="450"/>
        <w:divId w:val="1737360374"/>
        <w:rPr>
          <w:rFonts w:eastAsia="Times New Roman"/>
        </w:rPr>
      </w:pPr>
    </w:p>
    <w:p w:rsidR="00000000" w:rsidRDefault="00AE54EE">
      <w:pPr>
        <w:divId w:val="783304693"/>
        <w:rPr>
          <w:rFonts w:eastAsia="Times New Roman"/>
        </w:rPr>
      </w:pPr>
      <w:r>
        <w:rPr>
          <w:rFonts w:eastAsia="Times New Roman"/>
          <w:color w:val="000000"/>
          <w:sz w:val="20"/>
          <w:szCs w:val="20"/>
        </w:rPr>
        <w:t>will continue to account for a significant portion of our total revenue. Also, a signifi</w:t>
      </w:r>
      <w:r>
        <w:rPr>
          <w:rFonts w:eastAsia="Times New Roman"/>
          <w:color w:val="000000"/>
          <w:sz w:val="20"/>
          <w:szCs w:val="20"/>
        </w:rPr>
        <w:t>cant portion of our international revenue is from, and a significant portion of our business activity is being conducted with or in, less-developed countries and sometimes countries with unstable governments, or in areas of military conflict or at military</w:t>
      </w:r>
      <w:r>
        <w:rPr>
          <w:rFonts w:eastAsia="Times New Roman"/>
          <w:color w:val="000000"/>
          <w:sz w:val="20"/>
          <w:szCs w:val="20"/>
        </w:rPr>
        <w:t xml:space="preserve"> installations. Other risks of doing business internationally include:</w:t>
      </w:r>
    </w:p>
    <w:p w:rsidR="00000000" w:rsidRDefault="00AE54EE">
      <w:pPr>
        <w:ind w:hanging="360"/>
        <w:divId w:val="832069052"/>
        <w:rPr>
          <w:rFonts w:eastAsia="Times New Roman"/>
        </w:rPr>
      </w:pPr>
      <w:r>
        <w:rPr>
          <w:rFonts w:eastAsia="Times New Roman"/>
          <w:color w:val="000000"/>
          <w:sz w:val="20"/>
          <w:szCs w:val="20"/>
        </w:rPr>
        <w:t>•Currency exchange controls, fluctuations of currency and currency revaluations;</w:t>
      </w:r>
    </w:p>
    <w:p w:rsidR="00000000" w:rsidRDefault="00AE54EE">
      <w:pPr>
        <w:ind w:hanging="360"/>
        <w:divId w:val="106315386"/>
        <w:rPr>
          <w:rFonts w:eastAsia="Times New Roman"/>
        </w:rPr>
      </w:pPr>
      <w:r>
        <w:rPr>
          <w:rFonts w:eastAsia="Times New Roman"/>
          <w:color w:val="000000"/>
          <w:sz w:val="20"/>
          <w:szCs w:val="20"/>
        </w:rPr>
        <w:t>•Laws, regulations and policies of foreign governments relating to investments and operations, as well a</w:t>
      </w:r>
      <w:r>
        <w:rPr>
          <w:rFonts w:eastAsia="Times New Roman"/>
          <w:color w:val="000000"/>
          <w:sz w:val="20"/>
          <w:szCs w:val="20"/>
        </w:rPr>
        <w:t>s U.S. laws affecting activities of U.S. companies abroad, including the Foreign Corrupt Practices Act (“FCPA”);</w:t>
      </w:r>
    </w:p>
    <w:p w:rsidR="00000000" w:rsidRDefault="00AE54EE">
      <w:pPr>
        <w:ind w:hanging="360"/>
        <w:divId w:val="1620260662"/>
        <w:rPr>
          <w:rFonts w:eastAsia="Times New Roman"/>
        </w:rPr>
      </w:pPr>
      <w:r>
        <w:rPr>
          <w:rFonts w:eastAsia="Times New Roman"/>
          <w:color w:val="000000"/>
          <w:sz w:val="20"/>
          <w:szCs w:val="20"/>
        </w:rPr>
        <w:t>•Import and export licensing requirements and regulations, including ITAR, as well as unforeseen changes in export controls and other trade reg</w:t>
      </w:r>
      <w:r>
        <w:rPr>
          <w:rFonts w:eastAsia="Times New Roman"/>
          <w:color w:val="000000"/>
          <w:sz w:val="20"/>
          <w:szCs w:val="20"/>
        </w:rPr>
        <w:t>ulations;</w:t>
      </w:r>
    </w:p>
    <w:p w:rsidR="00000000" w:rsidRDefault="00AE54EE">
      <w:pPr>
        <w:ind w:hanging="360"/>
        <w:divId w:val="882443502"/>
        <w:rPr>
          <w:rFonts w:eastAsia="Times New Roman"/>
        </w:rPr>
      </w:pPr>
      <w:r>
        <w:rPr>
          <w:rFonts w:eastAsia="Times New Roman"/>
          <w:color w:val="000000"/>
          <w:sz w:val="20"/>
          <w:szCs w:val="20"/>
        </w:rPr>
        <w:t xml:space="preserve">•Changes in regulatory requirements, including business or operating license requirements, imposition of tariffs or embargoes; </w:t>
      </w:r>
    </w:p>
    <w:p w:rsidR="00000000" w:rsidRDefault="00AE54EE">
      <w:pPr>
        <w:ind w:hanging="360"/>
        <w:divId w:val="549222180"/>
        <w:rPr>
          <w:rFonts w:eastAsia="Times New Roman"/>
        </w:rPr>
      </w:pPr>
      <w:r>
        <w:rPr>
          <w:rFonts w:eastAsia="Times New Roman"/>
          <w:color w:val="000000"/>
          <w:sz w:val="20"/>
          <w:szCs w:val="20"/>
        </w:rPr>
        <w:t>•Uncertainties and restrictions concerning the availability of funding, credit or guarantees;</w:t>
      </w:r>
    </w:p>
    <w:p w:rsidR="00000000" w:rsidRDefault="00AE54EE">
      <w:pPr>
        <w:ind w:hanging="360"/>
        <w:divId w:val="1243369573"/>
        <w:rPr>
          <w:rFonts w:eastAsia="Times New Roman"/>
        </w:rPr>
      </w:pPr>
      <w:r>
        <w:rPr>
          <w:rFonts w:eastAsia="Times New Roman"/>
          <w:color w:val="000000"/>
          <w:sz w:val="20"/>
          <w:szCs w:val="20"/>
        </w:rPr>
        <w:t xml:space="preserve">•Risk of non-payment or </w:t>
      </w:r>
      <w:r>
        <w:rPr>
          <w:rFonts w:eastAsia="Times New Roman"/>
          <w:color w:val="000000"/>
          <w:sz w:val="20"/>
          <w:szCs w:val="20"/>
        </w:rPr>
        <w:t>delayed payment by non-U.S. customers;</w:t>
      </w:r>
    </w:p>
    <w:p w:rsidR="00000000" w:rsidRDefault="00AE54EE">
      <w:pPr>
        <w:ind w:hanging="360"/>
        <w:divId w:val="1419249890"/>
        <w:rPr>
          <w:rFonts w:eastAsia="Times New Roman"/>
        </w:rPr>
      </w:pPr>
      <w:r>
        <w:rPr>
          <w:rFonts w:eastAsia="Times New Roman"/>
          <w:color w:val="000000"/>
          <w:sz w:val="20"/>
          <w:szCs w:val="20"/>
        </w:rPr>
        <w:t>•Contractual obligations to non-U.S. customers that may include specific in-country purchases, investments, manufacturing agreements or financial or other support arrangements or obligations, known as offset obligatio</w:t>
      </w:r>
      <w:r>
        <w:rPr>
          <w:rFonts w:eastAsia="Times New Roman"/>
          <w:color w:val="000000"/>
          <w:sz w:val="20"/>
          <w:szCs w:val="20"/>
        </w:rPr>
        <w:t>ns, that may extend for many years, require teaming with local companies and result in significant penalties if not satisfied;</w:t>
      </w:r>
    </w:p>
    <w:p w:rsidR="00000000" w:rsidRDefault="00AE54EE">
      <w:pPr>
        <w:ind w:hanging="360"/>
        <w:divId w:val="1652322503"/>
        <w:rPr>
          <w:rFonts w:eastAsia="Times New Roman"/>
        </w:rPr>
      </w:pPr>
      <w:r>
        <w:rPr>
          <w:rFonts w:eastAsia="Times New Roman"/>
          <w:color w:val="000000"/>
          <w:sz w:val="20"/>
          <w:szCs w:val="20"/>
        </w:rPr>
        <w:t>•</w:t>
      </w:r>
      <w:r>
        <w:rPr>
          <w:rFonts w:eastAsia="Times New Roman"/>
          <w:color w:val="000000"/>
          <w:sz w:val="20"/>
          <w:szCs w:val="20"/>
        </w:rPr>
        <w:t>Complexities and necessities of using, and disruptions involving, international dealers, distributors, sales representatives and consultants;</w:t>
      </w:r>
    </w:p>
    <w:p w:rsidR="00000000" w:rsidRDefault="00AE54EE">
      <w:pPr>
        <w:ind w:hanging="360"/>
        <w:divId w:val="771054923"/>
        <w:rPr>
          <w:rFonts w:eastAsia="Times New Roman"/>
        </w:rPr>
      </w:pPr>
      <w:r>
        <w:rPr>
          <w:rFonts w:eastAsia="Times New Roman"/>
          <w:color w:val="000000"/>
          <w:sz w:val="20"/>
          <w:szCs w:val="20"/>
        </w:rPr>
        <w:t>•Difficulties of managing a geographically dispersed organization and culturally diverse workforces, including com</w:t>
      </w:r>
      <w:r>
        <w:rPr>
          <w:rFonts w:eastAsia="Times New Roman"/>
          <w:color w:val="000000"/>
          <w:sz w:val="20"/>
          <w:szCs w:val="20"/>
        </w:rPr>
        <w:t>pliance with local laws and practices;</w:t>
      </w:r>
    </w:p>
    <w:p w:rsidR="00000000" w:rsidRDefault="00AE54EE">
      <w:pPr>
        <w:ind w:hanging="360"/>
        <w:divId w:val="925110864"/>
        <w:rPr>
          <w:rFonts w:eastAsia="Times New Roman"/>
        </w:rPr>
      </w:pPr>
      <w:r>
        <w:rPr>
          <w:rFonts w:eastAsia="Times New Roman"/>
          <w:color w:val="000000"/>
          <w:sz w:val="20"/>
          <w:szCs w:val="20"/>
        </w:rPr>
        <w:t>•Difficulties with repatriating cash generated or held abroad in a tax-efficient manner and changes in tax laws;</w:t>
      </w:r>
    </w:p>
    <w:p w:rsidR="00000000" w:rsidRDefault="00AE54EE">
      <w:pPr>
        <w:ind w:hanging="360"/>
        <w:divId w:val="204874850"/>
        <w:rPr>
          <w:rFonts w:eastAsia="Times New Roman"/>
        </w:rPr>
      </w:pPr>
      <w:r>
        <w:rPr>
          <w:rFonts w:eastAsia="Times New Roman"/>
          <w:color w:val="000000"/>
          <w:sz w:val="20"/>
          <w:szCs w:val="20"/>
        </w:rPr>
        <w:t>•Uncertainties as to local laws and enforcement of contract and intellectual property rights and occasio</w:t>
      </w:r>
      <w:r>
        <w:rPr>
          <w:rFonts w:eastAsia="Times New Roman"/>
          <w:color w:val="000000"/>
          <w:sz w:val="20"/>
          <w:szCs w:val="20"/>
        </w:rPr>
        <w:t>nal requirements for onerous contract terms;</w:t>
      </w:r>
    </w:p>
    <w:p w:rsidR="00000000" w:rsidRDefault="00AE54EE">
      <w:pPr>
        <w:ind w:hanging="360"/>
        <w:divId w:val="1373456410"/>
        <w:rPr>
          <w:rFonts w:eastAsia="Times New Roman"/>
        </w:rPr>
      </w:pPr>
      <w:r>
        <w:rPr>
          <w:rFonts w:eastAsia="Times New Roman"/>
          <w:color w:val="000000"/>
          <w:sz w:val="20"/>
          <w:szCs w:val="20"/>
        </w:rPr>
        <w:t>•Rapid changes in government, economic and political policies, political or civil unrest, acts of terrorism or threats of international boycotts or U.S. anti-boycott legislation; and</w:t>
      </w:r>
    </w:p>
    <w:p w:rsidR="00000000" w:rsidRDefault="00AE54EE">
      <w:pPr>
        <w:ind w:hanging="360"/>
        <w:divId w:val="761342209"/>
        <w:rPr>
          <w:rFonts w:eastAsia="Times New Roman"/>
        </w:rPr>
      </w:pPr>
      <w:r>
        <w:rPr>
          <w:rFonts w:eastAsia="Times New Roman"/>
          <w:color w:val="000000"/>
          <w:sz w:val="20"/>
          <w:szCs w:val="20"/>
        </w:rPr>
        <w:t>•Increased risk of an incide</w:t>
      </w:r>
      <w:r>
        <w:rPr>
          <w:rFonts w:eastAsia="Times New Roman"/>
          <w:color w:val="000000"/>
          <w:sz w:val="20"/>
          <w:szCs w:val="20"/>
        </w:rPr>
        <w:t>nt resulting in damage or destruction to our facilities or products or resulting in injury or loss of life to our employees, subcontractors or other third parties.</w:t>
      </w:r>
    </w:p>
    <w:p w:rsidR="00000000" w:rsidRDefault="00AE54EE">
      <w:pPr>
        <w:divId w:val="661782532"/>
        <w:rPr>
          <w:rFonts w:eastAsia="Times New Roman"/>
        </w:rPr>
      </w:pPr>
      <w:r>
        <w:rPr>
          <w:rFonts w:eastAsia="Times New Roman"/>
          <w:b/>
          <w:bCs/>
          <w:i/>
          <w:iCs/>
          <w:color w:val="000000"/>
          <w:sz w:val="20"/>
          <w:szCs w:val="20"/>
        </w:rPr>
        <w:t>We are subject to government investigations, which could have a material adverse effect on o</w:t>
      </w:r>
      <w:r>
        <w:rPr>
          <w:rFonts w:eastAsia="Times New Roman"/>
          <w:b/>
          <w:bCs/>
          <w:i/>
          <w:iCs/>
          <w:color w:val="000000"/>
          <w:sz w:val="20"/>
          <w:szCs w:val="20"/>
        </w:rPr>
        <w:t xml:space="preserve">ur business, financial condition, results of operations, cash flows and equity. </w:t>
      </w:r>
    </w:p>
    <w:p w:rsidR="00000000" w:rsidRDefault="00AE54EE">
      <w:pPr>
        <w:ind w:firstLine="450"/>
        <w:divId w:val="836195259"/>
        <w:rPr>
          <w:rFonts w:eastAsia="Times New Roman"/>
        </w:rPr>
      </w:pPr>
      <w:r>
        <w:rPr>
          <w:rFonts w:eastAsia="Times New Roman"/>
          <w:color w:val="000000"/>
          <w:sz w:val="20"/>
          <w:szCs w:val="20"/>
        </w:rPr>
        <w:t>U.S. Government contractors are subject to extensive legal and regulatory requirements, including ITAR and FCPA, and from time to time agencies of the U.S. Government investig</w:t>
      </w:r>
      <w:r>
        <w:rPr>
          <w:rFonts w:eastAsia="Times New Roman"/>
          <w:color w:val="000000"/>
          <w:sz w:val="20"/>
          <w:szCs w:val="20"/>
        </w:rPr>
        <w:t xml:space="preserve">ate whether we have been and are operating in accordance with these requirements. We may cooperate with the U.S. Government in those investigations. Under U.S. Government regulations, an indictment of L3Harris by a federal grand jury, or an administrative </w:t>
      </w:r>
      <w:r>
        <w:rPr>
          <w:rFonts w:eastAsia="Times New Roman"/>
          <w:color w:val="000000"/>
          <w:sz w:val="20"/>
          <w:szCs w:val="20"/>
        </w:rPr>
        <w:t>finding against us as to our present responsibility to be a U.S. Government contractor or subcontractor, could result in us being suspended for a period of time from eligibility for awards of new government contracts or task orders or in a loss of export p</w:t>
      </w:r>
      <w:r>
        <w:rPr>
          <w:rFonts w:eastAsia="Times New Roman"/>
          <w:color w:val="000000"/>
          <w:sz w:val="20"/>
          <w:szCs w:val="20"/>
        </w:rPr>
        <w:t xml:space="preserve">rivileges, which could have a material adverse effect on our business, financial condition, results of operations, cash flows and equity. A conviction, or an administrative finding against us that satisfies the requisite level of seriousness, could result </w:t>
      </w:r>
      <w:r>
        <w:rPr>
          <w:rFonts w:eastAsia="Times New Roman"/>
          <w:color w:val="000000"/>
          <w:sz w:val="20"/>
          <w:szCs w:val="20"/>
        </w:rPr>
        <w:t>in debarment from contracting with the U.S. Government for a specific term, which could have a material adverse effect on our business, financial condition, results of operations, cash flows and equity.</w:t>
      </w:r>
    </w:p>
    <w:p w:rsidR="00000000" w:rsidRDefault="00AE54EE">
      <w:pPr>
        <w:divId w:val="1076591306"/>
        <w:rPr>
          <w:rFonts w:eastAsia="Times New Roman"/>
        </w:rPr>
      </w:pPr>
      <w:r>
        <w:rPr>
          <w:rFonts w:eastAsia="Times New Roman"/>
          <w:b/>
          <w:bCs/>
          <w:color w:val="000000"/>
          <w:sz w:val="20"/>
          <w:szCs w:val="20"/>
        </w:rPr>
        <w:t>Business and Operational Risks</w:t>
      </w:r>
    </w:p>
    <w:p w:rsidR="00000000" w:rsidRDefault="00AE54EE">
      <w:pPr>
        <w:divId w:val="1372001024"/>
        <w:rPr>
          <w:rFonts w:eastAsia="Times New Roman"/>
        </w:rPr>
      </w:pPr>
      <w:r>
        <w:rPr>
          <w:rFonts w:eastAsia="Times New Roman"/>
          <w:b/>
          <w:bCs/>
          <w:i/>
          <w:iCs/>
          <w:color w:val="000000"/>
          <w:sz w:val="20"/>
          <w:szCs w:val="20"/>
        </w:rPr>
        <w:t>We could be negatively</w:t>
      </w:r>
      <w:r>
        <w:rPr>
          <w:rFonts w:eastAsia="Times New Roman"/>
          <w:b/>
          <w:bCs/>
          <w:i/>
          <w:iCs/>
          <w:color w:val="000000"/>
          <w:sz w:val="20"/>
          <w:szCs w:val="20"/>
        </w:rPr>
        <w:t xml:space="preserve"> impacted by a security breach, through cyber attack, cyber intrusion, insider threats or otherwise, or other significant disruption of our IT networks and related systems or of those we operate for certain of our customers. </w:t>
      </w:r>
    </w:p>
    <w:p w:rsidR="00000000" w:rsidRDefault="00AE54EE">
      <w:pPr>
        <w:ind w:firstLine="450"/>
        <w:divId w:val="1652710950"/>
        <w:rPr>
          <w:rFonts w:eastAsia="Times New Roman"/>
        </w:rPr>
      </w:pPr>
      <w:r>
        <w:rPr>
          <w:rFonts w:eastAsia="Times New Roman"/>
          <w:color w:val="000000"/>
          <w:sz w:val="20"/>
          <w:szCs w:val="20"/>
        </w:rPr>
        <w:t>We face the risk of a security</w:t>
      </w:r>
      <w:r>
        <w:rPr>
          <w:rFonts w:eastAsia="Times New Roman"/>
          <w:color w:val="000000"/>
          <w:sz w:val="20"/>
          <w:szCs w:val="20"/>
        </w:rPr>
        <w:t xml:space="preserve"> breach, whether through cyber attack, cyber intrusion or insider threat via the Internet, malware, computer viruses, attachments to e-mails, persons inside our organization or with access to systems inside our organization, subcontractors or suppliers, th</w:t>
      </w:r>
      <w:r>
        <w:rPr>
          <w:rFonts w:eastAsia="Times New Roman"/>
          <w:color w:val="000000"/>
          <w:sz w:val="20"/>
          <w:szCs w:val="20"/>
        </w:rPr>
        <w:t>reats to the physical security of our facilities and employees or other significant disruption of our IT networks and related systems or those of our suppliers or subcontractors. We face an added risk of a security breach or other significant disruption of</w:t>
      </w:r>
      <w:r>
        <w:rPr>
          <w:rFonts w:eastAsia="Times New Roman"/>
          <w:color w:val="000000"/>
          <w:sz w:val="20"/>
          <w:szCs w:val="20"/>
        </w:rPr>
        <w:t xml:space="preserve"> the IT networks and related systems that we develop, install, operate and maintain for certain of our customers, which may involve managing and protecting information relating to national security and other sensitive government functions or personally ide</w:t>
      </w:r>
      <w:r>
        <w:rPr>
          <w:rFonts w:eastAsia="Times New Roman"/>
          <w:color w:val="000000"/>
          <w:sz w:val="20"/>
          <w:szCs w:val="20"/>
        </w:rPr>
        <w:t>ntifiable or protected health information. The risk of a security breach or disruption, particularly through cyber attack or cyber intrusion, including by computer hackers, foreign governments and cyber terrorists, is persistent and substantial as the volu</w:t>
      </w:r>
      <w:r>
        <w:rPr>
          <w:rFonts w:eastAsia="Times New Roman"/>
          <w:color w:val="000000"/>
          <w:sz w:val="20"/>
          <w:szCs w:val="20"/>
        </w:rPr>
        <w:t>me, intensity and sophistication of attempted attacks, intrusions and threats from around the world remain elevated and unlikely to diminish. As an advanced technology-based solutions provider, and particularly as a government contractor with access to nat</w:t>
      </w:r>
      <w:r>
        <w:rPr>
          <w:rFonts w:eastAsia="Times New Roman"/>
          <w:color w:val="000000"/>
          <w:sz w:val="20"/>
          <w:szCs w:val="20"/>
        </w:rPr>
        <w:t>ional security or other sensitive government information, we face a heightened risk of a security breach or disruption from threats to gain unauthorized access to our and our customers’ proprietary or classified information on our IT networks and related s</w:t>
      </w:r>
      <w:r>
        <w:rPr>
          <w:rFonts w:eastAsia="Times New Roman"/>
          <w:color w:val="000000"/>
          <w:sz w:val="20"/>
          <w:szCs w:val="20"/>
        </w:rPr>
        <w:t xml:space="preserve">ystems and to the IT networks and related systems that we operate and maintain for </w:t>
      </w:r>
    </w:p>
    <w:p w:rsidR="00000000" w:rsidRDefault="00AE54EE">
      <w:pPr>
        <w:ind w:firstLine="450"/>
        <w:jc w:val="center"/>
        <w:divId w:val="156700561"/>
        <w:rPr>
          <w:rFonts w:eastAsia="Times New Roman"/>
        </w:rPr>
      </w:pPr>
      <w:r>
        <w:rPr>
          <w:rFonts w:eastAsia="Times New Roman"/>
          <w:color w:val="000000"/>
          <w:sz w:val="20"/>
          <w:szCs w:val="20"/>
        </w:rPr>
        <w:t>17</w:t>
      </w:r>
    </w:p>
    <w:p w:rsidR="00000000" w:rsidRDefault="00AE54EE">
      <w:pPr>
        <w:rPr>
          <w:rFonts w:eastAsia="Times New Roman"/>
        </w:rPr>
      </w:pPr>
      <w:r>
        <w:rPr>
          <w:rFonts w:eastAsia="Times New Roman"/>
        </w:rPr>
        <w:pict>
          <v:rect id="_x0000_i1044" style="width:0;height:1.5pt" o:hralign="center" o:hrstd="t" o:hr="t" fillcolor="#a0a0a0" stroked="f"/>
        </w:pict>
      </w:r>
    </w:p>
    <w:p w:rsidR="00000000" w:rsidRDefault="00AE54EE">
      <w:pPr>
        <w:ind w:firstLine="450"/>
        <w:divId w:val="1052575463"/>
        <w:rPr>
          <w:rFonts w:eastAsia="Times New Roman"/>
        </w:rPr>
      </w:pPr>
    </w:p>
    <w:p w:rsidR="00000000" w:rsidRDefault="00AE54EE">
      <w:pPr>
        <w:divId w:val="1531531225"/>
        <w:rPr>
          <w:rFonts w:eastAsia="Times New Roman"/>
        </w:rPr>
      </w:pPr>
      <w:r>
        <w:rPr>
          <w:rFonts w:eastAsia="Times New Roman"/>
          <w:color w:val="000000"/>
          <w:sz w:val="20"/>
          <w:szCs w:val="20"/>
        </w:rPr>
        <w:t>certain of our customers. These types of information and IT networks and related systems are critical to the operation of our business and essential to our ability to perform day-to-day operations, and, in some cases, are critical to the operations of cert</w:t>
      </w:r>
      <w:r>
        <w:rPr>
          <w:rFonts w:eastAsia="Times New Roman"/>
          <w:color w:val="000000"/>
          <w:sz w:val="20"/>
          <w:szCs w:val="20"/>
        </w:rPr>
        <w:t>ain of our customers. We make significant efforts to maintain the security and integrity of these types of information and IT networks and related systems and have implemented various measures to manage the risk of a security breach or disruption. Our effo</w:t>
      </w:r>
      <w:r>
        <w:rPr>
          <w:rFonts w:eastAsia="Times New Roman"/>
          <w:color w:val="000000"/>
          <w:sz w:val="20"/>
          <w:szCs w:val="20"/>
        </w:rPr>
        <w:t xml:space="preserve">rts and measures have not been entirely effective in the case of every cyber security incident, but no incident has had a material negative impact on us to date. Even the most well-protected information, networks, systems and facilities remain potentially </w:t>
      </w:r>
      <w:r>
        <w:rPr>
          <w:rFonts w:eastAsia="Times New Roman"/>
          <w:color w:val="000000"/>
          <w:sz w:val="20"/>
          <w:szCs w:val="20"/>
        </w:rPr>
        <w:t>vulnerable because attempted security breaches, particularly cyber attacks and cyber intrusions, or disruptions will occur in the future, and because the techniques used in such attempts are constantly evolving and generally are not recognized until launch</w:t>
      </w:r>
      <w:r>
        <w:rPr>
          <w:rFonts w:eastAsia="Times New Roman"/>
          <w:color w:val="000000"/>
          <w:sz w:val="20"/>
          <w:szCs w:val="20"/>
        </w:rPr>
        <w:t>ed against a target, and in some cases are designed not to be detected and, in fact, may not be detected (for example, the SolarWinds cyber incident). In some cases, the resources of foreign governments may be behind such attacks due to the nature of our b</w:t>
      </w:r>
      <w:r>
        <w:rPr>
          <w:rFonts w:eastAsia="Times New Roman"/>
          <w:color w:val="000000"/>
          <w:sz w:val="20"/>
          <w:szCs w:val="20"/>
        </w:rPr>
        <w:t xml:space="preserve">usiness and the industries in which we operate. Accordingly, we may be unable to anticipate these techniques or to implement adequate security barriers or other preventative measures. Thus, it is impossible for us to entirely mitigate this risk, and there </w:t>
      </w:r>
      <w:r>
        <w:rPr>
          <w:rFonts w:eastAsia="Times New Roman"/>
          <w:color w:val="000000"/>
          <w:sz w:val="20"/>
          <w:szCs w:val="20"/>
        </w:rPr>
        <w:t>can be no assurance that future cyber security incidents will not have a material negative impact on us. A security breach or other significant disruption involving these types of information and IT networks and related systems could:</w:t>
      </w:r>
    </w:p>
    <w:p w:rsidR="00000000" w:rsidRDefault="00AE54EE">
      <w:pPr>
        <w:ind w:hanging="360"/>
        <w:divId w:val="1296374695"/>
        <w:rPr>
          <w:rFonts w:eastAsia="Times New Roman"/>
        </w:rPr>
      </w:pPr>
      <w:r>
        <w:rPr>
          <w:rFonts w:eastAsia="Times New Roman"/>
          <w:color w:val="000000"/>
          <w:sz w:val="20"/>
          <w:szCs w:val="20"/>
        </w:rPr>
        <w:t>•Disrupt proper funct</w:t>
      </w:r>
      <w:r>
        <w:rPr>
          <w:rFonts w:eastAsia="Times New Roman"/>
          <w:color w:val="000000"/>
          <w:sz w:val="20"/>
          <w:szCs w:val="20"/>
        </w:rPr>
        <w:t>ioning of these networks and systems and, therefore, our operations and/or those of certain of our customers;</w:t>
      </w:r>
    </w:p>
    <w:p w:rsidR="00000000" w:rsidRDefault="00AE54EE">
      <w:pPr>
        <w:ind w:hanging="360"/>
        <w:divId w:val="1607612453"/>
        <w:rPr>
          <w:rFonts w:eastAsia="Times New Roman"/>
        </w:rPr>
      </w:pPr>
      <w:r>
        <w:rPr>
          <w:rFonts w:eastAsia="Times New Roman"/>
          <w:color w:val="000000"/>
          <w:sz w:val="20"/>
          <w:szCs w:val="20"/>
        </w:rPr>
        <w:t>•Result in unauthorized access to, and destruction, loss, theft, misappropriation or release of, proprietary, confidential, sensitive or otherwise</w:t>
      </w:r>
      <w:r>
        <w:rPr>
          <w:rFonts w:eastAsia="Times New Roman"/>
          <w:color w:val="000000"/>
          <w:sz w:val="20"/>
          <w:szCs w:val="20"/>
        </w:rPr>
        <w:t xml:space="preserve"> valuable information of ours, our customers or our employees, including trade secrets, which could be used to compete against us or for disruptive, destructive or otherwise harmful purposes and outcomes;</w:t>
      </w:r>
    </w:p>
    <w:p w:rsidR="00000000" w:rsidRDefault="00AE54EE">
      <w:pPr>
        <w:ind w:hanging="360"/>
        <w:divId w:val="214514369"/>
        <w:rPr>
          <w:rFonts w:eastAsia="Times New Roman"/>
        </w:rPr>
      </w:pPr>
      <w:r>
        <w:rPr>
          <w:rFonts w:eastAsia="Times New Roman"/>
          <w:color w:val="000000"/>
          <w:sz w:val="20"/>
          <w:szCs w:val="20"/>
        </w:rPr>
        <w:t>•Compromise national security and other sensitive g</w:t>
      </w:r>
      <w:r>
        <w:rPr>
          <w:rFonts w:eastAsia="Times New Roman"/>
          <w:color w:val="000000"/>
          <w:sz w:val="20"/>
          <w:szCs w:val="20"/>
        </w:rPr>
        <w:t>overnment functions;</w:t>
      </w:r>
    </w:p>
    <w:p w:rsidR="00000000" w:rsidRDefault="00AE54EE">
      <w:pPr>
        <w:ind w:hanging="360"/>
        <w:divId w:val="371075165"/>
        <w:rPr>
          <w:rFonts w:eastAsia="Times New Roman"/>
        </w:rPr>
      </w:pPr>
      <w:r>
        <w:rPr>
          <w:rFonts w:eastAsia="Times New Roman"/>
          <w:color w:val="000000"/>
          <w:sz w:val="20"/>
          <w:szCs w:val="20"/>
        </w:rPr>
        <w:t>•Require significant management attention and resources to remedy damages that result;</w:t>
      </w:r>
    </w:p>
    <w:p w:rsidR="00000000" w:rsidRDefault="00AE54EE">
      <w:pPr>
        <w:ind w:hanging="360"/>
        <w:divId w:val="493452581"/>
        <w:rPr>
          <w:rFonts w:eastAsia="Times New Roman"/>
        </w:rPr>
      </w:pPr>
      <w:r>
        <w:rPr>
          <w:rFonts w:eastAsia="Times New Roman"/>
          <w:color w:val="000000"/>
          <w:sz w:val="20"/>
          <w:szCs w:val="20"/>
        </w:rPr>
        <w:t>•Result in costs which exceed our insurance coverage and/or indemnification arrangements;</w:t>
      </w:r>
    </w:p>
    <w:p w:rsidR="00000000" w:rsidRDefault="00AE54EE">
      <w:pPr>
        <w:ind w:hanging="360"/>
        <w:divId w:val="849444774"/>
        <w:rPr>
          <w:rFonts w:eastAsia="Times New Roman"/>
        </w:rPr>
      </w:pPr>
      <w:r>
        <w:rPr>
          <w:rFonts w:eastAsia="Times New Roman"/>
          <w:color w:val="000000"/>
          <w:sz w:val="20"/>
          <w:szCs w:val="20"/>
        </w:rPr>
        <w:t>•Subject us to claims for contract breach, damages, credit</w:t>
      </w:r>
      <w:r>
        <w:rPr>
          <w:rFonts w:eastAsia="Times New Roman"/>
          <w:color w:val="000000"/>
          <w:sz w:val="20"/>
          <w:szCs w:val="20"/>
        </w:rPr>
        <w:t>s, penalties or termination; and</w:t>
      </w:r>
    </w:p>
    <w:p w:rsidR="00000000" w:rsidRDefault="00AE54EE">
      <w:pPr>
        <w:ind w:hanging="360"/>
        <w:divId w:val="982781009"/>
        <w:rPr>
          <w:rFonts w:eastAsia="Times New Roman"/>
        </w:rPr>
      </w:pPr>
      <w:r>
        <w:rPr>
          <w:rFonts w:eastAsia="Times New Roman"/>
          <w:color w:val="000000"/>
          <w:sz w:val="20"/>
          <w:szCs w:val="20"/>
        </w:rPr>
        <w:t xml:space="preserve">•Damage our reputation with our customers (particularly agencies of the U.S. Government) and the general public.     </w:t>
      </w:r>
    </w:p>
    <w:p w:rsidR="00000000" w:rsidRDefault="00AE54EE">
      <w:pPr>
        <w:ind w:firstLine="450"/>
        <w:divId w:val="2073768441"/>
        <w:rPr>
          <w:rFonts w:eastAsia="Times New Roman"/>
        </w:rPr>
      </w:pPr>
      <w:r>
        <w:rPr>
          <w:rFonts w:eastAsia="Times New Roman"/>
          <w:color w:val="000000"/>
          <w:sz w:val="20"/>
          <w:szCs w:val="20"/>
        </w:rPr>
        <w:t>We must also rely on the safeguards put in place by customers, suppliers, vendors, subcontractors or othe</w:t>
      </w:r>
      <w:r>
        <w:rPr>
          <w:rFonts w:eastAsia="Times New Roman"/>
          <w:color w:val="000000"/>
          <w:sz w:val="20"/>
          <w:szCs w:val="20"/>
        </w:rPr>
        <w:t>r third parties to minimize the impact of cyber threats, other security threats or business disruptions. These third parties may have varying levels of cybersecurity expertise and safeguards, and their relationships with government contractors, such as us,</w:t>
      </w:r>
      <w:r>
        <w:rPr>
          <w:rFonts w:eastAsia="Times New Roman"/>
          <w:color w:val="000000"/>
          <w:sz w:val="20"/>
          <w:szCs w:val="20"/>
        </w:rPr>
        <w:t xml:space="preserve"> may increase their likelihood of being targeted by the same cyber threats we face. Our commercial arrangements with these third parties include processes designed to require that the third parties and their employees and agents agree to maintain certain s</w:t>
      </w:r>
      <w:r>
        <w:rPr>
          <w:rFonts w:eastAsia="Times New Roman"/>
          <w:color w:val="000000"/>
          <w:sz w:val="20"/>
          <w:szCs w:val="20"/>
        </w:rPr>
        <w:t xml:space="preserve">tandards for the storage, protection and transfer of confidential, personal and proprietary information. However, we remain at risk of a data breach due to the intentional or unintentional non-compliance by a third party’s employee or agent, the breakdown </w:t>
      </w:r>
      <w:r>
        <w:rPr>
          <w:rFonts w:eastAsia="Times New Roman"/>
          <w:color w:val="000000"/>
          <w:sz w:val="20"/>
          <w:szCs w:val="20"/>
        </w:rPr>
        <w:t>of a third party’s data protection processes, which may not be as sophisticated as ours, or a cyber-attack on a third party’s information network and systems.</w:t>
      </w:r>
    </w:p>
    <w:p w:rsidR="00000000" w:rsidRDefault="00AE54EE">
      <w:pPr>
        <w:ind w:firstLine="450"/>
        <w:divId w:val="772163097"/>
        <w:rPr>
          <w:rFonts w:eastAsia="Times New Roman"/>
        </w:rPr>
      </w:pPr>
      <w:r>
        <w:rPr>
          <w:rFonts w:eastAsia="Times New Roman"/>
          <w:color w:val="000000"/>
          <w:sz w:val="20"/>
          <w:szCs w:val="20"/>
        </w:rPr>
        <w:t>Any or all of the foregoing could have a negative impact on our business, financial condition, re</w:t>
      </w:r>
      <w:r>
        <w:rPr>
          <w:rFonts w:eastAsia="Times New Roman"/>
          <w:color w:val="000000"/>
          <w:sz w:val="20"/>
          <w:szCs w:val="20"/>
        </w:rPr>
        <w:t>sults of operations, cash flows and equity.</w:t>
      </w:r>
    </w:p>
    <w:p w:rsidR="00000000" w:rsidRDefault="00AE54EE">
      <w:pPr>
        <w:divId w:val="1059205977"/>
        <w:rPr>
          <w:rFonts w:eastAsia="Times New Roman"/>
        </w:rPr>
      </w:pPr>
      <w:r>
        <w:rPr>
          <w:rFonts w:eastAsia="Times New Roman"/>
          <w:b/>
          <w:bCs/>
          <w:i/>
          <w:iCs/>
          <w:color w:val="000000"/>
          <w:sz w:val="20"/>
          <w:szCs w:val="20"/>
        </w:rPr>
        <w:t>Our future success will depend on our ability to develop new products, systems, services and technologies that achieve market acceptance in our current and future markets.</w:t>
      </w:r>
    </w:p>
    <w:p w:rsidR="00000000" w:rsidRDefault="00AE54EE">
      <w:pPr>
        <w:ind w:firstLine="450"/>
        <w:divId w:val="2022049112"/>
        <w:rPr>
          <w:rFonts w:eastAsia="Times New Roman"/>
        </w:rPr>
      </w:pPr>
      <w:r>
        <w:rPr>
          <w:rFonts w:eastAsia="Times New Roman"/>
          <w:color w:val="000000"/>
          <w:sz w:val="20"/>
          <w:szCs w:val="20"/>
        </w:rPr>
        <w:t>Our businesses are characterized by rapi</w:t>
      </w:r>
      <w:r>
        <w:rPr>
          <w:rFonts w:eastAsia="Times New Roman"/>
          <w:color w:val="000000"/>
          <w:sz w:val="20"/>
          <w:szCs w:val="20"/>
        </w:rPr>
        <w:t>dly changing technologies and evolving industry standards. Accordingly, our performance depends on a number of factors, including our ability to:</w:t>
      </w:r>
    </w:p>
    <w:p w:rsidR="00000000" w:rsidRDefault="00AE54EE">
      <w:pPr>
        <w:ind w:hanging="360"/>
        <w:divId w:val="119348593"/>
        <w:rPr>
          <w:rFonts w:eastAsia="Times New Roman"/>
        </w:rPr>
      </w:pPr>
      <w:r>
        <w:rPr>
          <w:rFonts w:eastAsia="Times New Roman"/>
          <w:color w:val="000000"/>
          <w:sz w:val="20"/>
          <w:szCs w:val="20"/>
        </w:rPr>
        <w:t>•Identify market needs and growth opportunities;</w:t>
      </w:r>
    </w:p>
    <w:p w:rsidR="00000000" w:rsidRDefault="00AE54EE">
      <w:pPr>
        <w:ind w:hanging="360"/>
        <w:divId w:val="1986276044"/>
        <w:rPr>
          <w:rFonts w:eastAsia="Times New Roman"/>
        </w:rPr>
      </w:pPr>
      <w:r>
        <w:rPr>
          <w:rFonts w:eastAsia="Times New Roman"/>
          <w:color w:val="000000"/>
          <w:sz w:val="20"/>
          <w:szCs w:val="20"/>
        </w:rPr>
        <w:t>•</w:t>
      </w:r>
      <w:r>
        <w:rPr>
          <w:rFonts w:eastAsia="Times New Roman"/>
          <w:color w:val="000000"/>
          <w:sz w:val="20"/>
          <w:szCs w:val="20"/>
        </w:rPr>
        <w:t>Identify emerging technological trends in our current and target markets;</w:t>
      </w:r>
    </w:p>
    <w:p w:rsidR="00000000" w:rsidRDefault="00AE54EE">
      <w:pPr>
        <w:ind w:hanging="360"/>
        <w:divId w:val="1559320395"/>
        <w:rPr>
          <w:rFonts w:eastAsia="Times New Roman"/>
        </w:rPr>
      </w:pPr>
      <w:r>
        <w:rPr>
          <w:rFonts w:eastAsia="Times New Roman"/>
          <w:color w:val="000000"/>
          <w:sz w:val="20"/>
          <w:szCs w:val="20"/>
        </w:rPr>
        <w:t>•Identify additional uses for our existing technology to address customer needs;</w:t>
      </w:r>
    </w:p>
    <w:p w:rsidR="00000000" w:rsidRDefault="00AE54EE">
      <w:pPr>
        <w:ind w:hanging="360"/>
        <w:divId w:val="27800200"/>
        <w:rPr>
          <w:rFonts w:eastAsia="Times New Roman"/>
        </w:rPr>
      </w:pPr>
      <w:r>
        <w:rPr>
          <w:rFonts w:eastAsia="Times New Roman"/>
          <w:color w:val="000000"/>
          <w:sz w:val="20"/>
          <w:szCs w:val="20"/>
        </w:rPr>
        <w:t>•Develop and maintain competitive products, systems, services and technologies;</w:t>
      </w:r>
    </w:p>
    <w:p w:rsidR="00000000" w:rsidRDefault="00AE54EE">
      <w:pPr>
        <w:ind w:hanging="360"/>
        <w:divId w:val="644546764"/>
        <w:rPr>
          <w:rFonts w:eastAsia="Times New Roman"/>
        </w:rPr>
      </w:pPr>
      <w:r>
        <w:rPr>
          <w:rFonts w:eastAsia="Times New Roman"/>
          <w:color w:val="000000"/>
          <w:sz w:val="20"/>
          <w:szCs w:val="20"/>
        </w:rPr>
        <w:t>•Enhance our offering</w:t>
      </w:r>
      <w:r>
        <w:rPr>
          <w:rFonts w:eastAsia="Times New Roman"/>
          <w:color w:val="000000"/>
          <w:sz w:val="20"/>
          <w:szCs w:val="20"/>
        </w:rPr>
        <w:t>s by adding innovative hardware, software or other features that differentiate our products, systems, services and technologies from those of our competitors; </w:t>
      </w:r>
    </w:p>
    <w:p w:rsidR="00000000" w:rsidRDefault="00AE54EE">
      <w:pPr>
        <w:ind w:hanging="360"/>
        <w:divId w:val="595793394"/>
        <w:rPr>
          <w:rFonts w:eastAsia="Times New Roman"/>
        </w:rPr>
      </w:pPr>
      <w:r>
        <w:rPr>
          <w:rFonts w:eastAsia="Times New Roman"/>
          <w:color w:val="000000"/>
          <w:sz w:val="20"/>
          <w:szCs w:val="20"/>
        </w:rPr>
        <w:t>•Develop, manufacture and bring to market cost-effective offerings quickly;</w:t>
      </w:r>
    </w:p>
    <w:p w:rsidR="00000000" w:rsidRDefault="00AE54EE">
      <w:pPr>
        <w:ind w:hanging="360"/>
        <w:divId w:val="1883248262"/>
        <w:rPr>
          <w:rFonts w:eastAsia="Times New Roman"/>
        </w:rPr>
      </w:pPr>
      <w:r>
        <w:rPr>
          <w:rFonts w:eastAsia="Times New Roman"/>
          <w:color w:val="000000"/>
          <w:sz w:val="20"/>
          <w:szCs w:val="20"/>
        </w:rPr>
        <w:t>•Enhance product des</w:t>
      </w:r>
      <w:r>
        <w:rPr>
          <w:rFonts w:eastAsia="Times New Roman"/>
          <w:color w:val="000000"/>
          <w:sz w:val="20"/>
          <w:szCs w:val="20"/>
        </w:rPr>
        <w:t xml:space="preserve">igns for export and releasability to international markets; and </w:t>
      </w:r>
    </w:p>
    <w:p w:rsidR="00000000" w:rsidRDefault="00AE54EE">
      <w:pPr>
        <w:ind w:hanging="360"/>
        <w:divId w:val="649753266"/>
        <w:rPr>
          <w:rFonts w:eastAsia="Times New Roman"/>
        </w:rPr>
      </w:pPr>
      <w:r>
        <w:rPr>
          <w:rFonts w:eastAsia="Times New Roman"/>
          <w:color w:val="000000"/>
          <w:sz w:val="20"/>
          <w:szCs w:val="20"/>
        </w:rPr>
        <w:t>•Effectively structure our businesses to reflect the competitive environment, including through the use of joint ventures, collaborative agreements and other forms of alliances.</w:t>
      </w:r>
    </w:p>
    <w:p w:rsidR="00000000" w:rsidRDefault="00AE54EE">
      <w:pPr>
        <w:ind w:firstLine="450"/>
        <w:divId w:val="788670318"/>
        <w:rPr>
          <w:rFonts w:eastAsia="Times New Roman"/>
        </w:rPr>
      </w:pPr>
      <w:r>
        <w:rPr>
          <w:rFonts w:eastAsia="Times New Roman"/>
          <w:color w:val="000000"/>
          <w:sz w:val="20"/>
          <w:szCs w:val="20"/>
        </w:rPr>
        <w:t>To remain com</w:t>
      </w:r>
      <w:r>
        <w:rPr>
          <w:rFonts w:eastAsia="Times New Roman"/>
          <w:color w:val="000000"/>
          <w:sz w:val="20"/>
          <w:szCs w:val="20"/>
        </w:rPr>
        <w:t>petitive, we need to continue to design, develop, manufacture, assemble, test, market and support new products, systems, services and technologies, which will require the investment of significant financial resources. In the past, we have allocated substan</w:t>
      </w:r>
      <w:r>
        <w:rPr>
          <w:rFonts w:eastAsia="Times New Roman"/>
          <w:color w:val="000000"/>
          <w:sz w:val="20"/>
          <w:szCs w:val="20"/>
        </w:rPr>
        <w:t>tial funds for such investments through customer funded and internal research and development, acquisitions or other teaming arrangements. This practice will continue to be required, but we may not be able to successfully identify new opportunities and may</w:t>
      </w:r>
      <w:r>
        <w:rPr>
          <w:rFonts w:eastAsia="Times New Roman"/>
          <w:color w:val="000000"/>
          <w:sz w:val="20"/>
          <w:szCs w:val="20"/>
        </w:rPr>
        <w:t xml:space="preserve"> not have the necessary financial resources to develop new products, systems, services and </w:t>
      </w:r>
    </w:p>
    <w:p w:rsidR="00000000" w:rsidRDefault="00AE54EE">
      <w:pPr>
        <w:ind w:firstLine="450"/>
        <w:jc w:val="center"/>
        <w:divId w:val="1087531257"/>
        <w:rPr>
          <w:rFonts w:eastAsia="Times New Roman"/>
        </w:rPr>
      </w:pPr>
      <w:r>
        <w:rPr>
          <w:rFonts w:eastAsia="Times New Roman"/>
          <w:color w:val="000000"/>
          <w:sz w:val="20"/>
          <w:szCs w:val="20"/>
        </w:rPr>
        <w:t>18</w:t>
      </w:r>
    </w:p>
    <w:p w:rsidR="00000000" w:rsidRDefault="00AE54EE">
      <w:pPr>
        <w:rPr>
          <w:rFonts w:eastAsia="Times New Roman"/>
        </w:rPr>
      </w:pPr>
      <w:r>
        <w:rPr>
          <w:rFonts w:eastAsia="Times New Roman"/>
        </w:rPr>
        <w:pict>
          <v:rect id="_x0000_i1045" style="width:0;height:1.5pt" o:hralign="center" o:hrstd="t" o:hr="t" fillcolor="#a0a0a0" stroked="f"/>
        </w:pict>
      </w:r>
    </w:p>
    <w:p w:rsidR="00000000" w:rsidRDefault="00AE54EE">
      <w:pPr>
        <w:ind w:firstLine="450"/>
        <w:divId w:val="2041781273"/>
        <w:rPr>
          <w:rFonts w:eastAsia="Times New Roman"/>
        </w:rPr>
      </w:pPr>
    </w:p>
    <w:p w:rsidR="00000000" w:rsidRDefault="00AE54EE">
      <w:pPr>
        <w:divId w:val="1633709953"/>
        <w:rPr>
          <w:rFonts w:eastAsia="Times New Roman"/>
        </w:rPr>
      </w:pPr>
      <w:r>
        <w:rPr>
          <w:rFonts w:eastAsia="Times New Roman"/>
          <w:color w:val="000000"/>
          <w:sz w:val="20"/>
          <w:szCs w:val="20"/>
        </w:rPr>
        <w:t>technologies in a timely or cost-effective manner. Furthermore, the need to make these expenditures could divert our atten</w:t>
      </w:r>
      <w:r>
        <w:rPr>
          <w:rFonts w:eastAsia="Times New Roman"/>
          <w:color w:val="000000"/>
          <w:sz w:val="20"/>
          <w:szCs w:val="20"/>
        </w:rPr>
        <w:t>tion and resources from other projects, and we cannot be sure that these expenditures ultimately will lead to the timely development of new products, systems, services or technologies. Due to the design complexity of some of our products, systems, services</w:t>
      </w:r>
      <w:r>
        <w:rPr>
          <w:rFonts w:eastAsia="Times New Roman"/>
          <w:color w:val="000000"/>
          <w:sz w:val="20"/>
          <w:szCs w:val="20"/>
        </w:rPr>
        <w:t xml:space="preserve"> and technologies, we may experience delays in completing development and introducing new products, systems, services or technologies in the future. Any delays could result in increased costs of development or divert resources from other projects. In addit</w:t>
      </w:r>
      <w:r>
        <w:rPr>
          <w:rFonts w:eastAsia="Times New Roman"/>
          <w:color w:val="000000"/>
          <w:sz w:val="20"/>
          <w:szCs w:val="20"/>
        </w:rPr>
        <w:t>ion, the markets for our products, systems, services or technologies may not develop as we currently anticipate, we may not be as successful in newly identified markets as we currently anticipate, and acquisitions, joint ventures or other teaming arrangeme</w:t>
      </w:r>
      <w:r>
        <w:rPr>
          <w:rFonts w:eastAsia="Times New Roman"/>
          <w:color w:val="000000"/>
          <w:sz w:val="20"/>
          <w:szCs w:val="20"/>
        </w:rPr>
        <w:t>nts we may enter into to pursue developing new products, systems, services or technologies may not be successful. Failure of our products, systems, services or technologies to gain market acceptance could significantly reduce our revenue and harm our busin</w:t>
      </w:r>
      <w:r>
        <w:rPr>
          <w:rFonts w:eastAsia="Times New Roman"/>
          <w:color w:val="000000"/>
          <w:sz w:val="20"/>
          <w:szCs w:val="20"/>
        </w:rPr>
        <w:t>ess. Furthermore, competitors may develop competing products, systems, services or technologies that gain market acceptance in advance of our products, systems, services or technologies, or competitors may develop new products, systems, services or technol</w:t>
      </w:r>
      <w:r>
        <w:rPr>
          <w:rFonts w:eastAsia="Times New Roman"/>
          <w:color w:val="000000"/>
          <w:sz w:val="20"/>
          <w:szCs w:val="20"/>
        </w:rPr>
        <w:t>ogies that cause our existing products, systems, services or technologies to become non-competitive or obsolete, which could adversely affect our results of operations. The future direction of the domestic and global economies, including its impact on cust</w:t>
      </w:r>
      <w:r>
        <w:rPr>
          <w:rFonts w:eastAsia="Times New Roman"/>
          <w:color w:val="000000"/>
          <w:sz w:val="20"/>
          <w:szCs w:val="20"/>
        </w:rPr>
        <w:t>omer demand, also will have a significant impact on our overall performance.</w:t>
      </w:r>
    </w:p>
    <w:p w:rsidR="00000000" w:rsidRDefault="00AE54EE">
      <w:pPr>
        <w:divId w:val="1426613424"/>
        <w:rPr>
          <w:rFonts w:eastAsia="Times New Roman"/>
        </w:rPr>
      </w:pPr>
      <w:r>
        <w:rPr>
          <w:rFonts w:eastAsia="Times New Roman"/>
          <w:b/>
          <w:bCs/>
          <w:i/>
          <w:iCs/>
          <w:color w:val="000000"/>
          <w:sz w:val="20"/>
          <w:szCs w:val="20"/>
        </w:rPr>
        <w:t xml:space="preserve">We must attract and retain key employees, and any failure to do so could seriously harm us. </w:t>
      </w:r>
    </w:p>
    <w:p w:rsidR="00000000" w:rsidRDefault="00AE54EE">
      <w:pPr>
        <w:ind w:firstLine="450"/>
        <w:divId w:val="1424764389"/>
        <w:rPr>
          <w:rFonts w:eastAsia="Times New Roman"/>
        </w:rPr>
      </w:pPr>
      <w:r>
        <w:rPr>
          <w:rFonts w:eastAsia="Times New Roman"/>
          <w:color w:val="000000"/>
          <w:sz w:val="20"/>
          <w:szCs w:val="20"/>
        </w:rPr>
        <w:t>Our future success depends to a significant degree upon the continued contributions of</w:t>
      </w:r>
      <w:r>
        <w:rPr>
          <w:rFonts w:eastAsia="Times New Roman"/>
          <w:color w:val="000000"/>
          <w:sz w:val="20"/>
          <w:szCs w:val="20"/>
        </w:rPr>
        <w:t xml:space="preserve"> our management and our ability to attract and retain highly qualified management and technical personnel, including employees who have U.S. Government security clearances, particularly clearances of top-secret and above. To the extent that the demand for </w:t>
      </w:r>
      <w:r>
        <w:rPr>
          <w:rFonts w:eastAsia="Times New Roman"/>
          <w:color w:val="000000"/>
          <w:sz w:val="20"/>
          <w:szCs w:val="20"/>
        </w:rPr>
        <w:t>qualified personnel exceeds supply, as has been the case from time to time in recent years and has recently intensified further due to industry trends, we could experience higher labor, recruiting or training costs in order to attract and retain such emplo</w:t>
      </w:r>
      <w:r>
        <w:rPr>
          <w:rFonts w:eastAsia="Times New Roman"/>
          <w:color w:val="000000"/>
          <w:sz w:val="20"/>
          <w:szCs w:val="20"/>
        </w:rPr>
        <w:t>yees, or could experience difficulties in performing under our contracts if our needs for such employees were unmet. Failure to attract and retain such personnel would damage our future prospects and could adversely affect our ability to succeed in our hum</w:t>
      </w:r>
      <w:r>
        <w:rPr>
          <w:rFonts w:eastAsia="Times New Roman"/>
          <w:color w:val="000000"/>
          <w:sz w:val="20"/>
          <w:szCs w:val="20"/>
        </w:rPr>
        <w:t>an capital goals and priorities, as well as negatively impact our business and operating results.</w:t>
      </w:r>
    </w:p>
    <w:p w:rsidR="00000000" w:rsidRDefault="00AE54EE">
      <w:pPr>
        <w:divId w:val="1317102088"/>
        <w:rPr>
          <w:rFonts w:eastAsia="Times New Roman"/>
        </w:rPr>
      </w:pPr>
      <w:r>
        <w:rPr>
          <w:rFonts w:eastAsia="Times New Roman"/>
          <w:b/>
          <w:bCs/>
          <w:i/>
          <w:iCs/>
          <w:color w:val="000000"/>
          <w:sz w:val="20"/>
          <w:szCs w:val="20"/>
        </w:rPr>
        <w:t>Some of our workforce is represented by labor unions, so a prolonged work stoppage could harm our business.</w:t>
      </w:r>
    </w:p>
    <w:p w:rsidR="00000000" w:rsidRDefault="00AE54EE">
      <w:pPr>
        <w:ind w:firstLine="450"/>
        <w:divId w:val="1993680579"/>
        <w:rPr>
          <w:rFonts w:eastAsia="Times New Roman"/>
        </w:rPr>
      </w:pPr>
      <w:r>
        <w:rPr>
          <w:rFonts w:eastAsia="Times New Roman"/>
          <w:color w:val="000000"/>
          <w:sz w:val="20"/>
          <w:szCs w:val="20"/>
        </w:rPr>
        <w:t>At December 31, 2021, approximately 2,500 of our U</w:t>
      </w:r>
      <w:r>
        <w:rPr>
          <w:rFonts w:eastAsia="Times New Roman"/>
          <w:color w:val="000000"/>
          <w:sz w:val="20"/>
          <w:szCs w:val="20"/>
        </w:rPr>
        <w:t>.S. employees, or approximately 6 percent of our employee base, were unionized. If we encounter difficulties with renegotiation or renewals of collective bargaining arrangements or are unsuccessful in those efforts, we could incur additional costs and expe</w:t>
      </w:r>
      <w:r>
        <w:rPr>
          <w:rFonts w:eastAsia="Times New Roman"/>
          <w:color w:val="000000"/>
          <w:sz w:val="20"/>
          <w:szCs w:val="20"/>
        </w:rPr>
        <w:t>rience work stoppages. Union actions at suppliers can also affect us. We cannot predict how stable our union relationships will be or whether we will be able to successfully negotiate successor collective bargaining agreements without impacting our financi</w:t>
      </w:r>
      <w:r>
        <w:rPr>
          <w:rFonts w:eastAsia="Times New Roman"/>
          <w:color w:val="000000"/>
          <w:sz w:val="20"/>
          <w:szCs w:val="20"/>
        </w:rPr>
        <w:t>al condition. In addition, the presence of unions may limit our flexibility in dealing with our workforce. Work stoppages could negatively impact our ability to manufacture products or provide services on a timely basis, which could negatively impact our b</w:t>
      </w:r>
      <w:r>
        <w:rPr>
          <w:rFonts w:eastAsia="Times New Roman"/>
          <w:color w:val="000000"/>
          <w:sz w:val="20"/>
          <w:szCs w:val="20"/>
        </w:rPr>
        <w:t>usiness, financial condition, results of operations, cash flows and equity.</w:t>
      </w:r>
    </w:p>
    <w:p w:rsidR="00000000" w:rsidRDefault="00AE54EE">
      <w:pPr>
        <w:divId w:val="673723143"/>
        <w:rPr>
          <w:rFonts w:eastAsia="Times New Roman"/>
        </w:rPr>
      </w:pPr>
      <w:r>
        <w:rPr>
          <w:rFonts w:eastAsia="Times New Roman"/>
          <w:b/>
          <w:bCs/>
          <w:i/>
          <w:iCs/>
          <w:color w:val="000000"/>
          <w:sz w:val="20"/>
          <w:szCs w:val="20"/>
        </w:rPr>
        <w:t xml:space="preserve">Disputes with our subcontractors or key suppliers, or their inability to perform or timely deliver our components, parts or services, could cause our products, systems or services </w:t>
      </w:r>
      <w:r>
        <w:rPr>
          <w:rFonts w:eastAsia="Times New Roman"/>
          <w:b/>
          <w:bCs/>
          <w:i/>
          <w:iCs/>
          <w:color w:val="000000"/>
          <w:sz w:val="20"/>
          <w:szCs w:val="20"/>
        </w:rPr>
        <w:t xml:space="preserve">to be produced or delivered in an untimely or unsatisfactory manner. </w:t>
      </w:r>
    </w:p>
    <w:p w:rsidR="00000000" w:rsidRDefault="00AE54EE">
      <w:pPr>
        <w:ind w:firstLine="450"/>
        <w:divId w:val="834146324"/>
        <w:rPr>
          <w:rFonts w:eastAsia="Times New Roman"/>
        </w:rPr>
      </w:pPr>
      <w:r>
        <w:rPr>
          <w:rFonts w:eastAsia="Times New Roman"/>
          <w:color w:val="000000"/>
          <w:sz w:val="20"/>
          <w:szCs w:val="20"/>
        </w:rPr>
        <w:t>We engage subcontractors on many of our contracts and from time to time may have disputes with them, including regarding the quality and timeliness of work performed by them, customer co</w:t>
      </w:r>
      <w:r>
        <w:rPr>
          <w:rFonts w:eastAsia="Times New Roman"/>
          <w:color w:val="000000"/>
          <w:sz w:val="20"/>
          <w:szCs w:val="20"/>
        </w:rPr>
        <w:t>ncerns about the subcontract or subcontractor, our failure to extend existing task orders or issue new task orders under a subcontract, our hiring of the personnel of a subcontractor or vice versa or the subcontractor’s failure to comply with applicable la</w:t>
      </w:r>
      <w:r>
        <w:rPr>
          <w:rFonts w:eastAsia="Times New Roman"/>
          <w:color w:val="000000"/>
          <w:sz w:val="20"/>
          <w:szCs w:val="20"/>
        </w:rPr>
        <w:t>w. In addition, there are certain parts, components and services for many of our products, systems and services that we source from other manufacturers or vendors. Some of our suppliers, from time to time, experience financial and operational difficulties,</w:t>
      </w:r>
      <w:r>
        <w:rPr>
          <w:rFonts w:eastAsia="Times New Roman"/>
          <w:color w:val="000000"/>
          <w:sz w:val="20"/>
          <w:szCs w:val="20"/>
        </w:rPr>
        <w:t xml:space="preserve"> which may impact their ability to supply the materials, components, subsystems and services that we require. Tariffs recently imposed on certain materials and other trade issues may create or exacerbate existing materials shortages and may result in furth</w:t>
      </w:r>
      <w:r>
        <w:rPr>
          <w:rFonts w:eastAsia="Times New Roman"/>
          <w:color w:val="000000"/>
          <w:sz w:val="20"/>
          <w:szCs w:val="20"/>
        </w:rPr>
        <w:t>er supplier business closures. Our supply chain could also be disrupted by external events, such as natural disasters (including those as a result of climate change) or other significant disruptions (including COVID-related impacts as described above under</w:t>
      </w:r>
      <w:r>
        <w:rPr>
          <w:rFonts w:eastAsia="Times New Roman"/>
          <w:color w:val="000000"/>
          <w:sz w:val="20"/>
          <w:szCs w:val="20"/>
        </w:rPr>
        <w:t xml:space="preserve"> “COVID-Related Risks,” extreme weather conditions, epidemics, acts of terrorism, cyber attacks and labor disputes), governmental actions and legislative or regulatory changes, including product certification or stewardship requirements, sourcing restricti</w:t>
      </w:r>
      <w:r>
        <w:rPr>
          <w:rFonts w:eastAsia="Times New Roman"/>
          <w:color w:val="000000"/>
          <w:sz w:val="20"/>
          <w:szCs w:val="20"/>
        </w:rPr>
        <w:t xml:space="preserve">ons, product authenticity and climate change or GHG emission standards, or availability constraints from increased demand from customers. These or any further political or governmental developments or health concerns in countries in which we operate could </w:t>
      </w:r>
      <w:r>
        <w:rPr>
          <w:rFonts w:eastAsia="Times New Roman"/>
          <w:color w:val="000000"/>
          <w:sz w:val="20"/>
          <w:szCs w:val="20"/>
        </w:rPr>
        <w:t>result in social, economic and labor instability. Any inability to develop alternative sources of supply on a cost-effective and timely basis could materially impair our ability to manufacture and deliver products, systems and services to our customers. Co</w:t>
      </w:r>
      <w:r>
        <w:rPr>
          <w:rFonts w:eastAsia="Times New Roman"/>
          <w:color w:val="000000"/>
          <w:sz w:val="20"/>
          <w:szCs w:val="20"/>
        </w:rPr>
        <w:t>mplying with U.S. Government contracting regulations that limit the source or manufacture of suppliers and impose stringent cybersecurity regulations also may create challenges for our supply chain and increase costs. We may experience disputes with our su</w:t>
      </w:r>
      <w:r>
        <w:rPr>
          <w:rFonts w:eastAsia="Times New Roman"/>
          <w:color w:val="000000"/>
          <w:sz w:val="20"/>
          <w:szCs w:val="20"/>
        </w:rPr>
        <w:t>bcontractors; material supply constraints or problems, including shortages of components, commodities or other materials; or component, subsystems or services problems in the future. Also, our subcontractors and other suppliers may not be able to acquire o</w:t>
      </w:r>
      <w:r>
        <w:rPr>
          <w:rFonts w:eastAsia="Times New Roman"/>
          <w:color w:val="000000"/>
          <w:sz w:val="20"/>
          <w:szCs w:val="20"/>
        </w:rPr>
        <w:t>r maintain the quality of the materials, components, subsystems and services they supply, which might result in greater product returns, service problems and warranty claims and could harm our business, financial condition, results of operations, cash flow</w:t>
      </w:r>
      <w:r>
        <w:rPr>
          <w:rFonts w:eastAsia="Times New Roman"/>
          <w:color w:val="000000"/>
          <w:sz w:val="20"/>
          <w:szCs w:val="20"/>
        </w:rPr>
        <w:t xml:space="preserve">s and equity. In addition, in connection with our government contracts, we are required to procure certain materials, components and parts, including certain </w:t>
      </w:r>
    </w:p>
    <w:p w:rsidR="00000000" w:rsidRDefault="00AE54EE">
      <w:pPr>
        <w:ind w:firstLine="450"/>
        <w:jc w:val="center"/>
        <w:divId w:val="1374110531"/>
        <w:rPr>
          <w:rFonts w:eastAsia="Times New Roman"/>
        </w:rPr>
      </w:pPr>
      <w:r>
        <w:rPr>
          <w:rFonts w:eastAsia="Times New Roman"/>
          <w:color w:val="000000"/>
          <w:sz w:val="20"/>
          <w:szCs w:val="20"/>
        </w:rPr>
        <w:t>19</w:t>
      </w:r>
    </w:p>
    <w:p w:rsidR="00000000" w:rsidRDefault="00AE54EE">
      <w:pPr>
        <w:rPr>
          <w:rFonts w:eastAsia="Times New Roman"/>
        </w:rPr>
      </w:pPr>
      <w:r>
        <w:rPr>
          <w:rFonts w:eastAsia="Times New Roman"/>
        </w:rPr>
        <w:pict>
          <v:rect id="_x0000_i1046" style="width:0;height:1.5pt" o:hralign="center" o:hrstd="t" o:hr="t" fillcolor="#a0a0a0" stroked="f"/>
        </w:pict>
      </w:r>
    </w:p>
    <w:p w:rsidR="00000000" w:rsidRDefault="00AE54EE">
      <w:pPr>
        <w:ind w:firstLine="450"/>
        <w:divId w:val="1923875702"/>
        <w:rPr>
          <w:rFonts w:eastAsia="Times New Roman"/>
        </w:rPr>
      </w:pPr>
    </w:p>
    <w:p w:rsidR="00000000" w:rsidRDefault="00AE54EE">
      <w:pPr>
        <w:divId w:val="1139609387"/>
        <w:rPr>
          <w:rFonts w:eastAsia="Times New Roman"/>
        </w:rPr>
      </w:pPr>
      <w:r>
        <w:rPr>
          <w:rFonts w:eastAsia="Times New Roman"/>
          <w:color w:val="000000"/>
          <w:sz w:val="20"/>
          <w:szCs w:val="20"/>
        </w:rPr>
        <w:t>microelectronics components, from supply sources approve</w:t>
      </w:r>
      <w:r>
        <w:rPr>
          <w:rFonts w:eastAsia="Times New Roman"/>
          <w:color w:val="000000"/>
          <w:sz w:val="20"/>
          <w:szCs w:val="20"/>
        </w:rPr>
        <w:t>d by the U.S. Government and we rely on our subcontractors and suppliers to comply with applicable laws, regulations and other requirements regarding procurement of counterfeit, unauthorized or otherwise non-compliant parts or materials, including parts or</w:t>
      </w:r>
      <w:r>
        <w:rPr>
          <w:rFonts w:eastAsia="Times New Roman"/>
          <w:color w:val="000000"/>
          <w:sz w:val="20"/>
          <w:szCs w:val="20"/>
        </w:rPr>
        <w:t xml:space="preserve"> materials they supply to us, and in some circumstances, we rely on their certifications as to their compliance. From time to time, there are components for which there may be only one supplier, which may be unable to meet our needs. Each of these subcontr</w:t>
      </w:r>
      <w:r>
        <w:rPr>
          <w:rFonts w:eastAsia="Times New Roman"/>
          <w:color w:val="000000"/>
          <w:sz w:val="20"/>
          <w:szCs w:val="20"/>
        </w:rPr>
        <w:t>actor and supplier risks could have a material adverse effect on our business, financial condition, results of operations, cash flows and equity.</w:t>
      </w:r>
    </w:p>
    <w:p w:rsidR="00000000" w:rsidRDefault="00AE54EE">
      <w:pPr>
        <w:divId w:val="1607349098"/>
        <w:rPr>
          <w:rFonts w:eastAsia="Times New Roman"/>
        </w:rPr>
      </w:pPr>
      <w:r>
        <w:rPr>
          <w:rFonts w:eastAsia="Times New Roman"/>
          <w:b/>
          <w:bCs/>
          <w:i/>
          <w:iCs/>
          <w:color w:val="000000"/>
          <w:sz w:val="20"/>
          <w:szCs w:val="20"/>
        </w:rPr>
        <w:t xml:space="preserve">We have significant operations in locations that could be materially and adversely impacted in the event of a </w:t>
      </w:r>
      <w:r>
        <w:rPr>
          <w:rFonts w:eastAsia="Times New Roman"/>
          <w:b/>
          <w:bCs/>
          <w:i/>
          <w:iCs/>
          <w:color w:val="000000"/>
          <w:sz w:val="20"/>
          <w:szCs w:val="20"/>
        </w:rPr>
        <w:t>natural disaster or other significant disruption.</w:t>
      </w:r>
    </w:p>
    <w:p w:rsidR="00000000" w:rsidRDefault="00AE54EE">
      <w:pPr>
        <w:ind w:firstLine="450"/>
        <w:divId w:val="288441918"/>
        <w:rPr>
          <w:rFonts w:eastAsia="Times New Roman"/>
        </w:rPr>
      </w:pPr>
      <w:r>
        <w:rPr>
          <w:rFonts w:eastAsia="Times New Roman"/>
          <w:color w:val="000000"/>
          <w:sz w:val="20"/>
          <w:szCs w:val="20"/>
        </w:rPr>
        <w:t>Our corporate headquarters and significant business operations are located in Florida, which is subject to the risk of major hurricanes. Our worldwide operations and operations of our suppliers and customer</w:t>
      </w:r>
      <w:r>
        <w:rPr>
          <w:rFonts w:eastAsia="Times New Roman"/>
          <w:color w:val="000000"/>
          <w:sz w:val="20"/>
          <w:szCs w:val="20"/>
        </w:rPr>
        <w:t>s could be subject to natural disasters (including those as a result of climate change) or other significant disruptions, including hurricanes, typhoons, tsunamis, floods, earthquakes, fires, water shortages, other extreme weather conditions, epidemics, pa</w:t>
      </w:r>
      <w:r>
        <w:rPr>
          <w:rFonts w:eastAsia="Times New Roman"/>
          <w:color w:val="000000"/>
          <w:sz w:val="20"/>
          <w:szCs w:val="20"/>
        </w:rPr>
        <w:t>ndemics, COVID-related impacts as described above under “COVID-Related Risks,” acts of terrorism, power shortages and blackouts, telecommunications failures, cyber attacks and other natural and man-made disasters or disruptions. In the event of such a natu</w:t>
      </w:r>
      <w:r>
        <w:rPr>
          <w:rFonts w:eastAsia="Times New Roman"/>
          <w:color w:val="000000"/>
          <w:sz w:val="20"/>
          <w:szCs w:val="20"/>
        </w:rPr>
        <w:t>ral disaster or other disruption, we could experience disruptions or interruptions to our operations or the operations of our suppliers, subcontractors, distributors, resellers or customers, including inability of employees to work; destruction of faciliti</w:t>
      </w:r>
      <w:r>
        <w:rPr>
          <w:rFonts w:eastAsia="Times New Roman"/>
          <w:color w:val="000000"/>
          <w:sz w:val="20"/>
          <w:szCs w:val="20"/>
        </w:rPr>
        <w:t>es; and/or loss of life, all of which could materially increase our costs and expenses, delay or decrease orders and revenue from our customers and have a material adverse effect on the continuity of our business and our business, financial condition, resu</w:t>
      </w:r>
      <w:r>
        <w:rPr>
          <w:rFonts w:eastAsia="Times New Roman"/>
          <w:color w:val="000000"/>
          <w:sz w:val="20"/>
          <w:szCs w:val="20"/>
        </w:rPr>
        <w:t>lts of operations, cash flows and equity. Additionally, we could incur significant costs to improve the climate-related resiliency of our infrastructure and supply chain and otherwise prepare for, respond to, and mitigate the effects of climate change.</w:t>
      </w:r>
    </w:p>
    <w:p w:rsidR="00000000" w:rsidRDefault="00AE54EE">
      <w:pPr>
        <w:divId w:val="1573807912"/>
        <w:rPr>
          <w:rFonts w:eastAsia="Times New Roman"/>
        </w:rPr>
      </w:pPr>
      <w:r>
        <w:rPr>
          <w:rFonts w:eastAsia="Times New Roman"/>
          <w:b/>
          <w:bCs/>
          <w:color w:val="000000"/>
          <w:sz w:val="20"/>
          <w:szCs w:val="20"/>
        </w:rPr>
        <w:t>Fin</w:t>
      </w:r>
      <w:r>
        <w:rPr>
          <w:rFonts w:eastAsia="Times New Roman"/>
          <w:b/>
          <w:bCs/>
          <w:color w:val="000000"/>
          <w:sz w:val="20"/>
          <w:szCs w:val="20"/>
        </w:rPr>
        <w:t>ancial Risks</w:t>
      </w:r>
    </w:p>
    <w:p w:rsidR="00000000" w:rsidRDefault="00AE54EE">
      <w:pPr>
        <w:divId w:val="462575621"/>
        <w:rPr>
          <w:rFonts w:eastAsia="Times New Roman"/>
        </w:rPr>
      </w:pPr>
      <w:r>
        <w:rPr>
          <w:rFonts w:eastAsia="Times New Roman"/>
          <w:b/>
          <w:bCs/>
          <w:i/>
          <w:iCs/>
          <w:color w:val="000000"/>
          <w:sz w:val="20"/>
          <w:szCs w:val="20"/>
        </w:rPr>
        <w:t>Changes in estimates we use in accounting for many of our programs could adversely affect our future financial results.</w:t>
      </w:r>
    </w:p>
    <w:p w:rsidR="00000000" w:rsidRDefault="00AE54EE">
      <w:pPr>
        <w:ind w:firstLine="450"/>
        <w:divId w:val="1582449054"/>
        <w:rPr>
          <w:rFonts w:eastAsia="Times New Roman"/>
        </w:rPr>
      </w:pPr>
      <w:r>
        <w:rPr>
          <w:rFonts w:eastAsia="Times New Roman"/>
          <w:color w:val="000000"/>
          <w:sz w:val="20"/>
          <w:szCs w:val="20"/>
        </w:rPr>
        <w:t>Accounting for our contracts requires judgment relative to assessing risks, including risks associated with customer-directed delays and reductions in scheduled deliveries, unfavorable resolutions of claims and contractual matters and judgment associated w</w:t>
      </w:r>
      <w:r>
        <w:rPr>
          <w:rFonts w:eastAsia="Times New Roman"/>
          <w:color w:val="000000"/>
          <w:sz w:val="20"/>
          <w:szCs w:val="20"/>
        </w:rPr>
        <w:t>ith estimating contract revenue and costs and assumptions for schedule and technical issues. Due to the size and nature of many of our contracts, the estimation of total revenue and cost at completion is complicated and subject to many variables. For examp</w:t>
      </w:r>
      <w:r>
        <w:rPr>
          <w:rFonts w:eastAsia="Times New Roman"/>
          <w:color w:val="000000"/>
          <w:sz w:val="20"/>
          <w:szCs w:val="20"/>
        </w:rPr>
        <w:t>le, we must make assumptions regarding: (i) the length of time to complete the contract because costs also include expected increases in wages and prices for materials; (ii) whether contracts should be accounted for as having one or more performance obliga</w:t>
      </w:r>
      <w:r>
        <w:rPr>
          <w:rFonts w:eastAsia="Times New Roman"/>
          <w:color w:val="000000"/>
          <w:sz w:val="20"/>
          <w:szCs w:val="20"/>
        </w:rPr>
        <w:t>tions based on the goods and services promised to the customer; (iii) incentives or penalties related to performance on contracts in estimating revenue and profit rates, and recording them when there is sufficient information for us to assess anticipated p</w:t>
      </w:r>
      <w:r>
        <w:rPr>
          <w:rFonts w:eastAsia="Times New Roman"/>
          <w:color w:val="000000"/>
          <w:sz w:val="20"/>
          <w:szCs w:val="20"/>
        </w:rPr>
        <w:t>erformance; and (iv) estimates of award fees in estimating revenue and profit rates based on actual and anticipated awards. Because of the significance of the judgments and estimation processes involved in accounting for our contracts, materially different</w:t>
      </w:r>
      <w:r>
        <w:rPr>
          <w:rFonts w:eastAsia="Times New Roman"/>
          <w:color w:val="000000"/>
          <w:sz w:val="20"/>
          <w:szCs w:val="20"/>
        </w:rPr>
        <w:t xml:space="preserve"> amounts could be recorded if we used different assumptions or if the underlying circumstances were to change. Changes in underlying assumptions, circumstances or estimates may adversely affect our future results of operations and financial condition. For </w:t>
      </w:r>
      <w:r>
        <w:rPr>
          <w:rFonts w:eastAsia="Times New Roman"/>
          <w:color w:val="000000"/>
          <w:sz w:val="20"/>
          <w:szCs w:val="20"/>
        </w:rPr>
        <w:t>additional information regarding our critical accounting policies and estimates applicable to our accounting for our contracts, see “Item 7. Management’s Discussion and Analysis of Financial Conditions and Results of Operations - Critical Accounting Polici</w:t>
      </w:r>
      <w:r>
        <w:rPr>
          <w:rFonts w:eastAsia="Times New Roman"/>
          <w:color w:val="000000"/>
          <w:sz w:val="20"/>
          <w:szCs w:val="20"/>
        </w:rPr>
        <w:t>es and Estimates” of this Report.</w:t>
      </w:r>
    </w:p>
    <w:p w:rsidR="00000000" w:rsidRDefault="00AE54EE">
      <w:pPr>
        <w:divId w:val="1721394538"/>
        <w:rPr>
          <w:rFonts w:eastAsia="Times New Roman"/>
        </w:rPr>
      </w:pPr>
      <w:r>
        <w:rPr>
          <w:rFonts w:eastAsia="Times New Roman"/>
          <w:b/>
          <w:bCs/>
          <w:i/>
          <w:iCs/>
          <w:color w:val="000000"/>
          <w:sz w:val="20"/>
          <w:szCs w:val="20"/>
        </w:rPr>
        <w:t>Our level of indebtedness and our ability to make payments on or service our indebtedness and our unfunded defined benefit plans liability may materially adversely affect our financial and operating activities or our ability to incur additional debt.</w:t>
      </w:r>
    </w:p>
    <w:p w:rsidR="00000000" w:rsidRDefault="00AE54EE">
      <w:pPr>
        <w:ind w:firstLine="450"/>
        <w:divId w:val="701172630"/>
        <w:rPr>
          <w:rFonts w:eastAsia="Times New Roman"/>
        </w:rPr>
      </w:pPr>
      <w:r>
        <w:rPr>
          <w:rFonts w:eastAsia="Times New Roman"/>
          <w:color w:val="000000"/>
          <w:sz w:val="20"/>
          <w:szCs w:val="20"/>
        </w:rPr>
        <w:t>At De</w:t>
      </w:r>
      <w:r>
        <w:rPr>
          <w:rFonts w:eastAsia="Times New Roman"/>
          <w:color w:val="000000"/>
          <w:sz w:val="20"/>
          <w:szCs w:val="20"/>
        </w:rPr>
        <w:t>cember 31, 2021, we had $7.0 billion in aggregate principal amount of outstanding debt and $0.6 billion of unfunded defined benefit plans liability. These amounts may increase; however, our ability to increase our borrowings is subject to limitations impos</w:t>
      </w:r>
      <w:r>
        <w:rPr>
          <w:rFonts w:eastAsia="Times New Roman"/>
          <w:color w:val="000000"/>
          <w:sz w:val="20"/>
          <w:szCs w:val="20"/>
        </w:rPr>
        <w:t>ed on us by our debt agreements. Our ability to make payments on and to refinance our current or future indebtedness, and our ability to make contributions to our unfunded defined benefit plans liability, will depend on our ability to generate cash from op</w:t>
      </w:r>
      <w:r>
        <w:rPr>
          <w:rFonts w:eastAsia="Times New Roman"/>
          <w:color w:val="000000"/>
          <w:sz w:val="20"/>
          <w:szCs w:val="20"/>
        </w:rPr>
        <w:t>erations, financings or asset sales, which may be subject to general economic, financial, competitive, legislative, regulatory and other factors that are beyond our control. If we are not able to repay or refinance our debt as it becomes due or make contri</w:t>
      </w:r>
      <w:r>
        <w:rPr>
          <w:rFonts w:eastAsia="Times New Roman"/>
          <w:color w:val="000000"/>
          <w:sz w:val="20"/>
          <w:szCs w:val="20"/>
        </w:rPr>
        <w:t>butions to our unfunded defined benefit plans liability, we may be forced to sell assets or take other disadvantageous actions, including reducing financing for working capital, capital expenditures and general corporate purposes; reducing our cash dividen</w:t>
      </w:r>
      <w:r>
        <w:rPr>
          <w:rFonts w:eastAsia="Times New Roman"/>
          <w:color w:val="000000"/>
          <w:sz w:val="20"/>
          <w:szCs w:val="20"/>
        </w:rPr>
        <w:t xml:space="preserve">d rate and/or share repurchases; or dedicating an unsustainable level of our cash flow from operations to the payment of principal and interest on our indebtedness. In addition, our ability to withstand competitive pressures and to react to changes in the </w:t>
      </w:r>
      <w:r>
        <w:rPr>
          <w:rFonts w:eastAsia="Times New Roman"/>
          <w:color w:val="000000"/>
          <w:sz w:val="20"/>
          <w:szCs w:val="20"/>
        </w:rPr>
        <w:t>defense technology industry could be impaired. The lenders who hold such debt could also accelerate amounts due, which could potentially trigger a default or acceleration of any of our other debt.</w:t>
      </w:r>
    </w:p>
    <w:p w:rsidR="00000000" w:rsidRDefault="00AE54EE">
      <w:pPr>
        <w:ind w:firstLine="450"/>
        <w:divId w:val="278337051"/>
        <w:rPr>
          <w:rFonts w:eastAsia="Times New Roman"/>
        </w:rPr>
      </w:pPr>
      <w:r>
        <w:rPr>
          <w:rFonts w:eastAsia="Times New Roman"/>
          <w:color w:val="000000"/>
          <w:sz w:val="20"/>
          <w:szCs w:val="20"/>
        </w:rPr>
        <w:t>Additionally, certain of our financial obligations and inst</w:t>
      </w:r>
      <w:r>
        <w:rPr>
          <w:rFonts w:eastAsia="Times New Roman"/>
          <w:color w:val="000000"/>
          <w:sz w:val="20"/>
          <w:szCs w:val="20"/>
        </w:rPr>
        <w:t>ruments, including our 2019 Credit Facility (defined below) and Floating Rate Notes due March 10, 2023, as well as financial instruments that we hold or use or may hold or use, such as interest rate swaps, are or may be made at variable interest rates that</w:t>
      </w:r>
      <w:r>
        <w:rPr>
          <w:rFonts w:eastAsia="Times New Roman"/>
          <w:color w:val="000000"/>
          <w:sz w:val="20"/>
          <w:szCs w:val="20"/>
        </w:rPr>
        <w:t xml:space="preserve"> use the London interbank offered rate (“LIBOR”) (or metrics derived </w:t>
      </w:r>
    </w:p>
    <w:p w:rsidR="00000000" w:rsidRDefault="00AE54EE">
      <w:pPr>
        <w:ind w:firstLine="450"/>
        <w:jc w:val="center"/>
        <w:divId w:val="368191894"/>
        <w:rPr>
          <w:rFonts w:eastAsia="Times New Roman"/>
        </w:rPr>
      </w:pPr>
      <w:r>
        <w:rPr>
          <w:rFonts w:eastAsia="Times New Roman"/>
          <w:color w:val="000000"/>
          <w:sz w:val="20"/>
          <w:szCs w:val="20"/>
        </w:rPr>
        <w:t>20</w:t>
      </w:r>
    </w:p>
    <w:p w:rsidR="00000000" w:rsidRDefault="00AE54EE">
      <w:pPr>
        <w:rPr>
          <w:rFonts w:eastAsia="Times New Roman"/>
        </w:rPr>
      </w:pPr>
      <w:r>
        <w:rPr>
          <w:rFonts w:eastAsia="Times New Roman"/>
        </w:rPr>
        <w:pict>
          <v:rect id="_x0000_i1047" style="width:0;height:1.5pt" o:hralign="center" o:hrstd="t" o:hr="t" fillcolor="#a0a0a0" stroked="f"/>
        </w:pict>
      </w:r>
    </w:p>
    <w:p w:rsidR="00000000" w:rsidRDefault="00AE54EE">
      <w:pPr>
        <w:ind w:firstLine="450"/>
        <w:divId w:val="228610714"/>
        <w:rPr>
          <w:rFonts w:eastAsia="Times New Roman"/>
        </w:rPr>
      </w:pPr>
    </w:p>
    <w:p w:rsidR="00000000" w:rsidRDefault="00AE54EE">
      <w:pPr>
        <w:divId w:val="331687766"/>
        <w:rPr>
          <w:rFonts w:eastAsia="Times New Roman"/>
        </w:rPr>
      </w:pPr>
      <w:r>
        <w:rPr>
          <w:rFonts w:eastAsia="Times New Roman"/>
          <w:color w:val="000000"/>
          <w:sz w:val="20"/>
          <w:szCs w:val="20"/>
        </w:rPr>
        <w:t>from or related to LIBOR) as a benchmark for establishing the applicable interest rate. The U.K. Financial Conduct Authority, which regulates LI</w:t>
      </w:r>
      <w:r>
        <w:rPr>
          <w:rFonts w:eastAsia="Times New Roman"/>
          <w:color w:val="000000"/>
          <w:sz w:val="20"/>
          <w:szCs w:val="20"/>
        </w:rPr>
        <w:t>BOR, has announced that it intends to phase out LIBOR. Banks currently reporting information used to set U.S. dollar LIBOR are currently expected to stop doing so during 2023. The potential consequences from discontinuation, modification or reform of LIBOR</w:t>
      </w:r>
      <w:r>
        <w:rPr>
          <w:rFonts w:eastAsia="Times New Roman"/>
          <w:color w:val="000000"/>
          <w:sz w:val="20"/>
          <w:szCs w:val="20"/>
        </w:rPr>
        <w:t xml:space="preserve">, implementation of alternative reference rates and any interest rate transition process cannot be fully predicted and may have an adverse impact on values of LIBOR-linked securities and other financial obligations or extensions of credit and may involve, </w:t>
      </w:r>
      <w:r>
        <w:rPr>
          <w:rFonts w:eastAsia="Times New Roman"/>
          <w:color w:val="000000"/>
          <w:sz w:val="20"/>
          <w:szCs w:val="20"/>
        </w:rPr>
        <w:t>among other things, increased volatility or illiquidity in markets for instruments that rely on LIBOR, reductions in effectiveness of related transactions such as hedges, increased borrowing costs, uncertainty under applicable documentation, or difficult a</w:t>
      </w:r>
      <w:r>
        <w:rPr>
          <w:rFonts w:eastAsia="Times New Roman"/>
          <w:color w:val="000000"/>
          <w:sz w:val="20"/>
          <w:szCs w:val="20"/>
        </w:rPr>
        <w:t xml:space="preserve">nd costly consent processes. This could materially and adversely affect our results of operations, cash flows and liquidity. See </w:t>
      </w:r>
      <w:r>
        <w:rPr>
          <w:rFonts w:eastAsia="Times New Roman"/>
          <w:i/>
          <w:iCs/>
          <w:color w:val="000000"/>
          <w:sz w:val="20"/>
          <w:szCs w:val="20"/>
        </w:rPr>
        <w:t>Note 12: Credit Arrangements</w:t>
      </w:r>
      <w:r>
        <w:rPr>
          <w:rFonts w:eastAsia="Times New Roman"/>
          <w:color w:val="000000"/>
          <w:sz w:val="20"/>
          <w:szCs w:val="20"/>
        </w:rPr>
        <w:t xml:space="preserve"> in the Notes for additional information regarding our 2019 Credit Facility and </w:t>
      </w:r>
      <w:r>
        <w:rPr>
          <w:rFonts w:eastAsia="Times New Roman"/>
          <w:i/>
          <w:iCs/>
          <w:color w:val="000000"/>
          <w:sz w:val="20"/>
          <w:szCs w:val="20"/>
        </w:rPr>
        <w:t>Note 13: Debt</w:t>
      </w:r>
      <w:r>
        <w:rPr>
          <w:rFonts w:eastAsia="Times New Roman"/>
          <w:color w:val="000000"/>
          <w:sz w:val="20"/>
          <w:szCs w:val="20"/>
        </w:rPr>
        <w:t xml:space="preserve"> in th</w:t>
      </w:r>
      <w:r>
        <w:rPr>
          <w:rFonts w:eastAsia="Times New Roman"/>
          <w:color w:val="000000"/>
          <w:sz w:val="20"/>
          <w:szCs w:val="20"/>
        </w:rPr>
        <w:t>e Notes for additional information regarding our Floating Rate Notes due March 10, 2023.</w:t>
      </w:r>
    </w:p>
    <w:p w:rsidR="00000000" w:rsidRDefault="00AE54EE">
      <w:pPr>
        <w:divId w:val="434252271"/>
        <w:rPr>
          <w:rFonts w:eastAsia="Times New Roman"/>
        </w:rPr>
      </w:pPr>
      <w:r>
        <w:rPr>
          <w:rFonts w:eastAsia="Times New Roman"/>
          <w:b/>
          <w:bCs/>
          <w:i/>
          <w:iCs/>
          <w:color w:val="000000"/>
          <w:sz w:val="20"/>
          <w:szCs w:val="20"/>
        </w:rPr>
        <w:t>A downgrade in our credit ratings could materially adversely affect our business.</w:t>
      </w:r>
    </w:p>
    <w:p w:rsidR="00000000" w:rsidRDefault="00AE54EE">
      <w:pPr>
        <w:ind w:firstLine="450"/>
        <w:divId w:val="1060447284"/>
        <w:rPr>
          <w:rFonts w:eastAsia="Times New Roman"/>
        </w:rPr>
      </w:pPr>
      <w:r>
        <w:rPr>
          <w:rFonts w:eastAsia="Times New Roman"/>
          <w:color w:val="000000"/>
          <w:sz w:val="20"/>
          <w:szCs w:val="20"/>
        </w:rPr>
        <w:t>The credit ratings assigned to our debt securities could change based on, among other</w:t>
      </w:r>
      <w:r>
        <w:rPr>
          <w:rFonts w:eastAsia="Times New Roman"/>
          <w:color w:val="000000"/>
          <w:sz w:val="20"/>
          <w:szCs w:val="20"/>
        </w:rPr>
        <w:t xml:space="preserve"> things, our results of operations, financial condition, mergers, acquisitions or dispositions. These ratings are subject to ongoing evaluation by credit rating agencies and may be changed or withdrawn by rating agencies in the future. Moreover, these cred</w:t>
      </w:r>
      <w:r>
        <w:rPr>
          <w:rFonts w:eastAsia="Times New Roman"/>
          <w:color w:val="000000"/>
          <w:sz w:val="20"/>
          <w:szCs w:val="20"/>
        </w:rPr>
        <w:t>it ratings are not recommendations to buy, sell or hold any of our debt securities. Actual or anticipated changes or downgrades in our credit ratings, including any announcement that our ratings are under review for a downgrade or have been assigned a nega</w:t>
      </w:r>
      <w:r>
        <w:rPr>
          <w:rFonts w:eastAsia="Times New Roman"/>
          <w:color w:val="000000"/>
          <w:sz w:val="20"/>
          <w:szCs w:val="20"/>
        </w:rPr>
        <w:t>tive outlook, would likely increase our borrowing costs and affect our ability to incur new indebtedness or refinance our existing indebtedness, which in turn could have a material adverse effect on our financial condition, results of operations, cash flow</w:t>
      </w:r>
      <w:r>
        <w:rPr>
          <w:rFonts w:eastAsia="Times New Roman"/>
          <w:color w:val="000000"/>
          <w:sz w:val="20"/>
          <w:szCs w:val="20"/>
        </w:rPr>
        <w:t>s, equity and the market value of our common stock and outstanding debt securities.</w:t>
      </w:r>
    </w:p>
    <w:p w:rsidR="00000000" w:rsidRDefault="00AE54EE">
      <w:pPr>
        <w:divId w:val="1907259122"/>
        <w:rPr>
          <w:rFonts w:eastAsia="Times New Roman"/>
        </w:rPr>
      </w:pPr>
      <w:r>
        <w:rPr>
          <w:rFonts w:eastAsia="Times New Roman"/>
          <w:b/>
          <w:bCs/>
          <w:i/>
          <w:iCs/>
          <w:color w:val="000000"/>
          <w:sz w:val="20"/>
          <w:szCs w:val="20"/>
        </w:rPr>
        <w:t>The level of returns on defined benefit plan assets, changes in interest rates and other factors could materially adversely affect our financial condition, results of opera</w:t>
      </w:r>
      <w:r>
        <w:rPr>
          <w:rFonts w:eastAsia="Times New Roman"/>
          <w:b/>
          <w:bCs/>
          <w:i/>
          <w:iCs/>
          <w:color w:val="000000"/>
          <w:sz w:val="20"/>
          <w:szCs w:val="20"/>
        </w:rPr>
        <w:t xml:space="preserve">tions, cash flows and equity in future periods. </w:t>
      </w:r>
    </w:p>
    <w:p w:rsidR="00000000" w:rsidRDefault="00AE54EE">
      <w:pPr>
        <w:ind w:firstLine="450"/>
        <w:divId w:val="1043866884"/>
        <w:rPr>
          <w:rFonts w:eastAsia="Times New Roman"/>
        </w:rPr>
      </w:pPr>
      <w:r>
        <w:rPr>
          <w:rFonts w:eastAsia="Times New Roman"/>
          <w:color w:val="000000"/>
          <w:sz w:val="20"/>
          <w:szCs w:val="20"/>
        </w:rPr>
        <w:t>A substantial portion of our current and retired employee population is covered by defined benefit pension and other postretirement defined benefit plans (collectively, “defined benefit plans”). We may exper</w:t>
      </w:r>
      <w:r>
        <w:rPr>
          <w:rFonts w:eastAsia="Times New Roman"/>
          <w:color w:val="000000"/>
          <w:sz w:val="20"/>
          <w:szCs w:val="20"/>
        </w:rPr>
        <w:t>ience significant fluctuations in costs related to defined benefit plans as a result of macro-economic factors, such as interest rates, that are beyond our control. The cost of our defined benefit plans is incurred over long periods of time and involves va</w:t>
      </w:r>
      <w:r>
        <w:rPr>
          <w:rFonts w:eastAsia="Times New Roman"/>
          <w:color w:val="000000"/>
          <w:sz w:val="20"/>
          <w:szCs w:val="20"/>
        </w:rPr>
        <w:t xml:space="preserve">rious factors and uncertainties during those periods that can be volatile and unpredictable, including the rates of return on defined benefit plan assets, discount rates used to calculate liabilities and expenses, mortality of plan participants and trends </w:t>
      </w:r>
      <w:r>
        <w:rPr>
          <w:rFonts w:eastAsia="Times New Roman"/>
          <w:color w:val="000000"/>
          <w:sz w:val="20"/>
          <w:szCs w:val="20"/>
        </w:rPr>
        <w:t>for future medical costs. We develop our assumptions using relevant plan experience and expectations in conjunction with market-related data. These assumptions and other actuarial assumptions may change significantly due to changes in economic, legislative</w:t>
      </w:r>
      <w:r>
        <w:rPr>
          <w:rFonts w:eastAsia="Times New Roman"/>
          <w:color w:val="000000"/>
          <w:sz w:val="20"/>
          <w:szCs w:val="20"/>
        </w:rPr>
        <w:t>, and/or demographic experience or circumstances. Significant changes in key economic indicators, financial market volatility, future legislation and other governmental regulatory actions could materially affect our financial condition, results of operatio</w:t>
      </w:r>
      <w:r>
        <w:rPr>
          <w:rFonts w:eastAsia="Times New Roman"/>
          <w:color w:val="000000"/>
          <w:sz w:val="20"/>
          <w:szCs w:val="20"/>
        </w:rPr>
        <w:t>ns, cash flows and equity.</w:t>
      </w:r>
    </w:p>
    <w:p w:rsidR="00000000" w:rsidRDefault="00AE54EE">
      <w:pPr>
        <w:ind w:firstLine="450"/>
        <w:divId w:val="240526961"/>
        <w:rPr>
          <w:rFonts w:eastAsia="Times New Roman"/>
        </w:rPr>
      </w:pPr>
      <w:r>
        <w:rPr>
          <w:rFonts w:eastAsia="Times New Roman"/>
          <w:color w:val="000000"/>
          <w:sz w:val="20"/>
          <w:szCs w:val="20"/>
        </w:rPr>
        <w:t>We will make contributions to fund our defined benefit plans when considered necessary or advantageous to do so. The macro-economic factors discussed above, including the rates of return on defined benefit plan assets and the min</w:t>
      </w:r>
      <w:r>
        <w:rPr>
          <w:rFonts w:eastAsia="Times New Roman"/>
          <w:color w:val="000000"/>
          <w:sz w:val="20"/>
          <w:szCs w:val="20"/>
        </w:rPr>
        <w:t>imum funding requirements established by government funding or taxing authorities, or established by other agreement, may influence future funding requirements. A significant decline in the fair value of our plan assets, or other adverse changes to our ove</w:t>
      </w:r>
      <w:r>
        <w:rPr>
          <w:rFonts w:eastAsia="Times New Roman"/>
          <w:color w:val="000000"/>
          <w:sz w:val="20"/>
          <w:szCs w:val="20"/>
        </w:rPr>
        <w:t>rall defined benefit plans, could require us to make significant funding contributions and affect cash flows in future periods.</w:t>
      </w:r>
    </w:p>
    <w:p w:rsidR="00000000" w:rsidRDefault="00AE54EE">
      <w:pPr>
        <w:ind w:firstLine="450"/>
        <w:divId w:val="1509979507"/>
        <w:rPr>
          <w:rFonts w:eastAsia="Times New Roman"/>
        </w:rPr>
      </w:pPr>
      <w:r>
        <w:rPr>
          <w:rFonts w:eastAsia="Times New Roman"/>
          <w:color w:val="000000"/>
          <w:sz w:val="20"/>
          <w:szCs w:val="20"/>
        </w:rPr>
        <w:t>CAS governs the extent to which postretirement costs and plan contributions are allocable to and recoverable under contracts wit</w:t>
      </w:r>
      <w:r>
        <w:rPr>
          <w:rFonts w:eastAsia="Times New Roman"/>
          <w:color w:val="000000"/>
          <w:sz w:val="20"/>
          <w:szCs w:val="20"/>
        </w:rPr>
        <w:t>h the U.S. Government. We expect to continue to seek reimbursement from the U.S. Government for a portion of our postretirement costs and plan contributions; however, pension plan cost recoveries under our U.S. Government contracts may occur in different p</w:t>
      </w:r>
      <w:r>
        <w:rPr>
          <w:rFonts w:eastAsia="Times New Roman"/>
          <w:color w:val="000000"/>
          <w:sz w:val="20"/>
          <w:szCs w:val="20"/>
        </w:rPr>
        <w:t>eriods from when those pension costs are recognized for financial statement purposes or when pension funding is made. CAS rules have been revised to partially harmonize the measurement and period of assignment of pension plan costs allocable to U.S. Govern</w:t>
      </w:r>
      <w:r>
        <w:rPr>
          <w:rFonts w:eastAsia="Times New Roman"/>
          <w:color w:val="000000"/>
          <w:sz w:val="20"/>
          <w:szCs w:val="20"/>
        </w:rPr>
        <w:t>ment contracts and minimum required contributions under the Employee Retirement Income Security Act of 1974, as amended. However, there is still a lag between the time when we contribute cash to our plans under pension funding rules and when we recover pen</w:t>
      </w:r>
      <w:r>
        <w:rPr>
          <w:rFonts w:eastAsia="Times New Roman"/>
          <w:color w:val="000000"/>
          <w:sz w:val="20"/>
          <w:szCs w:val="20"/>
        </w:rPr>
        <w:t>sion costs under CAS rules. These timing differences could have a material adverse effect on our cash flows.</w:t>
      </w:r>
    </w:p>
    <w:p w:rsidR="00000000" w:rsidRDefault="00AE54EE">
      <w:pPr>
        <w:divId w:val="1529179617"/>
        <w:rPr>
          <w:rFonts w:eastAsia="Times New Roman"/>
        </w:rPr>
      </w:pPr>
      <w:r>
        <w:rPr>
          <w:rFonts w:eastAsia="Times New Roman"/>
          <w:b/>
          <w:bCs/>
          <w:color w:val="000000"/>
          <w:sz w:val="20"/>
          <w:szCs w:val="20"/>
        </w:rPr>
        <w:t>Legal, Tax and Regulatory Risks</w:t>
      </w:r>
    </w:p>
    <w:p w:rsidR="00000000" w:rsidRDefault="00AE54EE">
      <w:pPr>
        <w:divId w:val="34744547"/>
        <w:rPr>
          <w:rFonts w:eastAsia="Times New Roman"/>
        </w:rPr>
      </w:pPr>
      <w:r>
        <w:rPr>
          <w:rFonts w:eastAsia="Times New Roman"/>
          <w:b/>
          <w:bCs/>
          <w:i/>
          <w:iCs/>
          <w:color w:val="000000"/>
          <w:sz w:val="20"/>
          <w:szCs w:val="20"/>
        </w:rPr>
        <w:t>Changes in our effective tax rate may have an adverse effect on our results of operations.</w:t>
      </w:r>
    </w:p>
    <w:p w:rsidR="00000000" w:rsidRDefault="00AE54EE">
      <w:pPr>
        <w:ind w:firstLine="450"/>
        <w:divId w:val="446193707"/>
        <w:rPr>
          <w:rFonts w:eastAsia="Times New Roman"/>
        </w:rPr>
      </w:pPr>
      <w:r>
        <w:rPr>
          <w:rFonts w:eastAsia="Times New Roman"/>
          <w:color w:val="000000"/>
          <w:sz w:val="20"/>
          <w:szCs w:val="20"/>
        </w:rPr>
        <w:t>Our future effective tax</w:t>
      </w:r>
      <w:r>
        <w:rPr>
          <w:rFonts w:eastAsia="Times New Roman"/>
          <w:color w:val="000000"/>
          <w:sz w:val="20"/>
          <w:szCs w:val="20"/>
        </w:rPr>
        <w:t xml:space="preserve"> rate may be adversely affected by a number of factors including:</w:t>
      </w:r>
    </w:p>
    <w:p w:rsidR="00000000" w:rsidRDefault="00AE54EE">
      <w:pPr>
        <w:ind w:hanging="360"/>
        <w:divId w:val="1749111479"/>
        <w:rPr>
          <w:rFonts w:eastAsia="Times New Roman"/>
        </w:rPr>
      </w:pPr>
      <w:r>
        <w:rPr>
          <w:rFonts w:eastAsia="Times New Roman"/>
          <w:color w:val="000000"/>
          <w:sz w:val="20"/>
          <w:szCs w:val="20"/>
        </w:rPr>
        <w:t>•Changes in domestic or international tax laws or the interpretation of such tax laws;</w:t>
      </w:r>
    </w:p>
    <w:p w:rsidR="00000000" w:rsidRDefault="00AE54EE">
      <w:pPr>
        <w:ind w:hanging="360"/>
        <w:divId w:val="1664968362"/>
        <w:rPr>
          <w:rFonts w:eastAsia="Times New Roman"/>
        </w:rPr>
      </w:pPr>
      <w:r>
        <w:rPr>
          <w:rFonts w:eastAsia="Times New Roman"/>
          <w:color w:val="000000"/>
          <w:sz w:val="20"/>
          <w:szCs w:val="20"/>
        </w:rPr>
        <w:t>•The jurisdictions in which profits are determined to be earned and taxed;</w:t>
      </w:r>
    </w:p>
    <w:p w:rsidR="00000000" w:rsidRDefault="00AE54EE">
      <w:pPr>
        <w:ind w:hanging="360"/>
        <w:divId w:val="742341240"/>
        <w:rPr>
          <w:rFonts w:eastAsia="Times New Roman"/>
        </w:rPr>
      </w:pPr>
      <w:r>
        <w:rPr>
          <w:rFonts w:eastAsia="Times New Roman"/>
          <w:color w:val="000000"/>
          <w:sz w:val="20"/>
          <w:szCs w:val="20"/>
        </w:rPr>
        <w:t>•Adjustments to estimated ta</w:t>
      </w:r>
      <w:r>
        <w:rPr>
          <w:rFonts w:eastAsia="Times New Roman"/>
          <w:color w:val="000000"/>
          <w:sz w:val="20"/>
          <w:szCs w:val="20"/>
        </w:rPr>
        <w:t>xes upon finalization of various tax returns;</w:t>
      </w:r>
    </w:p>
    <w:p w:rsidR="00000000" w:rsidRDefault="00AE54EE">
      <w:pPr>
        <w:ind w:hanging="360"/>
        <w:divId w:val="575552101"/>
        <w:rPr>
          <w:rFonts w:eastAsia="Times New Roman"/>
        </w:rPr>
      </w:pPr>
      <w:r>
        <w:rPr>
          <w:rFonts w:eastAsia="Times New Roman"/>
          <w:color w:val="000000"/>
          <w:sz w:val="20"/>
          <w:szCs w:val="20"/>
        </w:rPr>
        <w:t>•Increases in expenses not fully deductible for tax purposes, including write-offs of acquired in-process R&amp;D and impairment of goodwill or other long-term assets in connection with mergers or acquisitions;</w:t>
      </w:r>
    </w:p>
    <w:p w:rsidR="00000000" w:rsidRDefault="00AE54EE">
      <w:pPr>
        <w:ind w:hanging="360"/>
        <w:divId w:val="1471744796"/>
        <w:rPr>
          <w:rFonts w:eastAsia="Times New Roman"/>
        </w:rPr>
      </w:pPr>
      <w:r>
        <w:rPr>
          <w:rFonts w:eastAsia="Times New Roman"/>
          <w:color w:val="000000"/>
          <w:sz w:val="20"/>
          <w:szCs w:val="20"/>
        </w:rPr>
        <w:t>•Ch</w:t>
      </w:r>
      <w:r>
        <w:rPr>
          <w:rFonts w:eastAsia="Times New Roman"/>
          <w:color w:val="000000"/>
          <w:sz w:val="20"/>
          <w:szCs w:val="20"/>
        </w:rPr>
        <w:t>anges in available tax credits;</w:t>
      </w:r>
    </w:p>
    <w:p w:rsidR="00000000" w:rsidRDefault="00AE54EE">
      <w:pPr>
        <w:ind w:firstLine="450"/>
        <w:jc w:val="center"/>
        <w:divId w:val="732696111"/>
        <w:rPr>
          <w:rFonts w:eastAsia="Times New Roman"/>
        </w:rPr>
      </w:pPr>
      <w:r>
        <w:rPr>
          <w:rFonts w:eastAsia="Times New Roman"/>
          <w:color w:val="000000"/>
          <w:sz w:val="20"/>
          <w:szCs w:val="20"/>
        </w:rPr>
        <w:t>21</w:t>
      </w:r>
    </w:p>
    <w:p w:rsidR="00000000" w:rsidRDefault="00AE54EE">
      <w:pPr>
        <w:rPr>
          <w:rFonts w:eastAsia="Times New Roman"/>
        </w:rPr>
      </w:pPr>
      <w:r>
        <w:rPr>
          <w:rFonts w:eastAsia="Times New Roman"/>
        </w:rPr>
        <w:pict>
          <v:rect id="_x0000_i1048" style="width:0;height:1.5pt" o:hralign="center" o:hrstd="t" o:hr="t" fillcolor="#a0a0a0" stroked="f"/>
        </w:pict>
      </w:r>
    </w:p>
    <w:p w:rsidR="00000000" w:rsidRDefault="00AE54EE">
      <w:pPr>
        <w:ind w:firstLine="450"/>
        <w:divId w:val="533467780"/>
        <w:rPr>
          <w:rFonts w:eastAsia="Times New Roman"/>
        </w:rPr>
      </w:pPr>
    </w:p>
    <w:p w:rsidR="00000000" w:rsidRDefault="00AE54EE">
      <w:pPr>
        <w:ind w:hanging="360"/>
        <w:divId w:val="221792144"/>
        <w:rPr>
          <w:rFonts w:eastAsia="Times New Roman"/>
        </w:rPr>
      </w:pPr>
      <w:r>
        <w:rPr>
          <w:rFonts w:eastAsia="Times New Roman"/>
          <w:color w:val="000000"/>
          <w:sz w:val="20"/>
          <w:szCs w:val="20"/>
        </w:rPr>
        <w:t>•Changes in share-based compensation expense;</w:t>
      </w:r>
    </w:p>
    <w:p w:rsidR="00000000" w:rsidRDefault="00AE54EE">
      <w:pPr>
        <w:ind w:hanging="360"/>
        <w:divId w:val="2019387243"/>
        <w:rPr>
          <w:rFonts w:eastAsia="Times New Roman"/>
        </w:rPr>
      </w:pPr>
      <w:r>
        <w:rPr>
          <w:rFonts w:eastAsia="Times New Roman"/>
          <w:color w:val="000000"/>
          <w:sz w:val="20"/>
          <w:szCs w:val="20"/>
        </w:rPr>
        <w:t>•Changes in the valuation of our deferred tax assets and liabilities; and</w:t>
      </w:r>
    </w:p>
    <w:p w:rsidR="00000000" w:rsidRDefault="00AE54EE">
      <w:pPr>
        <w:ind w:hanging="360"/>
        <w:divId w:val="563679994"/>
        <w:rPr>
          <w:rFonts w:eastAsia="Times New Roman"/>
        </w:rPr>
      </w:pPr>
      <w:r>
        <w:rPr>
          <w:rFonts w:eastAsia="Times New Roman"/>
          <w:color w:val="000000"/>
          <w:sz w:val="20"/>
          <w:szCs w:val="20"/>
        </w:rPr>
        <w:t>•The resolution of issues arising from tax audits with various</w:t>
      </w:r>
      <w:r>
        <w:rPr>
          <w:rFonts w:eastAsia="Times New Roman"/>
          <w:color w:val="000000"/>
          <w:sz w:val="20"/>
          <w:szCs w:val="20"/>
        </w:rPr>
        <w:t xml:space="preserve"> tax authorities. </w:t>
      </w:r>
    </w:p>
    <w:p w:rsidR="00000000" w:rsidRDefault="00AE54EE">
      <w:pPr>
        <w:ind w:firstLine="450"/>
        <w:divId w:val="486173554"/>
        <w:rPr>
          <w:rFonts w:eastAsia="Times New Roman"/>
        </w:rPr>
      </w:pPr>
      <w:r>
        <w:rPr>
          <w:rFonts w:eastAsia="Times New Roman"/>
          <w:color w:val="000000"/>
          <w:sz w:val="20"/>
          <w:szCs w:val="20"/>
        </w:rPr>
        <w:t>For example, provisions in the Tax Cuts and Jobs Act of 2017 require that, beginning in 2022, research and experimental expenditures be capitalized and amortized over five years, which will result in a material increase to our cash taxes in 2022 through 20</w:t>
      </w:r>
      <w:r>
        <w:rPr>
          <w:rFonts w:eastAsia="Times New Roman"/>
          <w:color w:val="000000"/>
          <w:sz w:val="20"/>
          <w:szCs w:val="20"/>
        </w:rPr>
        <w:t>26 and establishment of a material deferred tax asset, if the provisions are not deferred, modified or repealed by Congress with retroactive effect to January 1, 2022. We estimate the impact to cash from operating activities to be approximately $600 millio</w:t>
      </w:r>
      <w:r>
        <w:rPr>
          <w:rFonts w:eastAsia="Times New Roman"/>
          <w:color w:val="000000"/>
          <w:sz w:val="20"/>
          <w:szCs w:val="20"/>
        </w:rPr>
        <w:t>n to $700 million in fiscal 2022 based on the provisions currently in effect. The impact, will decline each year through fiscal 2026 until it is zero. The actual impact to cash from operating activities will depend if and when these provisions are deferred</w:t>
      </w:r>
      <w:r>
        <w:rPr>
          <w:rFonts w:eastAsia="Times New Roman"/>
          <w:color w:val="000000"/>
          <w:sz w:val="20"/>
          <w:szCs w:val="20"/>
        </w:rPr>
        <w:t xml:space="preserve">, modified or repealed by Congress (including potential retroactive application) and the amount of research and experimental expenses paid or incurred, among other factors. </w:t>
      </w:r>
    </w:p>
    <w:p w:rsidR="00000000" w:rsidRDefault="00AE54EE">
      <w:pPr>
        <w:ind w:firstLine="450"/>
        <w:divId w:val="166605509"/>
        <w:rPr>
          <w:rFonts w:eastAsia="Times New Roman"/>
        </w:rPr>
      </w:pPr>
      <w:r>
        <w:rPr>
          <w:rFonts w:eastAsia="Times New Roman"/>
          <w:color w:val="000000"/>
          <w:sz w:val="20"/>
          <w:szCs w:val="20"/>
        </w:rPr>
        <w:t xml:space="preserve">Any significant increase in our future effective tax rates could adversely impact </w:t>
      </w:r>
      <w:r>
        <w:rPr>
          <w:rFonts w:eastAsia="Times New Roman"/>
          <w:color w:val="000000"/>
          <w:sz w:val="20"/>
          <w:szCs w:val="20"/>
        </w:rPr>
        <w:t>our results of operations for future periods.</w:t>
      </w:r>
    </w:p>
    <w:p w:rsidR="00000000" w:rsidRDefault="00AE54EE">
      <w:pPr>
        <w:divId w:val="1275794514"/>
        <w:rPr>
          <w:rFonts w:eastAsia="Times New Roman"/>
        </w:rPr>
      </w:pPr>
      <w:r>
        <w:rPr>
          <w:rFonts w:eastAsia="Times New Roman"/>
          <w:b/>
          <w:bCs/>
          <w:i/>
          <w:iCs/>
          <w:color w:val="000000"/>
          <w:sz w:val="20"/>
          <w:szCs w:val="20"/>
        </w:rPr>
        <w:t xml:space="preserve">We may not be successful in obtaining the necessary export licenses to conduct certain operations abroad, and Congress may prevent proposed sales to certain foreign governments. </w:t>
      </w:r>
    </w:p>
    <w:p w:rsidR="00000000" w:rsidRDefault="00AE54EE">
      <w:pPr>
        <w:ind w:firstLine="450"/>
        <w:divId w:val="532501687"/>
        <w:rPr>
          <w:rFonts w:eastAsia="Times New Roman"/>
        </w:rPr>
      </w:pPr>
      <w:r>
        <w:rPr>
          <w:rFonts w:eastAsia="Times New Roman"/>
          <w:color w:val="000000"/>
          <w:sz w:val="20"/>
          <w:szCs w:val="20"/>
        </w:rPr>
        <w:t>We must first obtain export and</w:t>
      </w:r>
      <w:r>
        <w:rPr>
          <w:rFonts w:eastAsia="Times New Roman"/>
          <w:color w:val="000000"/>
          <w:sz w:val="20"/>
          <w:szCs w:val="20"/>
        </w:rPr>
        <w:t xml:space="preserve"> other licenses and authorizations from various U.S. Government agencies before we are permitted to sell certain products and technologies outside of the U.S. For example, the U.S. Department of State must notify Congress at least 15 to 60 days, depending </w:t>
      </w:r>
      <w:r>
        <w:rPr>
          <w:rFonts w:eastAsia="Times New Roman"/>
          <w:color w:val="000000"/>
          <w:sz w:val="20"/>
          <w:szCs w:val="20"/>
        </w:rPr>
        <w:t>on the size and location of the proposed sale, prior to authorizing certain sales of defense equipment and services to foreign governments. During that time, Congress may take action to block the proposed sale. We may be unsuccessful in obtaining necessary</w:t>
      </w:r>
      <w:r>
        <w:rPr>
          <w:rFonts w:eastAsia="Times New Roman"/>
          <w:color w:val="000000"/>
          <w:sz w:val="20"/>
          <w:szCs w:val="20"/>
        </w:rPr>
        <w:t xml:space="preserve"> licenses or authorizations or Congress may prevent or delay certain sales. Our ability to obtain necessary licenses and authorizations timely or at all is subject to risks and uncertainties, including changing U.S. Government policies or laws or delays in</w:t>
      </w:r>
      <w:r>
        <w:rPr>
          <w:rFonts w:eastAsia="Times New Roman"/>
          <w:color w:val="000000"/>
          <w:sz w:val="20"/>
          <w:szCs w:val="20"/>
        </w:rPr>
        <w:t xml:space="preserve"> Congressional action due to geopolitical and other factors. If we are not successful in obtaining or maintaining the necessary licenses or authorizations in a timely manner, our sales relating to those approvals may be reversed, prevented or delayed, and </w:t>
      </w:r>
      <w:r>
        <w:rPr>
          <w:rFonts w:eastAsia="Times New Roman"/>
          <w:color w:val="000000"/>
          <w:sz w:val="20"/>
          <w:szCs w:val="20"/>
        </w:rPr>
        <w:t>any significant impairment of our ability to sell products or technologies outside of the U.S. could negatively impact our business, financial condition, results of operations, cash flows and equity.</w:t>
      </w:r>
    </w:p>
    <w:p w:rsidR="00000000" w:rsidRDefault="00AE54EE">
      <w:pPr>
        <w:divId w:val="152992427"/>
        <w:rPr>
          <w:rFonts w:eastAsia="Times New Roman"/>
        </w:rPr>
      </w:pPr>
      <w:r>
        <w:rPr>
          <w:rFonts w:eastAsia="Times New Roman"/>
          <w:b/>
          <w:bCs/>
          <w:i/>
          <w:iCs/>
          <w:color w:val="000000"/>
          <w:sz w:val="20"/>
          <w:szCs w:val="20"/>
        </w:rPr>
        <w:t>Our reputation and ability to do business may be impacte</w:t>
      </w:r>
      <w:r>
        <w:rPr>
          <w:rFonts w:eastAsia="Times New Roman"/>
          <w:b/>
          <w:bCs/>
          <w:i/>
          <w:iCs/>
          <w:color w:val="000000"/>
          <w:sz w:val="20"/>
          <w:szCs w:val="20"/>
        </w:rPr>
        <w:t>d by the improper conduct of our employees, agents or business partners.</w:t>
      </w:r>
    </w:p>
    <w:p w:rsidR="00000000" w:rsidRDefault="00AE54EE">
      <w:pPr>
        <w:ind w:firstLine="450"/>
        <w:divId w:val="321279891"/>
        <w:rPr>
          <w:rFonts w:eastAsia="Times New Roman"/>
        </w:rPr>
      </w:pPr>
      <w:r>
        <w:rPr>
          <w:rFonts w:eastAsia="Times New Roman"/>
          <w:color w:val="000000"/>
          <w:sz w:val="20"/>
          <w:szCs w:val="20"/>
        </w:rPr>
        <w:t>We have implemented compliance controls, training, policies and procedures designed to prevent and detect reckless or criminal acts from being committed by our employees, agents or bu</w:t>
      </w:r>
      <w:r>
        <w:rPr>
          <w:rFonts w:eastAsia="Times New Roman"/>
          <w:color w:val="000000"/>
          <w:sz w:val="20"/>
          <w:szCs w:val="20"/>
        </w:rPr>
        <w:t>siness partners that would violate the laws of the jurisdictions in which we operate, including laws governing payments to government officials, such as the FCPA, the protection of export controlled or classified information, such as ITAR, false claims, pr</w:t>
      </w:r>
      <w:r>
        <w:rPr>
          <w:rFonts w:eastAsia="Times New Roman"/>
          <w:color w:val="000000"/>
          <w:sz w:val="20"/>
          <w:szCs w:val="20"/>
        </w:rPr>
        <w:t>ocurement integrity, cost accounting and billing, competition, information security and data privacy and the terms of our contracts. This risk of improper conduct may increase as we continue to grow and expand our operations. We cannot ensure, however, tha</w:t>
      </w:r>
      <w:r>
        <w:rPr>
          <w:rFonts w:eastAsia="Times New Roman"/>
          <w:color w:val="000000"/>
          <w:sz w:val="20"/>
          <w:szCs w:val="20"/>
        </w:rPr>
        <w:t>t our controls, training, policies and procedures will prevent or detect all such reckless or criminal acts, and we have been adversely impacted by such acts in the past. If not prevented, such acts could subject us to civil or criminal investigations, mon</w:t>
      </w:r>
      <w:r>
        <w:rPr>
          <w:rFonts w:eastAsia="Times New Roman"/>
          <w:color w:val="000000"/>
          <w:sz w:val="20"/>
          <w:szCs w:val="20"/>
        </w:rPr>
        <w:t>etary and non-monetary penalties and suspension and debarment by the U.S. Government and could have a material adverse effect on our business, results of operations and reputation. In addition, misconduct involving data security lapses resulting in the com</w:t>
      </w:r>
      <w:r>
        <w:rPr>
          <w:rFonts w:eastAsia="Times New Roman"/>
          <w:color w:val="000000"/>
          <w:sz w:val="20"/>
          <w:szCs w:val="20"/>
        </w:rPr>
        <w:t>promise of personal information or the improper use of our customer’s sensitive or classified information could result in remediation costs, regulatory sanctions against us and serious harm to our reputation and could adversely impact our ability to contin</w:t>
      </w:r>
      <w:r>
        <w:rPr>
          <w:rFonts w:eastAsia="Times New Roman"/>
          <w:color w:val="000000"/>
          <w:sz w:val="20"/>
          <w:szCs w:val="20"/>
        </w:rPr>
        <w:t xml:space="preserve">ue to contract with the U.S. Government. </w:t>
      </w:r>
    </w:p>
    <w:p w:rsidR="00000000" w:rsidRDefault="00AE54EE">
      <w:pPr>
        <w:divId w:val="1100489412"/>
        <w:rPr>
          <w:rFonts w:eastAsia="Times New Roman"/>
        </w:rPr>
      </w:pPr>
      <w:r>
        <w:rPr>
          <w:rFonts w:eastAsia="Times New Roman"/>
          <w:b/>
          <w:bCs/>
          <w:i/>
          <w:iCs/>
          <w:color w:val="000000"/>
          <w:sz w:val="20"/>
          <w:szCs w:val="20"/>
        </w:rPr>
        <w:t>The outcome of litigation or arbitration in which we are involved from time to time is unpredictable, and an adverse decision in any such matter could have a material adverse effect on our financial condition, resu</w:t>
      </w:r>
      <w:r>
        <w:rPr>
          <w:rFonts w:eastAsia="Times New Roman"/>
          <w:b/>
          <w:bCs/>
          <w:i/>
          <w:iCs/>
          <w:color w:val="000000"/>
          <w:sz w:val="20"/>
          <w:szCs w:val="20"/>
        </w:rPr>
        <w:t>lts of operations, cash flows and equity.</w:t>
      </w:r>
    </w:p>
    <w:p w:rsidR="00000000" w:rsidRDefault="00AE54EE">
      <w:pPr>
        <w:ind w:firstLine="450"/>
        <w:divId w:val="1468740753"/>
        <w:rPr>
          <w:rFonts w:eastAsia="Times New Roman"/>
        </w:rPr>
      </w:pPr>
      <w:r>
        <w:rPr>
          <w:rFonts w:eastAsia="Times New Roman"/>
          <w:color w:val="000000"/>
          <w:sz w:val="20"/>
          <w:szCs w:val="20"/>
        </w:rPr>
        <w:t>The size, nature and complexity of our business make us susceptible to investigations, claims, disputes, enforcement actions, litigation and other legal proceedings, particularly those involving governments. From t</w:t>
      </w:r>
      <w:r>
        <w:rPr>
          <w:rFonts w:eastAsia="Times New Roman"/>
          <w:color w:val="000000"/>
          <w:sz w:val="20"/>
          <w:szCs w:val="20"/>
        </w:rPr>
        <w:t>ime to time, we are defendants in a number of litigation matters and are involved in a number of arbitration matters. These actions may divert financial and management resources that would otherwise be used to benefit our operations. The results of these o</w:t>
      </w:r>
      <w:r>
        <w:rPr>
          <w:rFonts w:eastAsia="Times New Roman"/>
          <w:color w:val="000000"/>
          <w:sz w:val="20"/>
          <w:szCs w:val="20"/>
        </w:rPr>
        <w:t>r new matters may be unfavorable to us. Although we maintain insurance policies, they may not be adequate to protect us from all material judgments and expenses related to current or future claims and may not cover the conduct that is the subject of the li</w:t>
      </w:r>
      <w:r>
        <w:rPr>
          <w:rFonts w:eastAsia="Times New Roman"/>
          <w:color w:val="000000"/>
          <w:sz w:val="20"/>
          <w:szCs w:val="20"/>
        </w:rPr>
        <w:t>tigation or arbitration. Desired levels of insurance may not be available in the future at economical prices or at all. In addition, we believe that while we have valid defenses with respect to legal matters pending against us, the results of litigation or</w:t>
      </w:r>
      <w:r>
        <w:rPr>
          <w:rFonts w:eastAsia="Times New Roman"/>
          <w:color w:val="000000"/>
          <w:sz w:val="20"/>
          <w:szCs w:val="20"/>
        </w:rPr>
        <w:t xml:space="preserve"> arbitration can be difficult to predict, including litigation involving jury trials. Accordingly, our current judgment as to the likelihood of our loss (or our current estimate as to the potential range of loss, if applicable) with respect to any particul</w:t>
      </w:r>
      <w:r>
        <w:rPr>
          <w:rFonts w:eastAsia="Times New Roman"/>
          <w:color w:val="000000"/>
          <w:sz w:val="20"/>
          <w:szCs w:val="20"/>
        </w:rPr>
        <w:t>ar litigation or arbitration matter may be wrong. A significant judgment or arbitration award against us arising out of any of our current or future litigation or arbitration matters could have a material adverse effect on our business, financial condition</w:t>
      </w:r>
      <w:r>
        <w:rPr>
          <w:rFonts w:eastAsia="Times New Roman"/>
          <w:color w:val="000000"/>
          <w:sz w:val="20"/>
          <w:szCs w:val="20"/>
        </w:rPr>
        <w:t>, results of operations, cash flows and equity.</w:t>
      </w:r>
    </w:p>
    <w:p w:rsidR="00000000" w:rsidRDefault="00AE54EE">
      <w:pPr>
        <w:ind w:firstLine="450"/>
        <w:jc w:val="center"/>
        <w:divId w:val="845751326"/>
        <w:rPr>
          <w:rFonts w:eastAsia="Times New Roman"/>
        </w:rPr>
      </w:pPr>
      <w:r>
        <w:rPr>
          <w:rFonts w:eastAsia="Times New Roman"/>
          <w:color w:val="000000"/>
          <w:sz w:val="20"/>
          <w:szCs w:val="20"/>
        </w:rPr>
        <w:t>22</w:t>
      </w:r>
    </w:p>
    <w:p w:rsidR="00000000" w:rsidRDefault="00AE54EE">
      <w:pPr>
        <w:rPr>
          <w:rFonts w:eastAsia="Times New Roman"/>
        </w:rPr>
      </w:pPr>
      <w:r>
        <w:rPr>
          <w:rFonts w:eastAsia="Times New Roman"/>
        </w:rPr>
        <w:pict>
          <v:rect id="_x0000_i1049" style="width:0;height:1.5pt" o:hralign="center" o:hrstd="t" o:hr="t" fillcolor="#a0a0a0" stroked="f"/>
        </w:pict>
      </w:r>
    </w:p>
    <w:p w:rsidR="00000000" w:rsidRDefault="00AE54EE">
      <w:pPr>
        <w:ind w:firstLine="450"/>
        <w:divId w:val="1062220247"/>
        <w:rPr>
          <w:rFonts w:eastAsia="Times New Roman"/>
        </w:rPr>
      </w:pPr>
    </w:p>
    <w:p w:rsidR="00000000" w:rsidRDefault="00AE54EE">
      <w:pPr>
        <w:divId w:val="623924290"/>
        <w:rPr>
          <w:rFonts w:eastAsia="Times New Roman"/>
        </w:rPr>
      </w:pPr>
      <w:r>
        <w:rPr>
          <w:rFonts w:eastAsia="Times New Roman"/>
          <w:b/>
          <w:bCs/>
          <w:i/>
          <w:iCs/>
          <w:color w:val="000000"/>
          <w:sz w:val="20"/>
          <w:szCs w:val="20"/>
        </w:rPr>
        <w:t>Third parties have claimed in the past and may claim in the future that we are infringing directly or indirectly upon their intellectual property rights, and third parties may infringe upon our intellectual property ri</w:t>
      </w:r>
      <w:r>
        <w:rPr>
          <w:rFonts w:eastAsia="Times New Roman"/>
          <w:b/>
          <w:bCs/>
          <w:i/>
          <w:iCs/>
          <w:color w:val="000000"/>
          <w:sz w:val="20"/>
          <w:szCs w:val="20"/>
        </w:rPr>
        <w:t>ghts.</w:t>
      </w:r>
    </w:p>
    <w:p w:rsidR="00000000" w:rsidRDefault="00AE54EE">
      <w:pPr>
        <w:ind w:firstLine="450"/>
        <w:divId w:val="258636118"/>
        <w:rPr>
          <w:rFonts w:eastAsia="Times New Roman"/>
        </w:rPr>
      </w:pPr>
      <w:r>
        <w:rPr>
          <w:rFonts w:eastAsia="Times New Roman"/>
          <w:color w:val="000000"/>
          <w:sz w:val="20"/>
          <w:szCs w:val="20"/>
        </w:rPr>
        <w:t>Many of the markets we serve are characterized by vigorous protection and pursuit of intellectual property rights, which often has resulted in protracted and expensive litigation. Our efforts to gain awards of contracts and ensure a competitive posit</w:t>
      </w:r>
      <w:r>
        <w:rPr>
          <w:rFonts w:eastAsia="Times New Roman"/>
          <w:color w:val="000000"/>
          <w:sz w:val="20"/>
          <w:szCs w:val="20"/>
        </w:rPr>
        <w:t>ion in the market depends in part on our ability to ensure that our intellectual property is protected, that our intellectual property rights are not diluted or subject to misuse, and that we are able to license certain third party intellectual property on</w:t>
      </w:r>
      <w:r>
        <w:rPr>
          <w:rFonts w:eastAsia="Times New Roman"/>
          <w:color w:val="000000"/>
          <w:sz w:val="20"/>
          <w:szCs w:val="20"/>
        </w:rPr>
        <w:t xml:space="preserve"> reasonable terms. Third parties have claimed in the past and may claim in the future that we are infringing directly or indirectly upon their intellectual property rights, and we may be found to be infringing or to have infringed directly or indirectly up</w:t>
      </w:r>
      <w:r>
        <w:rPr>
          <w:rFonts w:eastAsia="Times New Roman"/>
          <w:color w:val="000000"/>
          <w:sz w:val="20"/>
          <w:szCs w:val="20"/>
        </w:rPr>
        <w:t>on those intellectual property rights. Claims of infringement might also require us to enter into costly royalty or license agreements. Our patents and other intellectual property may be challenged, invalidated, misappropriated or circumvented by third par</w:t>
      </w:r>
      <w:r>
        <w:rPr>
          <w:rFonts w:eastAsia="Times New Roman"/>
          <w:color w:val="000000"/>
          <w:sz w:val="20"/>
          <w:szCs w:val="20"/>
        </w:rPr>
        <w:t>ties. Moreover, we may not be able to obtain royalty or license agreements on terms acceptable to us, or at all. We also may be subject to significant damages or injunctions against development and sale of certain of our products, services and solutions. O</w:t>
      </w:r>
      <w:r>
        <w:rPr>
          <w:rFonts w:eastAsia="Times New Roman"/>
          <w:color w:val="000000"/>
          <w:sz w:val="20"/>
          <w:szCs w:val="20"/>
        </w:rPr>
        <w:t>ur success depends in large part on our proprietary technology. We rely on a combination of patents, copyrights, trademarks, trade secrets, know-how, confidentiality provisions and licensing arrangements to establish and protect our intellectual property r</w:t>
      </w:r>
      <w:r>
        <w:rPr>
          <w:rFonts w:eastAsia="Times New Roman"/>
          <w:color w:val="000000"/>
          <w:sz w:val="20"/>
          <w:szCs w:val="20"/>
        </w:rPr>
        <w:t>ights. In addition, the laws concerning intellectual property vary among nations and the protection provided to our intellectual property by the laws and courts of foreign nations may differ from those of the U.S. If we fail to successfully protect and enf</w:t>
      </w:r>
      <w:r>
        <w:rPr>
          <w:rFonts w:eastAsia="Times New Roman"/>
          <w:color w:val="000000"/>
          <w:sz w:val="20"/>
          <w:szCs w:val="20"/>
        </w:rPr>
        <w:t xml:space="preserve">orce these rights, our competitive position could suffer. Our pending patent and trademark registration applications may not be allowed, or competitors may challenge the validity or scope of our patents or trademark registrations. In addition, our patents </w:t>
      </w:r>
      <w:r>
        <w:rPr>
          <w:rFonts w:eastAsia="Times New Roman"/>
          <w:color w:val="000000"/>
          <w:sz w:val="20"/>
          <w:szCs w:val="20"/>
        </w:rPr>
        <w:t>may not provide us a significant competitive advantage. We may be required to spend significant resources to monitor and enforce our intellectual property rights. Litigation to determine the scope of intellectual property rights, even if ultimately success</w:t>
      </w:r>
      <w:r>
        <w:rPr>
          <w:rFonts w:eastAsia="Times New Roman"/>
          <w:color w:val="000000"/>
          <w:sz w:val="20"/>
          <w:szCs w:val="20"/>
        </w:rPr>
        <w:t>ful, could be costly and could divert management’s attention away from other aspects of our business. We may not be able to detect infringement, and our competitive position may be harmed before we do so. In addition, competitors may design around our tech</w:t>
      </w:r>
      <w:r>
        <w:rPr>
          <w:rFonts w:eastAsia="Times New Roman"/>
          <w:color w:val="000000"/>
          <w:sz w:val="20"/>
          <w:szCs w:val="20"/>
        </w:rPr>
        <w:t>nology or develop competing technologies.</w:t>
      </w:r>
    </w:p>
    <w:p w:rsidR="00000000" w:rsidRDefault="00AE54EE">
      <w:pPr>
        <w:divId w:val="244848600"/>
        <w:rPr>
          <w:rFonts w:eastAsia="Times New Roman"/>
        </w:rPr>
      </w:pPr>
      <w:r>
        <w:rPr>
          <w:rFonts w:eastAsia="Times New Roman"/>
          <w:b/>
          <w:bCs/>
          <w:i/>
          <w:iCs/>
          <w:color w:val="000000"/>
          <w:sz w:val="20"/>
          <w:szCs w:val="20"/>
        </w:rPr>
        <w:t>We face certain significant risk exposures and potential liabilities that may not be covered adequately by insurance or indemnity.</w:t>
      </w:r>
    </w:p>
    <w:p w:rsidR="00000000" w:rsidRDefault="00AE54EE">
      <w:pPr>
        <w:ind w:firstLine="450"/>
        <w:divId w:val="1151629802"/>
        <w:rPr>
          <w:rFonts w:eastAsia="Times New Roman"/>
        </w:rPr>
      </w:pPr>
      <w:r>
        <w:rPr>
          <w:rFonts w:eastAsia="Times New Roman"/>
          <w:color w:val="000000"/>
          <w:sz w:val="20"/>
          <w:szCs w:val="20"/>
        </w:rPr>
        <w:t>We are exposed to liabilities that are unique to the products, systems and services</w:t>
      </w:r>
      <w:r>
        <w:rPr>
          <w:rFonts w:eastAsia="Times New Roman"/>
          <w:color w:val="000000"/>
          <w:sz w:val="20"/>
          <w:szCs w:val="20"/>
        </w:rPr>
        <w:t xml:space="preserve"> we provide. A significant portion of our business relates to designing, developing and manufacturing advanced defense, technology and communications systems and products. New technologies associated with these systems and products may be untested or unpro</w:t>
      </w:r>
      <w:r>
        <w:rPr>
          <w:rFonts w:eastAsia="Times New Roman"/>
          <w:color w:val="000000"/>
          <w:sz w:val="20"/>
          <w:szCs w:val="20"/>
        </w:rPr>
        <w:t>ven. Components of certain defense systems and products we develop are inherently dangerous. Failures of satellites, missile systems, air traffic control systems, electronic warfare systems, space superiority systems, Command, Control, Computers, Communica</w:t>
      </w:r>
      <w:r>
        <w:rPr>
          <w:rFonts w:eastAsia="Times New Roman"/>
          <w:color w:val="000000"/>
          <w:sz w:val="20"/>
          <w:szCs w:val="20"/>
        </w:rPr>
        <w:t>tions, Cyber, Intelligence, Surveillance, and Reconnaissance (“C5ISR”) systems, homeland security applications and aircraft have the potential to cause loss of life and extensive property damage. Other examples of unforeseen problems that could result, eit</w:t>
      </w:r>
      <w:r>
        <w:rPr>
          <w:rFonts w:eastAsia="Times New Roman"/>
          <w:color w:val="000000"/>
          <w:sz w:val="20"/>
          <w:szCs w:val="20"/>
        </w:rPr>
        <w:t>her directly or indirectly, in the loss of life or property or otherwise negatively affect revenue and profitability include loss on launch of spacecraft, premature failure of products that cannot be accessed for repair or replacement, problems with qualit</w:t>
      </w:r>
      <w:r>
        <w:rPr>
          <w:rFonts w:eastAsia="Times New Roman"/>
          <w:color w:val="000000"/>
          <w:sz w:val="20"/>
          <w:szCs w:val="20"/>
        </w:rPr>
        <w:t>y and workmanship, country of origin, delivery of subcontractor components or services and unplanned degradation of product performance. In addition, problems and delays in development or delivery as a result of issues with respect to design, technology, l</w:t>
      </w:r>
      <w:r>
        <w:rPr>
          <w:rFonts w:eastAsia="Times New Roman"/>
          <w:color w:val="000000"/>
          <w:sz w:val="20"/>
          <w:szCs w:val="20"/>
        </w:rPr>
        <w:t xml:space="preserve">icensing and patent rights, labor, learning curve assumptions or materials and components could prevent us from achieving contractual requirements. In many circumstances, we may receive indemnification from the U.S. Government. We generally do not receive </w:t>
      </w:r>
      <w:r>
        <w:rPr>
          <w:rFonts w:eastAsia="Times New Roman"/>
          <w:color w:val="000000"/>
          <w:sz w:val="20"/>
          <w:szCs w:val="20"/>
        </w:rPr>
        <w:t>indemnification from foreign governments. Although we maintain insurance for certain risks, including certain cybersecurity exposures, the amount of our insurance coverage may not be adequate to cover all claims or liabilities, and we may be forced to bear</w:t>
      </w:r>
      <w:r>
        <w:rPr>
          <w:rFonts w:eastAsia="Times New Roman"/>
          <w:color w:val="000000"/>
          <w:sz w:val="20"/>
          <w:szCs w:val="20"/>
        </w:rPr>
        <w:t xml:space="preserve"> substantial costs from an accident or incident. It also is not possible for us to obtain insurance to protect against all operational risks and liabilities. Substantial claims resulting from an incident in excess of U.S. Government indemnity and our insur</w:t>
      </w:r>
      <w:r>
        <w:rPr>
          <w:rFonts w:eastAsia="Times New Roman"/>
          <w:color w:val="000000"/>
          <w:sz w:val="20"/>
          <w:szCs w:val="20"/>
        </w:rPr>
        <w:t>ance coverage would harm our financial condition, results of operations, cash flows and equity. Other factors that may affect revenue and profits include loss of follow-on work, and, in the case of certain contracts, liquidated damages, penalties and repay</w:t>
      </w:r>
      <w:r>
        <w:rPr>
          <w:rFonts w:eastAsia="Times New Roman"/>
          <w:color w:val="000000"/>
          <w:sz w:val="20"/>
          <w:szCs w:val="20"/>
        </w:rPr>
        <w:t>ment to the customer of contract cost and fee payments we previously received. Moreover, any accident or incident for which we are liable, even if fully insured, could negatively affect our standing with our customers and the public, thereby making it more</w:t>
      </w:r>
      <w:r>
        <w:rPr>
          <w:rFonts w:eastAsia="Times New Roman"/>
          <w:color w:val="000000"/>
          <w:sz w:val="20"/>
          <w:szCs w:val="20"/>
        </w:rPr>
        <w:t xml:space="preserve"> difficult for us to compete effectively, and could significantly impact the cost and availability of adequate insurance in the future.</w:t>
      </w:r>
    </w:p>
    <w:p w:rsidR="00000000" w:rsidRDefault="00AE54EE">
      <w:pPr>
        <w:divId w:val="1108812537"/>
        <w:rPr>
          <w:rFonts w:eastAsia="Times New Roman"/>
        </w:rPr>
      </w:pPr>
      <w:r>
        <w:rPr>
          <w:rFonts w:eastAsia="Times New Roman"/>
          <w:b/>
          <w:bCs/>
          <w:i/>
          <w:iCs/>
          <w:color w:val="000000"/>
          <w:sz w:val="20"/>
          <w:szCs w:val="20"/>
        </w:rPr>
        <w:t xml:space="preserve">Unforeseen environmental issues, including regulations related to GHG emissions or change in customer sentiment related </w:t>
      </w:r>
      <w:r>
        <w:rPr>
          <w:rFonts w:eastAsia="Times New Roman"/>
          <w:b/>
          <w:bCs/>
          <w:i/>
          <w:iCs/>
          <w:color w:val="000000"/>
          <w:sz w:val="20"/>
          <w:szCs w:val="20"/>
        </w:rPr>
        <w:t>to environmental sustainability, could have a material adverse effect on our business, financial condition, results of operations, cash flows and equity.</w:t>
      </w:r>
    </w:p>
    <w:p w:rsidR="00000000" w:rsidRDefault="00AE54EE">
      <w:pPr>
        <w:ind w:firstLine="450"/>
        <w:divId w:val="1314944282"/>
        <w:rPr>
          <w:rFonts w:eastAsia="Times New Roman"/>
        </w:rPr>
      </w:pPr>
      <w:r>
        <w:rPr>
          <w:rFonts w:eastAsia="Times New Roman"/>
          <w:color w:val="000000"/>
          <w:sz w:val="20"/>
          <w:szCs w:val="20"/>
        </w:rPr>
        <w:t>Our operations are subject to various U.S. Federal, state and local, as well as certain foreign, envir</w:t>
      </w:r>
      <w:r>
        <w:rPr>
          <w:rFonts w:eastAsia="Times New Roman"/>
          <w:color w:val="000000"/>
          <w:sz w:val="20"/>
          <w:szCs w:val="20"/>
        </w:rPr>
        <w:t>onmental laws and regulations within the countries in which we operate relating to the discharge, storage, treatment, handling, disposal and remediation of certain materials, substances and wastes used in our operations. In addition, we could be affected b</w:t>
      </w:r>
      <w:r>
        <w:rPr>
          <w:rFonts w:eastAsia="Times New Roman"/>
          <w:color w:val="000000"/>
          <w:sz w:val="20"/>
          <w:szCs w:val="20"/>
        </w:rPr>
        <w:t>y future environmental laws or regulations, including, for example, new restrictions on materials used in our operations or claims asserted in response to concerns over climate change, such as regulations related GHG emissions</w:t>
      </w:r>
      <w:r>
        <w:rPr>
          <w:rFonts w:eastAsia="Times New Roman"/>
          <w:color w:val="3051F2"/>
          <w:sz w:val="20"/>
          <w:szCs w:val="20"/>
        </w:rPr>
        <w:t>,</w:t>
      </w:r>
      <w:r>
        <w:rPr>
          <w:rFonts w:eastAsia="Times New Roman"/>
          <w:color w:val="000000"/>
          <w:sz w:val="20"/>
          <w:szCs w:val="20"/>
        </w:rPr>
        <w:t xml:space="preserve"> other aspects of the environ</w:t>
      </w:r>
      <w:r>
        <w:rPr>
          <w:rFonts w:eastAsia="Times New Roman"/>
          <w:color w:val="000000"/>
          <w:sz w:val="20"/>
          <w:szCs w:val="20"/>
        </w:rPr>
        <w:t xml:space="preserve">ment or </w:t>
      </w:r>
    </w:p>
    <w:p w:rsidR="00000000" w:rsidRDefault="00AE54EE">
      <w:pPr>
        <w:ind w:firstLine="450"/>
        <w:jc w:val="center"/>
        <w:divId w:val="498623870"/>
        <w:rPr>
          <w:rFonts w:eastAsia="Times New Roman"/>
        </w:rPr>
      </w:pPr>
      <w:r>
        <w:rPr>
          <w:rFonts w:eastAsia="Times New Roman"/>
          <w:color w:val="000000"/>
          <w:sz w:val="20"/>
          <w:szCs w:val="20"/>
        </w:rPr>
        <w:t>23</w:t>
      </w:r>
    </w:p>
    <w:p w:rsidR="00000000" w:rsidRDefault="00AE54EE">
      <w:pPr>
        <w:rPr>
          <w:rFonts w:eastAsia="Times New Roman"/>
        </w:rPr>
      </w:pPr>
      <w:r>
        <w:rPr>
          <w:rFonts w:eastAsia="Times New Roman"/>
        </w:rPr>
        <w:pict>
          <v:rect id="_x0000_i1050" style="width:0;height:1.5pt" o:hralign="center" o:hrstd="t" o:hr="t" fillcolor="#a0a0a0" stroked="f"/>
        </w:pict>
      </w:r>
    </w:p>
    <w:p w:rsidR="00000000" w:rsidRDefault="00AE54EE">
      <w:pPr>
        <w:ind w:firstLine="450"/>
        <w:divId w:val="598299147"/>
        <w:rPr>
          <w:rFonts w:eastAsia="Times New Roman"/>
        </w:rPr>
      </w:pPr>
    </w:p>
    <w:p w:rsidR="00000000" w:rsidRDefault="00AE54EE">
      <w:pPr>
        <w:divId w:val="518928931"/>
        <w:rPr>
          <w:rFonts w:eastAsia="Times New Roman"/>
        </w:rPr>
      </w:pPr>
      <w:r>
        <w:rPr>
          <w:rFonts w:eastAsia="Times New Roman"/>
          <w:color w:val="000000"/>
          <w:sz w:val="20"/>
          <w:szCs w:val="20"/>
        </w:rPr>
        <w:t>natural resources. Changes in government procurement laws that mandate or include climate change considerations, such as the contractor’s GHG emissions, lower emission products or other climate risks, in ev</w:t>
      </w:r>
      <w:r>
        <w:rPr>
          <w:rFonts w:eastAsia="Times New Roman"/>
          <w:color w:val="000000"/>
          <w:sz w:val="20"/>
          <w:szCs w:val="20"/>
        </w:rPr>
        <w:t>aluating bids could result in costly changes to our operations or affect our competitiveness on future bids. Compliance with current and future environmental laws and regulations may require significant operating and capital costs. Environmental laws and r</w:t>
      </w:r>
      <w:r>
        <w:rPr>
          <w:rFonts w:eastAsia="Times New Roman"/>
          <w:color w:val="000000"/>
          <w:sz w:val="20"/>
          <w:szCs w:val="20"/>
        </w:rPr>
        <w:t>egulations may institute substantial fines and criminal sanctions as well as facility shutdowns to address violations and may require the installation of costly pollution control equipment or operational changes to limit emissions or discharges. Our suppli</w:t>
      </w:r>
      <w:r>
        <w:rPr>
          <w:rFonts w:eastAsia="Times New Roman"/>
          <w:color w:val="000000"/>
          <w:sz w:val="20"/>
          <w:szCs w:val="20"/>
        </w:rPr>
        <w:t>ers may face similar business interruptions and incur additional costs that may increase the price of materials needed for manufacturing. We also incur, and expect to continue to incur, costs to comply with current environmental laws and regulations relate</w:t>
      </w:r>
      <w:r>
        <w:rPr>
          <w:rFonts w:eastAsia="Times New Roman"/>
          <w:color w:val="000000"/>
          <w:sz w:val="20"/>
          <w:szCs w:val="20"/>
        </w:rPr>
        <w:t>d to remediation of conditions in the environment. In addition, if violations of environmental laws result in us, or in one or more of our operations, being identified as an excluded party in the U.S. Government’s System for Award Management, then we or on</w:t>
      </w:r>
      <w:r>
        <w:rPr>
          <w:rFonts w:eastAsia="Times New Roman"/>
          <w:color w:val="000000"/>
          <w:sz w:val="20"/>
          <w:szCs w:val="20"/>
        </w:rPr>
        <w:t xml:space="preserve">e or more of our operations would become ineligible to receive certain contracts, subcontracts and other benefits from the Federal government or to perform work under a government contract or subcontract. Generally, such ineligibility would continue until </w:t>
      </w:r>
      <w:r>
        <w:rPr>
          <w:rFonts w:eastAsia="Times New Roman"/>
          <w:color w:val="000000"/>
          <w:sz w:val="20"/>
          <w:szCs w:val="20"/>
        </w:rPr>
        <w:t>the basis for the listing has been appropriately addressed. If our responses to new or evolving legal and regulatory requirements or other sustainability concerns are unsuccessful or perceived as inadequate for the U.S. or our international markets, we als</w:t>
      </w:r>
      <w:r>
        <w:rPr>
          <w:rFonts w:eastAsia="Times New Roman"/>
          <w:color w:val="000000"/>
          <w:sz w:val="20"/>
          <w:szCs w:val="20"/>
        </w:rPr>
        <w:t>o may suffer damage to our reputation, which could adversely affect our business.</w:t>
      </w:r>
      <w:r>
        <w:rPr>
          <w:rFonts w:eastAsia="Times New Roman"/>
          <w:color w:val="3051F2"/>
          <w:sz w:val="20"/>
          <w:szCs w:val="20"/>
        </w:rPr>
        <w:t xml:space="preserve"> </w:t>
      </w:r>
      <w:r>
        <w:rPr>
          <w:rFonts w:eastAsia="Times New Roman"/>
          <w:color w:val="000000"/>
          <w:sz w:val="20"/>
          <w:szCs w:val="20"/>
        </w:rPr>
        <w:t>Developments such as the adoption of new environmental laws and regulations, stricter enforcement of existing laws and regulations, violations by us of such laws and regulati</w:t>
      </w:r>
      <w:r>
        <w:rPr>
          <w:rFonts w:eastAsia="Times New Roman"/>
          <w:color w:val="000000"/>
          <w:sz w:val="20"/>
          <w:szCs w:val="20"/>
        </w:rPr>
        <w:t>ons, discovery of previously unknown or more extensive contamination, litigation involving environmental impacts, our inability to recover costs associated with any such developments under previously priced contracts or financial insolvency of other respon</w:t>
      </w:r>
      <w:r>
        <w:rPr>
          <w:rFonts w:eastAsia="Times New Roman"/>
          <w:color w:val="000000"/>
          <w:sz w:val="20"/>
          <w:szCs w:val="20"/>
        </w:rPr>
        <w:t xml:space="preserve">sible parties could have a material adverse effect on our business, financial condition, results of operations, cash flows and equity. </w:t>
      </w:r>
    </w:p>
    <w:p w:rsidR="00000000" w:rsidRDefault="00AE54EE">
      <w:pPr>
        <w:divId w:val="1879316015"/>
        <w:rPr>
          <w:rFonts w:eastAsia="Times New Roman"/>
        </w:rPr>
      </w:pPr>
      <w:r>
        <w:rPr>
          <w:rFonts w:eastAsia="Times New Roman"/>
          <w:b/>
          <w:bCs/>
          <w:color w:val="000000"/>
          <w:sz w:val="20"/>
          <w:szCs w:val="20"/>
        </w:rPr>
        <w:t>Strategic Transactions and Investments Risks</w:t>
      </w:r>
    </w:p>
    <w:p w:rsidR="00000000" w:rsidRDefault="00AE54EE">
      <w:pPr>
        <w:divId w:val="683170370"/>
        <w:rPr>
          <w:rFonts w:eastAsia="Times New Roman"/>
        </w:rPr>
      </w:pPr>
      <w:r>
        <w:rPr>
          <w:rFonts w:eastAsia="Times New Roman"/>
          <w:b/>
          <w:bCs/>
          <w:i/>
          <w:iCs/>
          <w:color w:val="000000"/>
          <w:sz w:val="20"/>
          <w:szCs w:val="20"/>
        </w:rPr>
        <w:t>Strategic transactions, including mergers, acquisitions and divestitures, i</w:t>
      </w:r>
      <w:r>
        <w:rPr>
          <w:rFonts w:eastAsia="Times New Roman"/>
          <w:b/>
          <w:bCs/>
          <w:i/>
          <w:iCs/>
          <w:color w:val="000000"/>
          <w:sz w:val="20"/>
          <w:szCs w:val="20"/>
        </w:rPr>
        <w:t>nvolve significant risks and uncertainties that could adversely affect our business, financial condition, results of operations, cash flows and equity.</w:t>
      </w:r>
    </w:p>
    <w:p w:rsidR="00000000" w:rsidRDefault="00AE54EE">
      <w:pPr>
        <w:ind w:firstLine="450"/>
        <w:divId w:val="1116145199"/>
        <w:rPr>
          <w:rFonts w:eastAsia="Times New Roman"/>
        </w:rPr>
      </w:pPr>
      <w:r>
        <w:rPr>
          <w:rFonts w:eastAsia="Times New Roman"/>
          <w:color w:val="000000"/>
          <w:sz w:val="20"/>
          <w:szCs w:val="20"/>
        </w:rPr>
        <w:t>Strategic mergers, acquisitions and divestitures we have made in the past and may make in the future pre</w:t>
      </w:r>
      <w:r>
        <w:rPr>
          <w:rFonts w:eastAsia="Times New Roman"/>
          <w:color w:val="000000"/>
          <w:sz w:val="20"/>
          <w:szCs w:val="20"/>
        </w:rPr>
        <w:t>sent significant risks and uncertainties that could adversely affect our business, financial condition, results of operations, cash flows and equity, which include:</w:t>
      </w:r>
    </w:p>
    <w:p w:rsidR="00000000" w:rsidRDefault="00AE54EE">
      <w:pPr>
        <w:ind w:hanging="360"/>
        <w:divId w:val="1231381469"/>
        <w:rPr>
          <w:rFonts w:eastAsia="Times New Roman"/>
        </w:rPr>
      </w:pPr>
      <w:r>
        <w:rPr>
          <w:rFonts w:eastAsia="Times New Roman"/>
          <w:color w:val="000000"/>
          <w:sz w:val="20"/>
          <w:szCs w:val="20"/>
        </w:rPr>
        <w:t>•Difficulty in identifying and evaluating potential mergers and acquisitions, including the</w:t>
      </w:r>
      <w:r>
        <w:rPr>
          <w:rFonts w:eastAsia="Times New Roman"/>
          <w:color w:val="000000"/>
          <w:sz w:val="20"/>
          <w:szCs w:val="20"/>
        </w:rPr>
        <w:t xml:space="preserve"> risk that our due diligence does not identify or fully assess valuation issues, potential liabilities or other merger or acquisition risks;</w:t>
      </w:r>
    </w:p>
    <w:p w:rsidR="00000000" w:rsidRDefault="00AE54EE">
      <w:pPr>
        <w:ind w:hanging="360"/>
        <w:divId w:val="927928722"/>
        <w:rPr>
          <w:rFonts w:eastAsia="Times New Roman"/>
        </w:rPr>
      </w:pPr>
      <w:r>
        <w:rPr>
          <w:rFonts w:eastAsia="Times New Roman"/>
          <w:color w:val="000000"/>
          <w:sz w:val="20"/>
          <w:szCs w:val="20"/>
        </w:rPr>
        <w:t>•Difficulty and expense in integrating newly merged or acquired businesses and operations, including combining prod</w:t>
      </w:r>
      <w:r>
        <w:rPr>
          <w:rFonts w:eastAsia="Times New Roman"/>
          <w:color w:val="000000"/>
          <w:sz w:val="20"/>
          <w:szCs w:val="20"/>
        </w:rPr>
        <w:t>uct and service offerings, and in entering into new markets in which we are not experienced, in an efficient and cost-effective manner while maintaining adequate standards, controls and procedures, and the risk that we encounter significant unanticipated c</w:t>
      </w:r>
      <w:r>
        <w:rPr>
          <w:rFonts w:eastAsia="Times New Roman"/>
          <w:color w:val="000000"/>
          <w:sz w:val="20"/>
          <w:szCs w:val="20"/>
        </w:rPr>
        <w:t>osts or other problems associated with integration;</w:t>
      </w:r>
    </w:p>
    <w:p w:rsidR="00000000" w:rsidRDefault="00AE54EE">
      <w:pPr>
        <w:ind w:hanging="360"/>
        <w:divId w:val="402795087"/>
        <w:rPr>
          <w:rFonts w:eastAsia="Times New Roman"/>
        </w:rPr>
      </w:pPr>
      <w:r>
        <w:rPr>
          <w:rFonts w:eastAsia="Times New Roman"/>
          <w:color w:val="000000"/>
          <w:sz w:val="20"/>
          <w:szCs w:val="20"/>
        </w:rPr>
        <w:t>•Difficulty and expense in consolidating and rationalizing IT infrastructure, which may include multiple legacy systems from various mergers and acquisitions and integrating software code;</w:t>
      </w:r>
    </w:p>
    <w:p w:rsidR="00000000" w:rsidRDefault="00AE54EE">
      <w:pPr>
        <w:ind w:hanging="360"/>
        <w:divId w:val="975376114"/>
        <w:rPr>
          <w:rFonts w:eastAsia="Times New Roman"/>
        </w:rPr>
      </w:pPr>
      <w:r>
        <w:rPr>
          <w:rFonts w:eastAsia="Times New Roman"/>
          <w:color w:val="000000"/>
          <w:sz w:val="20"/>
          <w:szCs w:val="20"/>
        </w:rPr>
        <w:t>•</w:t>
      </w:r>
      <w:r>
        <w:rPr>
          <w:rFonts w:eastAsia="Times New Roman"/>
          <w:color w:val="000000"/>
          <w:sz w:val="20"/>
          <w:szCs w:val="20"/>
        </w:rPr>
        <w:t>Challenges in achieving strategic objectives, cost savings and other expected benefits;</w:t>
      </w:r>
    </w:p>
    <w:p w:rsidR="00000000" w:rsidRDefault="00AE54EE">
      <w:pPr>
        <w:ind w:hanging="360"/>
        <w:divId w:val="1980114741"/>
        <w:rPr>
          <w:rFonts w:eastAsia="Times New Roman"/>
        </w:rPr>
      </w:pPr>
      <w:r>
        <w:rPr>
          <w:rFonts w:eastAsia="Times New Roman"/>
          <w:color w:val="000000"/>
          <w:sz w:val="20"/>
          <w:szCs w:val="20"/>
        </w:rPr>
        <w:t>•Risk that our markets do not evolve as anticipated and that the strategic mergers, acquisitions and divestitures do not prove to be those needed to be successful in th</w:t>
      </w:r>
      <w:r>
        <w:rPr>
          <w:rFonts w:eastAsia="Times New Roman"/>
          <w:color w:val="000000"/>
          <w:sz w:val="20"/>
          <w:szCs w:val="20"/>
        </w:rPr>
        <w:t>ose markets;</w:t>
      </w:r>
    </w:p>
    <w:p w:rsidR="00000000" w:rsidRDefault="00AE54EE">
      <w:pPr>
        <w:ind w:hanging="360"/>
        <w:divId w:val="528762705"/>
        <w:rPr>
          <w:rFonts w:eastAsia="Times New Roman"/>
        </w:rPr>
      </w:pPr>
      <w:r>
        <w:rPr>
          <w:rFonts w:eastAsia="Times New Roman"/>
          <w:color w:val="000000"/>
          <w:sz w:val="20"/>
          <w:szCs w:val="20"/>
        </w:rPr>
        <w:t xml:space="preserve">•Risk that we assume or retain, or that companies we have merged with or acquired have assumed or retained or otherwise become subject to, significant liabilities that exceed the limitations of any applicable indemnification provisions or the </w:t>
      </w:r>
      <w:r>
        <w:rPr>
          <w:rFonts w:eastAsia="Times New Roman"/>
          <w:color w:val="000000"/>
          <w:sz w:val="20"/>
          <w:szCs w:val="20"/>
        </w:rPr>
        <w:t>financial resources of any indemnifying parties;</w:t>
      </w:r>
    </w:p>
    <w:p w:rsidR="00000000" w:rsidRDefault="00AE54EE">
      <w:pPr>
        <w:ind w:hanging="360"/>
        <w:divId w:val="111096575"/>
        <w:rPr>
          <w:rFonts w:eastAsia="Times New Roman"/>
        </w:rPr>
      </w:pPr>
      <w:r>
        <w:rPr>
          <w:rFonts w:eastAsia="Times New Roman"/>
          <w:color w:val="000000"/>
          <w:sz w:val="20"/>
          <w:szCs w:val="20"/>
        </w:rPr>
        <w:t>•Risk that indemnification related to businesses divested or spun off that we may be required to provide or otherwise bear may be significant and could negatively impact our business;</w:t>
      </w:r>
    </w:p>
    <w:p w:rsidR="00000000" w:rsidRDefault="00AE54EE">
      <w:pPr>
        <w:ind w:hanging="360"/>
        <w:divId w:val="1796677260"/>
        <w:rPr>
          <w:rFonts w:eastAsia="Times New Roman"/>
        </w:rPr>
      </w:pPr>
      <w:r>
        <w:rPr>
          <w:rFonts w:eastAsia="Times New Roman"/>
          <w:color w:val="000000"/>
          <w:sz w:val="20"/>
          <w:szCs w:val="20"/>
        </w:rPr>
        <w:t>•Risk that mergers, acq</w:t>
      </w:r>
      <w:r>
        <w:rPr>
          <w:rFonts w:eastAsia="Times New Roman"/>
          <w:color w:val="000000"/>
          <w:sz w:val="20"/>
          <w:szCs w:val="20"/>
        </w:rPr>
        <w:t>uisitions, divestitures, spin offs and other strategic transactions fail to qualify for the intended tax treatment for U.S. Federal income tax purposes, such as a tax-free reorganization in the case of the L3Harris Merger;</w:t>
      </w:r>
    </w:p>
    <w:p w:rsidR="00000000" w:rsidRDefault="00AE54EE">
      <w:pPr>
        <w:ind w:hanging="360"/>
        <w:divId w:val="2898327"/>
        <w:rPr>
          <w:rFonts w:eastAsia="Times New Roman"/>
        </w:rPr>
      </w:pPr>
      <w:r>
        <w:rPr>
          <w:rFonts w:eastAsia="Times New Roman"/>
          <w:color w:val="000000"/>
          <w:sz w:val="20"/>
          <w:szCs w:val="20"/>
        </w:rPr>
        <w:t>•Risk that we are not able to com</w:t>
      </w:r>
      <w:r>
        <w:rPr>
          <w:rFonts w:eastAsia="Times New Roman"/>
          <w:color w:val="000000"/>
          <w:sz w:val="20"/>
          <w:szCs w:val="20"/>
        </w:rPr>
        <w:t>plete strategic divestitures on satisfactory terms and conditions, including non-competition arrangements applicable to certain of our business lines, or within expected timeframes; </w:t>
      </w:r>
    </w:p>
    <w:p w:rsidR="00000000" w:rsidRDefault="00AE54EE">
      <w:pPr>
        <w:ind w:hanging="360"/>
        <w:divId w:val="1737892989"/>
        <w:rPr>
          <w:rFonts w:eastAsia="Times New Roman"/>
        </w:rPr>
      </w:pPr>
      <w:r>
        <w:rPr>
          <w:rFonts w:eastAsia="Times New Roman"/>
          <w:color w:val="000000"/>
          <w:sz w:val="20"/>
          <w:szCs w:val="20"/>
        </w:rPr>
        <w:t>•Potential loss of key employees or customers of the businesses merged wi</w:t>
      </w:r>
      <w:r>
        <w:rPr>
          <w:rFonts w:eastAsia="Times New Roman"/>
          <w:color w:val="000000"/>
          <w:sz w:val="20"/>
          <w:szCs w:val="20"/>
        </w:rPr>
        <w:t>th or acquired or to be divested; and</w:t>
      </w:r>
    </w:p>
    <w:p w:rsidR="00000000" w:rsidRDefault="00AE54EE">
      <w:pPr>
        <w:ind w:hanging="360"/>
        <w:divId w:val="1481530900"/>
        <w:rPr>
          <w:rFonts w:eastAsia="Times New Roman"/>
        </w:rPr>
      </w:pPr>
      <w:r>
        <w:rPr>
          <w:rFonts w:eastAsia="Times New Roman"/>
          <w:color w:val="000000"/>
          <w:sz w:val="20"/>
          <w:szCs w:val="20"/>
        </w:rPr>
        <w:t>•Risk of diverting the attention of senior management from our existing operations.</w:t>
      </w:r>
    </w:p>
    <w:p w:rsidR="00000000" w:rsidRDefault="00AE54EE">
      <w:pPr>
        <w:divId w:val="974945681"/>
        <w:rPr>
          <w:rFonts w:eastAsia="Times New Roman"/>
        </w:rPr>
      </w:pPr>
      <w:r>
        <w:rPr>
          <w:rFonts w:eastAsia="Times New Roman"/>
          <w:b/>
          <w:bCs/>
          <w:i/>
          <w:iCs/>
          <w:color w:val="000000"/>
          <w:sz w:val="20"/>
          <w:szCs w:val="20"/>
        </w:rPr>
        <w:t>Changes in future business or other market conditions could cause business investments and/or recorded goodwill or other long-term ass</w:t>
      </w:r>
      <w:r>
        <w:rPr>
          <w:rFonts w:eastAsia="Times New Roman"/>
          <w:b/>
          <w:bCs/>
          <w:i/>
          <w:iCs/>
          <w:color w:val="000000"/>
          <w:sz w:val="20"/>
          <w:szCs w:val="20"/>
        </w:rPr>
        <w:t xml:space="preserve">ets to become impaired, resulting in substantial losses and write-downs that would materially adversely affect our results of operations and financial condition. </w:t>
      </w:r>
    </w:p>
    <w:p w:rsidR="00000000" w:rsidRDefault="00AE54EE">
      <w:pPr>
        <w:ind w:firstLine="450"/>
        <w:divId w:val="1441147349"/>
        <w:rPr>
          <w:rFonts w:eastAsia="Times New Roman"/>
        </w:rPr>
      </w:pPr>
      <w:r>
        <w:rPr>
          <w:rFonts w:eastAsia="Times New Roman"/>
          <w:color w:val="000000"/>
          <w:sz w:val="20"/>
          <w:szCs w:val="20"/>
        </w:rPr>
        <w:t>From time to time, we acquire a minority or majority interest in a business, following carefu</w:t>
      </w:r>
      <w:r>
        <w:rPr>
          <w:rFonts w:eastAsia="Times New Roman"/>
          <w:color w:val="000000"/>
          <w:sz w:val="20"/>
          <w:szCs w:val="20"/>
        </w:rPr>
        <w:t>l analysis and due diligence procedures designed to achieve a desired return or strategic objective. These procedures often involve certain assumptions and judgment in determining acquisition price. After acquisition, such assumptions and judgment may prov</w:t>
      </w:r>
      <w:r>
        <w:rPr>
          <w:rFonts w:eastAsia="Times New Roman"/>
          <w:color w:val="000000"/>
          <w:sz w:val="20"/>
          <w:szCs w:val="20"/>
        </w:rPr>
        <w:t xml:space="preserve">e to have been inaccurate and unforeseen issues could arise, which could adversely affect the anticipated returns or which are otherwise not recoverable as </w:t>
      </w:r>
    </w:p>
    <w:p w:rsidR="00000000" w:rsidRDefault="00AE54EE">
      <w:pPr>
        <w:ind w:firstLine="450"/>
        <w:jc w:val="center"/>
        <w:divId w:val="1846896058"/>
        <w:rPr>
          <w:rFonts w:eastAsia="Times New Roman"/>
        </w:rPr>
      </w:pPr>
      <w:r>
        <w:rPr>
          <w:rFonts w:eastAsia="Times New Roman"/>
          <w:color w:val="000000"/>
          <w:sz w:val="20"/>
          <w:szCs w:val="20"/>
        </w:rPr>
        <w:t>24</w:t>
      </w:r>
    </w:p>
    <w:p w:rsidR="00000000" w:rsidRDefault="00AE54EE">
      <w:pPr>
        <w:rPr>
          <w:rFonts w:eastAsia="Times New Roman"/>
        </w:rPr>
      </w:pPr>
      <w:r>
        <w:rPr>
          <w:rFonts w:eastAsia="Times New Roman"/>
        </w:rPr>
        <w:pict>
          <v:rect id="_x0000_i1051" style="width:0;height:1.5pt" o:hralign="center" o:hrstd="t" o:hr="t" fillcolor="#a0a0a0" stroked="f"/>
        </w:pict>
      </w:r>
    </w:p>
    <w:p w:rsidR="00000000" w:rsidRDefault="00AE54EE">
      <w:pPr>
        <w:ind w:firstLine="450"/>
        <w:divId w:val="834297608"/>
        <w:rPr>
          <w:rFonts w:eastAsia="Times New Roman"/>
        </w:rPr>
      </w:pPr>
    </w:p>
    <w:p w:rsidR="00000000" w:rsidRDefault="00AE54EE">
      <w:pPr>
        <w:divId w:val="272329131"/>
        <w:rPr>
          <w:rFonts w:eastAsia="Times New Roman"/>
        </w:rPr>
      </w:pPr>
      <w:r>
        <w:rPr>
          <w:rFonts w:eastAsia="Times New Roman"/>
          <w:color w:val="000000"/>
          <w:sz w:val="20"/>
          <w:szCs w:val="20"/>
        </w:rPr>
        <w:t>an adjustment to the purchase price. Even after careful in</w:t>
      </w:r>
      <w:r>
        <w:rPr>
          <w:rFonts w:eastAsia="Times New Roman"/>
          <w:color w:val="000000"/>
          <w:sz w:val="20"/>
          <w:szCs w:val="20"/>
        </w:rPr>
        <w:t>tegration efforts, actual operating results may vary significantly from initial estimates. As of December 31, 2021, we had goodwill of $18.2 billion recorded in our Consolidated Balance Sheet, the large majority of which was recorded in connection with the</w:t>
      </w:r>
      <w:r>
        <w:rPr>
          <w:rFonts w:eastAsia="Times New Roman"/>
          <w:color w:val="000000"/>
          <w:sz w:val="20"/>
          <w:szCs w:val="20"/>
        </w:rPr>
        <w:t xml:space="preserve"> L3Harris Merger. We evaluate the recoverability of recorded goodwill annually, as well as when we change reporting units and when events or circumstances indicate there may be an impairment. We test goodwill for impairment at an organizational level refer</w:t>
      </w:r>
      <w:r>
        <w:rPr>
          <w:rFonts w:eastAsia="Times New Roman"/>
          <w:color w:val="000000"/>
          <w:sz w:val="20"/>
          <w:szCs w:val="20"/>
        </w:rPr>
        <w:t>red to as the reporting unit, which is our business segment level or one level below the business segment. The impairment test is based on several factors requiring judgment. Principally, a decrease in expected reporting unit cash flows or changes in marke</w:t>
      </w:r>
      <w:r>
        <w:rPr>
          <w:rFonts w:eastAsia="Times New Roman"/>
          <w:color w:val="000000"/>
          <w:sz w:val="20"/>
          <w:szCs w:val="20"/>
        </w:rPr>
        <w:t>t conditions may indicate potential impairment of recorded goodwill. In addition, following the L3Harris Merger, our reporting units are generally one level below the segment level and two of our segments are comprised of several reporting units. Allocatio</w:t>
      </w:r>
      <w:r>
        <w:rPr>
          <w:rFonts w:eastAsia="Times New Roman"/>
          <w:color w:val="000000"/>
          <w:sz w:val="20"/>
          <w:szCs w:val="20"/>
        </w:rPr>
        <w:t>n of goodwill to several reporting units could make it more likely that we will have additional impairment charges in the future. Because of the significance of our goodwill and other intangible assets, any future impairment of these assets could have a ma</w:t>
      </w:r>
      <w:r>
        <w:rPr>
          <w:rFonts w:eastAsia="Times New Roman"/>
          <w:color w:val="000000"/>
          <w:sz w:val="20"/>
          <w:szCs w:val="20"/>
        </w:rPr>
        <w:t>terial adverse effect on our results of operations and financial condition. For additional information on our accounting policies related to impairment of goodwill, see our discussion under “Critical Accounting Policies and Estimates” in “Item 7. Managemen</w:t>
      </w:r>
      <w:r>
        <w:rPr>
          <w:rFonts w:eastAsia="Times New Roman"/>
          <w:color w:val="000000"/>
          <w:sz w:val="20"/>
          <w:szCs w:val="20"/>
        </w:rPr>
        <w:t xml:space="preserve">t’s Discussion and Analysis of Financial Condition and Results of Operations” of this Report and </w:t>
      </w:r>
      <w:r>
        <w:rPr>
          <w:rFonts w:eastAsia="Times New Roman"/>
          <w:i/>
          <w:iCs/>
          <w:color w:val="000000"/>
          <w:sz w:val="20"/>
          <w:szCs w:val="20"/>
        </w:rPr>
        <w:t>Note 1: Significant Accounting Policies</w:t>
      </w:r>
      <w:r>
        <w:rPr>
          <w:rFonts w:eastAsia="Times New Roman"/>
          <w:color w:val="000000"/>
          <w:sz w:val="20"/>
          <w:szCs w:val="20"/>
        </w:rPr>
        <w:t xml:space="preserve"> and </w:t>
      </w:r>
      <w:r>
        <w:rPr>
          <w:rFonts w:eastAsia="Times New Roman"/>
          <w:i/>
          <w:iCs/>
          <w:color w:val="000000"/>
          <w:sz w:val="20"/>
          <w:szCs w:val="20"/>
        </w:rPr>
        <w:t>Note 9: Goodwill</w:t>
      </w:r>
      <w:r>
        <w:rPr>
          <w:rFonts w:eastAsia="Times New Roman"/>
          <w:color w:val="000000"/>
          <w:sz w:val="20"/>
          <w:szCs w:val="20"/>
        </w:rPr>
        <w:t xml:space="preserve"> in the Notes. </w:t>
      </w:r>
    </w:p>
    <w:tbl>
      <w:tblPr>
        <w:tblW w:w="2500" w:type="pct"/>
        <w:tblCellMar>
          <w:top w:w="15" w:type="dxa"/>
          <w:left w:w="15" w:type="dxa"/>
          <w:bottom w:w="15" w:type="dxa"/>
          <w:right w:w="15" w:type="dxa"/>
        </w:tblCellMar>
        <w:tblLook w:val="04A0" w:firstRow="1" w:lastRow="0" w:firstColumn="1" w:lastColumn="0" w:noHBand="0" w:noVBand="1"/>
      </w:tblPr>
      <w:tblGrid>
        <w:gridCol w:w="42"/>
        <w:gridCol w:w="911"/>
        <w:gridCol w:w="36"/>
        <w:gridCol w:w="37"/>
        <w:gridCol w:w="3091"/>
        <w:gridCol w:w="36"/>
      </w:tblGrid>
      <w:tr w:rsidR="00000000">
        <w:trPr>
          <w:divId w:val="1298947128"/>
        </w:trPr>
        <w:tc>
          <w:tcPr>
            <w:tcW w:w="50" w:type="pct"/>
            <w:vAlign w:val="center"/>
            <w:hideMark/>
          </w:tcPr>
          <w:p w:rsidR="00000000" w:rsidRDefault="00AE54EE">
            <w:pPr>
              <w:rPr>
                <w:rFonts w:eastAsia="Times New Roman"/>
              </w:rPr>
            </w:pPr>
          </w:p>
        </w:tc>
        <w:tc>
          <w:tcPr>
            <w:tcW w:w="110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78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298947128"/>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1B.</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UNRESOLVED STAFF COMMENTS.</w:t>
            </w:r>
          </w:p>
        </w:tc>
      </w:tr>
    </w:tbl>
    <w:p w:rsidR="00000000" w:rsidRDefault="00AE54EE">
      <w:pPr>
        <w:ind w:firstLine="450"/>
        <w:divId w:val="1674841532"/>
        <w:rPr>
          <w:rFonts w:eastAsia="Times New Roman"/>
        </w:rPr>
      </w:pPr>
      <w:r>
        <w:rPr>
          <w:rFonts w:eastAsia="Times New Roman"/>
          <w:color w:val="000000"/>
          <w:sz w:val="20"/>
          <w:szCs w:val="20"/>
        </w:rPr>
        <w:t>Not applicable.</w:t>
      </w:r>
      <w:r>
        <w:rPr>
          <w:rFonts w:eastAsia="Times New Roman"/>
          <w:color w:val="000000"/>
          <w:sz w:val="18"/>
          <w:szCs w:val="18"/>
        </w:rPr>
        <w:t> </w:t>
      </w:r>
    </w:p>
    <w:tbl>
      <w:tblPr>
        <w:tblW w:w="1537"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514"/>
        <w:gridCol w:w="36"/>
      </w:tblGrid>
      <w:tr w:rsidR="00000000">
        <w:trPr>
          <w:divId w:val="257372594"/>
        </w:trPr>
        <w:tc>
          <w:tcPr>
            <w:tcW w:w="50" w:type="pct"/>
            <w:vAlign w:val="center"/>
            <w:hideMark/>
          </w:tcPr>
          <w:p w:rsidR="00000000" w:rsidRDefault="00AE54EE">
            <w:pPr>
              <w:ind w:firstLine="450"/>
              <w:rPr>
                <w:rFonts w:eastAsia="Times New Roman"/>
              </w:rPr>
            </w:pPr>
          </w:p>
        </w:tc>
        <w:tc>
          <w:tcPr>
            <w:tcW w:w="183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05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257372594"/>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w:t>
            </w:r>
            <w:r>
              <w:rPr>
                <w:rFonts w:eastAsia="Times New Roman"/>
                <w:b/>
                <w:bCs/>
                <w:color w:val="000000"/>
                <w:sz w:val="20"/>
                <w:szCs w:val="20"/>
              </w:rPr>
              <w:t>2.</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PROPERTIES.</w:t>
            </w:r>
          </w:p>
        </w:tc>
      </w:tr>
    </w:tbl>
    <w:p w:rsidR="00000000" w:rsidRDefault="00AE54EE">
      <w:pPr>
        <w:ind w:firstLine="450"/>
        <w:divId w:val="329213492"/>
        <w:rPr>
          <w:rFonts w:eastAsia="Times New Roman"/>
        </w:rPr>
      </w:pPr>
      <w:r>
        <w:rPr>
          <w:rFonts w:eastAsia="Times New Roman"/>
          <w:color w:val="000000"/>
          <w:sz w:val="20"/>
          <w:szCs w:val="20"/>
        </w:rPr>
        <w:t>Our principal executive offices are located at owned facilities in Melbourne, Florida. As of December 31, 2021, we operated approximately 300 locations in the U.S., Canada, Europe, Oceania, Asia, the Middle East and South America, cons</w:t>
      </w:r>
      <w:r>
        <w:rPr>
          <w:rFonts w:eastAsia="Times New Roman"/>
          <w:color w:val="000000"/>
          <w:sz w:val="20"/>
          <w:szCs w:val="20"/>
        </w:rPr>
        <w:t>isting of approximately 22 million square feet of manufacturing, administrative, R&amp;D, warehousing, engineering and office space, of which we owned approximately 9 million square feet and leased approximately 13 million square feet. There are no material en</w:t>
      </w:r>
      <w:r>
        <w:rPr>
          <w:rFonts w:eastAsia="Times New Roman"/>
          <w:color w:val="000000"/>
          <w:sz w:val="20"/>
          <w:szCs w:val="20"/>
        </w:rPr>
        <w:t>cumbrances on any of our owned facilities. As of December 31, 2021, we had major operations at the following locations:</w:t>
      </w:r>
    </w:p>
    <w:p w:rsidR="00000000" w:rsidRDefault="00AE54EE">
      <w:pPr>
        <w:ind w:firstLine="450"/>
        <w:divId w:val="1963878011"/>
        <w:rPr>
          <w:rFonts w:eastAsia="Times New Roman"/>
        </w:rPr>
      </w:pPr>
      <w:r>
        <w:rPr>
          <w:rFonts w:eastAsia="Times New Roman"/>
          <w:b/>
          <w:bCs/>
          <w:color w:val="000000"/>
          <w:sz w:val="20"/>
          <w:szCs w:val="20"/>
        </w:rPr>
        <w:t xml:space="preserve">Integrated Mission Systems </w:t>
      </w:r>
      <w:r>
        <w:rPr>
          <w:rFonts w:eastAsia="Times New Roman"/>
          <w:color w:val="000000"/>
          <w:sz w:val="20"/>
          <w:szCs w:val="20"/>
        </w:rPr>
        <w:t>— Greenville, Waco and Rockwall, Texas; Camden, New Jersey; Mirabel and Hamilton, Canada; Mason, Ohio; Tulsa,</w:t>
      </w:r>
      <w:r>
        <w:rPr>
          <w:rFonts w:eastAsia="Times New Roman"/>
          <w:color w:val="000000"/>
          <w:sz w:val="20"/>
          <w:szCs w:val="20"/>
        </w:rPr>
        <w:t xml:space="preserve"> Oklahoma; Philadelphia, Pennsylvania; Salt Lake City, Utah; and Anaheim, California.</w:t>
      </w:r>
    </w:p>
    <w:p w:rsidR="00000000" w:rsidRDefault="00AE54EE">
      <w:pPr>
        <w:ind w:firstLine="450"/>
        <w:divId w:val="468473652"/>
        <w:rPr>
          <w:rFonts w:eastAsia="Times New Roman"/>
        </w:rPr>
      </w:pPr>
      <w:r>
        <w:rPr>
          <w:rFonts w:eastAsia="Times New Roman"/>
          <w:b/>
          <w:bCs/>
          <w:color w:val="000000"/>
          <w:sz w:val="20"/>
          <w:szCs w:val="20"/>
        </w:rPr>
        <w:t>Space &amp; Airborne Systems</w:t>
      </w:r>
      <w:r>
        <w:rPr>
          <w:rFonts w:eastAsia="Times New Roman"/>
          <w:color w:val="000000"/>
          <w:sz w:val="20"/>
          <w:szCs w:val="20"/>
        </w:rPr>
        <w:t> — </w:t>
      </w:r>
      <w:r>
        <w:rPr>
          <w:rFonts w:eastAsia="Times New Roman"/>
          <w:color w:val="000000"/>
          <w:sz w:val="20"/>
          <w:szCs w:val="20"/>
        </w:rPr>
        <w:t xml:space="preserve">Palm Bay, Melbourne and Malabar, Florida; Rochester and Amityville, New York; Clifton, New Jersey; Van Nuys and San Diego, California; Colorado Springs, Colorado; Fort Wayne, Indiana; Wilmington, Massachusetts; and Alpharetta, Georgia. </w:t>
      </w:r>
    </w:p>
    <w:p w:rsidR="00000000" w:rsidRDefault="00AE54EE">
      <w:pPr>
        <w:ind w:firstLine="450"/>
        <w:divId w:val="2100322745"/>
        <w:rPr>
          <w:rFonts w:eastAsia="Times New Roman"/>
        </w:rPr>
      </w:pPr>
      <w:r>
        <w:rPr>
          <w:rFonts w:eastAsia="Times New Roman"/>
          <w:b/>
          <w:bCs/>
          <w:color w:val="000000"/>
          <w:sz w:val="20"/>
          <w:szCs w:val="20"/>
        </w:rPr>
        <w:t>Communication Syste</w:t>
      </w:r>
      <w:r>
        <w:rPr>
          <w:rFonts w:eastAsia="Times New Roman"/>
          <w:b/>
          <w:bCs/>
          <w:color w:val="000000"/>
          <w:sz w:val="20"/>
          <w:szCs w:val="20"/>
        </w:rPr>
        <w:t>ms</w:t>
      </w:r>
      <w:r>
        <w:rPr>
          <w:rFonts w:eastAsia="Times New Roman"/>
          <w:color w:val="000000"/>
          <w:sz w:val="20"/>
          <w:szCs w:val="20"/>
        </w:rPr>
        <w:t> — Salt Lake City, Utah; Rochester, New York; Londonderry, New Hampshire; Lynchburg, Virginia; Tempe, Arizona; Farnborough, United Kingdom; Brisbane, Australia; and Sunrise, Florida.</w:t>
      </w:r>
    </w:p>
    <w:p w:rsidR="00000000" w:rsidRDefault="00AE54EE">
      <w:pPr>
        <w:ind w:firstLine="450"/>
        <w:divId w:val="485318645"/>
        <w:rPr>
          <w:rFonts w:eastAsia="Times New Roman"/>
        </w:rPr>
      </w:pPr>
      <w:r>
        <w:rPr>
          <w:rFonts w:eastAsia="Times New Roman"/>
          <w:b/>
          <w:bCs/>
          <w:color w:val="000000"/>
          <w:sz w:val="20"/>
          <w:szCs w:val="20"/>
        </w:rPr>
        <w:t>Aviation Systems</w:t>
      </w:r>
      <w:r>
        <w:rPr>
          <w:rFonts w:eastAsia="Times New Roman"/>
          <w:color w:val="000000"/>
          <w:sz w:val="20"/>
          <w:szCs w:val="20"/>
        </w:rPr>
        <w:t> — Menlo Park and Anaheim, California; Cincinnati, Ohio</w:t>
      </w:r>
      <w:r>
        <w:rPr>
          <w:rFonts w:eastAsia="Times New Roman"/>
          <w:color w:val="000000"/>
          <w:sz w:val="20"/>
          <w:szCs w:val="20"/>
        </w:rPr>
        <w:t>; Herndon, Virginia; Crawley, United Kingdom; Melbourne, Florida; Plano, Texas; Mt. Olive, New Jersey; and Grand Rapids, Michigan.</w:t>
      </w:r>
    </w:p>
    <w:p w:rsidR="00000000" w:rsidRDefault="00AE54EE">
      <w:pPr>
        <w:ind w:firstLine="450"/>
        <w:divId w:val="1831481410"/>
        <w:rPr>
          <w:rFonts w:eastAsia="Times New Roman"/>
        </w:rPr>
      </w:pPr>
      <w:r>
        <w:rPr>
          <w:rFonts w:eastAsia="Times New Roman"/>
          <w:b/>
          <w:bCs/>
          <w:color w:val="000000"/>
          <w:sz w:val="20"/>
          <w:szCs w:val="20"/>
        </w:rPr>
        <w:t>Corporate</w:t>
      </w:r>
      <w:r>
        <w:rPr>
          <w:rFonts w:eastAsia="Times New Roman"/>
          <w:color w:val="000000"/>
          <w:sz w:val="20"/>
          <w:szCs w:val="20"/>
        </w:rPr>
        <w:t xml:space="preserve"> — Melbourne, Florida; and Washington, D.C. </w:t>
      </w:r>
    </w:p>
    <w:p w:rsidR="00000000" w:rsidRDefault="00AE54EE">
      <w:pPr>
        <w:ind w:firstLine="450"/>
        <w:divId w:val="1745255739"/>
        <w:rPr>
          <w:rFonts w:eastAsia="Times New Roman"/>
        </w:rPr>
      </w:pPr>
      <w:r>
        <w:rPr>
          <w:rFonts w:eastAsia="Times New Roman"/>
          <w:color w:val="000000"/>
          <w:sz w:val="20"/>
          <w:szCs w:val="20"/>
        </w:rPr>
        <w:t>The following is a summary of the approximate floor space of our office</w:t>
      </w:r>
      <w:r>
        <w:rPr>
          <w:rFonts w:eastAsia="Times New Roman"/>
          <w:color w:val="000000"/>
          <w:sz w:val="20"/>
          <w:szCs w:val="20"/>
        </w:rPr>
        <w:t>s and facilities in productive use, by segment, at December 31, 2021:</w:t>
      </w:r>
    </w:p>
    <w:tbl>
      <w:tblPr>
        <w:tblW w:w="4899" w:type="pct"/>
        <w:tblCellMar>
          <w:top w:w="15" w:type="dxa"/>
          <w:left w:w="15" w:type="dxa"/>
          <w:bottom w:w="15" w:type="dxa"/>
          <w:right w:w="15" w:type="dxa"/>
        </w:tblCellMar>
        <w:tblLook w:val="04A0" w:firstRow="1" w:lastRow="0" w:firstColumn="1" w:lastColumn="0" w:noHBand="0" w:noVBand="1"/>
      </w:tblPr>
      <w:tblGrid>
        <w:gridCol w:w="58"/>
        <w:gridCol w:w="4890"/>
        <w:gridCol w:w="38"/>
        <w:gridCol w:w="77"/>
        <w:gridCol w:w="871"/>
        <w:gridCol w:w="36"/>
        <w:gridCol w:w="36"/>
        <w:gridCol w:w="36"/>
        <w:gridCol w:w="36"/>
        <w:gridCol w:w="77"/>
        <w:gridCol w:w="863"/>
        <w:gridCol w:w="36"/>
        <w:gridCol w:w="36"/>
        <w:gridCol w:w="36"/>
        <w:gridCol w:w="36"/>
        <w:gridCol w:w="77"/>
        <w:gridCol w:w="863"/>
        <w:gridCol w:w="36"/>
      </w:tblGrid>
      <w:tr w:rsidR="00000000">
        <w:trPr>
          <w:divId w:val="1873372626"/>
        </w:trPr>
        <w:tc>
          <w:tcPr>
            <w:tcW w:w="50" w:type="pct"/>
            <w:vAlign w:val="center"/>
            <w:hideMark/>
          </w:tcPr>
          <w:p w:rsidR="00000000" w:rsidRDefault="00AE54EE">
            <w:pPr>
              <w:ind w:firstLine="450"/>
              <w:rPr>
                <w:rFonts w:eastAsia="Times New Roman"/>
              </w:rPr>
            </w:pPr>
          </w:p>
        </w:tc>
        <w:tc>
          <w:tcPr>
            <w:tcW w:w="301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6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6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87337262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Total Sq. Ft.</w:t>
            </w:r>
            <w:r>
              <w:rPr>
                <w:rFonts w:eastAsia="Times New Roman"/>
                <w:b/>
                <w:bCs/>
                <w:color w:val="000000"/>
                <w:sz w:val="16"/>
                <w:szCs w:val="16"/>
              </w:rPr>
              <w:br/>
              <w:t>Owned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Total Sq. Ft.</w:t>
            </w:r>
            <w:r>
              <w:rPr>
                <w:rFonts w:eastAsia="Times New Roman"/>
                <w:b/>
                <w:bCs/>
                <w:color w:val="000000"/>
                <w:sz w:val="16"/>
                <w:szCs w:val="16"/>
              </w:rPr>
              <w:br/>
              <w:t>Leased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Total</w:t>
            </w:r>
            <w:r>
              <w:rPr>
                <w:rFonts w:eastAsia="Times New Roman"/>
                <w:b/>
                <w:bCs/>
                <w:color w:val="000000"/>
                <w:sz w:val="16"/>
                <w:szCs w:val="16"/>
              </w:rPr>
              <w:br/>
              <w:t>Sq. Ft.</w:t>
            </w:r>
          </w:p>
        </w:tc>
      </w:tr>
      <w:tr w:rsidR="00000000">
        <w:trPr>
          <w:divId w:val="1873372626"/>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7337262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Integrated Mission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7337262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Space &amp; Airborne Systems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7337262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Communication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7337262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Aviation Systems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7337262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Corporate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7337262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413694314"/>
        <w:rPr>
          <w:rFonts w:eastAsia="Times New Roman"/>
        </w:rPr>
      </w:pPr>
      <w:r>
        <w:rPr>
          <w:rFonts w:eastAsia="Times New Roman"/>
          <w:color w:val="000000"/>
          <w:sz w:val="20"/>
          <w:szCs w:val="20"/>
        </w:rPr>
        <w:t>In our opinion, our facilities, whether owned or leased, are suitable and adequate for their intended purposes, are well-maintained and generally in regular use and have capacities adequate for current and projected needs. We frequently review our anticipa</w:t>
      </w:r>
      <w:r>
        <w:rPr>
          <w:rFonts w:eastAsia="Times New Roman"/>
          <w:color w:val="000000"/>
          <w:sz w:val="20"/>
          <w:szCs w:val="20"/>
        </w:rPr>
        <w:t>ted requirements for facilities and will, from time to time, acquire additional facilities, expand existing facilities and dispose of existing facilities or parts thereof, as management deems necessary. For more information about our lease obligations, see</w:t>
      </w:r>
      <w:r>
        <w:rPr>
          <w:rFonts w:eastAsia="Times New Roman"/>
          <w:color w:val="000000"/>
          <w:sz w:val="20"/>
          <w:szCs w:val="20"/>
        </w:rPr>
        <w:t xml:space="preserve"> </w:t>
      </w:r>
      <w:r>
        <w:rPr>
          <w:rFonts w:eastAsia="Times New Roman"/>
          <w:i/>
          <w:iCs/>
          <w:color w:val="000000"/>
          <w:sz w:val="20"/>
          <w:szCs w:val="20"/>
        </w:rPr>
        <w:t>Note 18: Lease Commitments</w:t>
      </w:r>
      <w:r>
        <w:rPr>
          <w:rFonts w:eastAsia="Times New Roman"/>
          <w:color w:val="000000"/>
          <w:sz w:val="20"/>
          <w:szCs w:val="20"/>
        </w:rPr>
        <w:t xml:space="preserve"> in the Notes. Our facilities and other properties are generally maintained in good operating condition.</w:t>
      </w:r>
    </w:p>
    <w:p w:rsidR="00000000" w:rsidRDefault="00AE54EE">
      <w:pPr>
        <w:ind w:firstLine="450"/>
        <w:jc w:val="center"/>
        <w:divId w:val="1441222047"/>
        <w:rPr>
          <w:rFonts w:eastAsia="Times New Roman"/>
        </w:rPr>
      </w:pPr>
      <w:r>
        <w:rPr>
          <w:rFonts w:eastAsia="Times New Roman"/>
          <w:color w:val="000000"/>
          <w:sz w:val="20"/>
          <w:szCs w:val="20"/>
        </w:rPr>
        <w:t>25</w:t>
      </w:r>
    </w:p>
    <w:p w:rsidR="00000000" w:rsidRDefault="00AE54EE">
      <w:pPr>
        <w:rPr>
          <w:rFonts w:eastAsia="Times New Roman"/>
        </w:rPr>
      </w:pPr>
      <w:r>
        <w:rPr>
          <w:rFonts w:eastAsia="Times New Roman"/>
        </w:rPr>
        <w:pict>
          <v:rect id="_x0000_i1052" style="width:0;height:1.5pt" o:hralign="center" o:hrstd="t" o:hr="t" fillcolor="#a0a0a0" stroked="f"/>
        </w:pict>
      </w:r>
    </w:p>
    <w:p w:rsidR="00000000" w:rsidRDefault="00AE54EE">
      <w:pPr>
        <w:ind w:firstLine="450"/>
        <w:divId w:val="751975749"/>
        <w:rPr>
          <w:rFonts w:eastAsia="Times New Roman"/>
        </w:rPr>
      </w:pPr>
    </w:p>
    <w:tbl>
      <w:tblPr>
        <w:tblW w:w="1724"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825"/>
        <w:gridCol w:w="36"/>
      </w:tblGrid>
      <w:tr w:rsidR="00000000">
        <w:trPr>
          <w:divId w:val="1627002974"/>
        </w:trPr>
        <w:tc>
          <w:tcPr>
            <w:tcW w:w="50" w:type="pct"/>
            <w:vAlign w:val="center"/>
            <w:hideMark/>
          </w:tcPr>
          <w:p w:rsidR="00000000" w:rsidRDefault="00AE54EE">
            <w:pPr>
              <w:ind w:firstLine="450"/>
              <w:rPr>
                <w:rFonts w:eastAsia="Times New Roman"/>
              </w:rPr>
            </w:pPr>
          </w:p>
        </w:tc>
        <w:tc>
          <w:tcPr>
            <w:tcW w:w="163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5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627002974"/>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3.</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LEGAL PROCEEDINGS.</w:t>
            </w:r>
          </w:p>
        </w:tc>
      </w:tr>
    </w:tbl>
    <w:p w:rsidR="00000000" w:rsidRDefault="00AE54EE">
      <w:pPr>
        <w:ind w:firstLine="450"/>
        <w:divId w:val="1525289154"/>
        <w:rPr>
          <w:rFonts w:eastAsia="Times New Roman"/>
        </w:rPr>
      </w:pPr>
      <w:r>
        <w:rPr>
          <w:rFonts w:eastAsia="Times New Roman"/>
          <w:b/>
          <w:bCs/>
          <w:i/>
          <w:iCs/>
          <w:color w:val="000000"/>
          <w:sz w:val="20"/>
          <w:szCs w:val="20"/>
        </w:rPr>
        <w:t>General.</w:t>
      </w:r>
      <w:r>
        <w:rPr>
          <w:rFonts w:eastAsia="Times New Roman"/>
          <w:i/>
          <w:iCs/>
          <w:color w:val="000000"/>
          <w:sz w:val="20"/>
          <w:szCs w:val="20"/>
        </w:rPr>
        <w:t> </w:t>
      </w:r>
      <w:r>
        <w:rPr>
          <w:rFonts w:eastAsia="Times New Roman"/>
          <w:color w:val="000000"/>
          <w:sz w:val="20"/>
          <w:szCs w:val="20"/>
        </w:rPr>
        <w:t xml:space="preserve">From time to time, as a normal incident of the nature and kind of businesses in which we are or were engaged, various claims or charges are asserted and litigation or arbitration is commenced by or against us arising from or related to matters, including, </w:t>
      </w:r>
      <w:r>
        <w:rPr>
          <w:rFonts w:eastAsia="Times New Roman"/>
          <w:color w:val="000000"/>
          <w:sz w:val="20"/>
          <w:szCs w:val="20"/>
        </w:rPr>
        <w:t>but not limited to: product liability; personal injury; patents, trademarks, trade secrets or other intellectual property; labor and employee disputes; commercial or contractual disputes; strategic acquisitions or divestitures; the prior sale or use of for</w:t>
      </w:r>
      <w:r>
        <w:rPr>
          <w:rFonts w:eastAsia="Times New Roman"/>
          <w:color w:val="000000"/>
          <w:sz w:val="20"/>
          <w:szCs w:val="20"/>
        </w:rPr>
        <w:t xml:space="preserve">mer products allegedly containing asbestos or other restricted materials; breach of warranty; or environmental matters. Claimed amounts against us may be substantial, but may not bear any reasonable relationship to the merits of the claim or the extent of </w:t>
      </w:r>
      <w:r>
        <w:rPr>
          <w:rFonts w:eastAsia="Times New Roman"/>
          <w:color w:val="000000"/>
          <w:sz w:val="20"/>
          <w:szCs w:val="20"/>
        </w:rPr>
        <w:t>any real risk of court or arbitral awards. We record accruals for losses related to those matters against us that we consider to be probable and that can be reasonably estimated. Gain contingencies, if any, are recognized when they are realized and legal c</w:t>
      </w:r>
      <w:r>
        <w:rPr>
          <w:rFonts w:eastAsia="Times New Roman"/>
          <w:color w:val="000000"/>
          <w:sz w:val="20"/>
          <w:szCs w:val="20"/>
        </w:rPr>
        <w:t>osts generally are expensed when incurred. At December 31, 2021, our accrual for the potential resolution of lawsuits, claims or proceedings that we consider probable of being decided unfavorably to us was not material. Although it is not feasible to predi</w:t>
      </w:r>
      <w:r>
        <w:rPr>
          <w:rFonts w:eastAsia="Times New Roman"/>
          <w:color w:val="000000"/>
          <w:sz w:val="20"/>
          <w:szCs w:val="20"/>
        </w:rPr>
        <w:t>ct the outcome of these matters with certainty, it is reasonably possible that some lawsuits, claims or proceedings may be disposed of or decided unfavorably to us and in excess of the amounts currently accrued. Based on available information, in the opini</w:t>
      </w:r>
      <w:r>
        <w:rPr>
          <w:rFonts w:eastAsia="Times New Roman"/>
          <w:color w:val="000000"/>
          <w:sz w:val="20"/>
          <w:szCs w:val="20"/>
        </w:rPr>
        <w:t>on of management, settlements, arbitration awards and final judgments, if any, that are considered probable of being rendered against us in litigation or arbitration in existence at December 31, 2021 would not have a material adverse effect on our financia</w:t>
      </w:r>
      <w:r>
        <w:rPr>
          <w:rFonts w:eastAsia="Times New Roman"/>
          <w:color w:val="000000"/>
          <w:sz w:val="20"/>
          <w:szCs w:val="20"/>
        </w:rPr>
        <w:t>l condition, results of operations, cash flows or equity.</w:t>
      </w:r>
    </w:p>
    <w:p w:rsidR="00000000" w:rsidRDefault="00AE54EE">
      <w:pPr>
        <w:ind w:firstLine="450"/>
        <w:divId w:val="1894728117"/>
        <w:rPr>
          <w:rFonts w:eastAsia="Times New Roman"/>
        </w:rPr>
      </w:pPr>
      <w:r>
        <w:rPr>
          <w:rFonts w:eastAsia="Times New Roman"/>
          <w:b/>
          <w:bCs/>
          <w:i/>
          <w:iCs/>
          <w:color w:val="000000"/>
          <w:sz w:val="20"/>
          <w:szCs w:val="20"/>
        </w:rPr>
        <w:t>Tax Audits.</w:t>
      </w:r>
      <w:r>
        <w:rPr>
          <w:rFonts w:eastAsia="Times New Roman"/>
          <w:i/>
          <w:iCs/>
          <w:color w:val="000000"/>
          <w:sz w:val="20"/>
          <w:szCs w:val="20"/>
        </w:rPr>
        <w:t> </w:t>
      </w:r>
      <w:r>
        <w:rPr>
          <w:rFonts w:eastAsia="Times New Roman"/>
          <w:color w:val="000000"/>
          <w:sz w:val="20"/>
          <w:szCs w:val="20"/>
        </w:rPr>
        <w:t>Our tax filings are subject to audit by taxing authorities in jurisdictions where we conduct or conducted business. These audits may result in assessments of additional taxes that are subsequently resolved with the authorities or ultimately through legal p</w:t>
      </w:r>
      <w:r>
        <w:rPr>
          <w:rFonts w:eastAsia="Times New Roman"/>
          <w:color w:val="000000"/>
          <w:sz w:val="20"/>
          <w:szCs w:val="20"/>
        </w:rPr>
        <w:t xml:space="preserve">roceedings. We believe we have adequately accrued for any ultimate amounts that are likely to result from these audits; however, final assessments, if any, could be different from the amounts recorded in our Consolidated Financial Statements. See </w:t>
      </w:r>
      <w:r>
        <w:rPr>
          <w:rFonts w:eastAsia="Times New Roman"/>
          <w:i/>
          <w:iCs/>
          <w:color w:val="000000"/>
          <w:sz w:val="20"/>
          <w:szCs w:val="20"/>
        </w:rPr>
        <w:t xml:space="preserve">Note 22: </w:t>
      </w:r>
      <w:r>
        <w:rPr>
          <w:rFonts w:eastAsia="Times New Roman"/>
          <w:i/>
          <w:iCs/>
          <w:color w:val="000000"/>
          <w:sz w:val="20"/>
          <w:szCs w:val="20"/>
        </w:rPr>
        <w:t>Income Taxes</w:t>
      </w:r>
      <w:r>
        <w:rPr>
          <w:rFonts w:eastAsia="Times New Roman"/>
          <w:color w:val="000000"/>
          <w:sz w:val="20"/>
          <w:szCs w:val="20"/>
        </w:rPr>
        <w:t xml:space="preserve"> in the Notes for additional information regarding audits and examinations by taxing authorities of our tax filings.</w:t>
      </w:r>
    </w:p>
    <w:p w:rsidR="00000000" w:rsidRDefault="00AE54EE">
      <w:pPr>
        <w:ind w:firstLine="450"/>
        <w:divId w:val="1244414853"/>
        <w:rPr>
          <w:rFonts w:eastAsia="Times New Roman"/>
        </w:rPr>
      </w:pPr>
      <w:r>
        <w:rPr>
          <w:rFonts w:eastAsia="Times New Roman"/>
          <w:b/>
          <w:bCs/>
          <w:i/>
          <w:iCs/>
          <w:color w:val="000000"/>
          <w:sz w:val="20"/>
          <w:szCs w:val="20"/>
        </w:rPr>
        <w:t>U.S. Government Business.</w:t>
      </w:r>
      <w:r>
        <w:rPr>
          <w:rFonts w:eastAsia="Times New Roman"/>
          <w:i/>
          <w:iCs/>
          <w:color w:val="000000"/>
          <w:sz w:val="20"/>
          <w:szCs w:val="20"/>
        </w:rPr>
        <w:t> </w:t>
      </w:r>
      <w:r>
        <w:rPr>
          <w:rFonts w:eastAsia="Times New Roman"/>
          <w:color w:val="000000"/>
          <w:sz w:val="20"/>
          <w:szCs w:val="20"/>
        </w:rPr>
        <w:t>We are engaged in supplying goods and services to various departments and agencies of the U.S. Govern</w:t>
      </w:r>
      <w:r>
        <w:rPr>
          <w:rFonts w:eastAsia="Times New Roman"/>
          <w:color w:val="000000"/>
          <w:sz w:val="20"/>
          <w:szCs w:val="20"/>
        </w:rPr>
        <w:t>ment. We are therefore dependent on Congressional appropriations and administrative allotment of funds and may be affected by changes in U.S. Government policies. U.S. Government development and production contracts typically involve long lead times for de</w:t>
      </w:r>
      <w:r>
        <w:rPr>
          <w:rFonts w:eastAsia="Times New Roman"/>
          <w:color w:val="000000"/>
          <w:sz w:val="20"/>
          <w:szCs w:val="20"/>
        </w:rPr>
        <w:t>sign and development, are subject to significant changes in contract scheduling and may be unilaterally modified or canceled by the U.S. Government. Often these contracts call for successful design and production of complex and technologically advanced pro</w:t>
      </w:r>
      <w:r>
        <w:rPr>
          <w:rFonts w:eastAsia="Times New Roman"/>
          <w:color w:val="000000"/>
          <w:sz w:val="20"/>
          <w:szCs w:val="20"/>
        </w:rPr>
        <w:t>ducts or systems. We may participate in supplying goods and services to the U.S. Government as either a prime contractor or as a subcontractor to a prime contractor. Disputes may arise between the prime contractor and the U.S. Government or between the pri</w:t>
      </w:r>
      <w:r>
        <w:rPr>
          <w:rFonts w:eastAsia="Times New Roman"/>
          <w:color w:val="000000"/>
          <w:sz w:val="20"/>
          <w:szCs w:val="20"/>
        </w:rPr>
        <w:t>me contractor and its subcontractors and may result in litigation or arbitration between the contracting parties.</w:t>
      </w:r>
    </w:p>
    <w:p w:rsidR="00000000" w:rsidRDefault="00AE54EE">
      <w:pPr>
        <w:ind w:firstLine="450"/>
        <w:divId w:val="1613592773"/>
        <w:rPr>
          <w:rFonts w:eastAsia="Times New Roman"/>
        </w:rPr>
      </w:pPr>
      <w:r>
        <w:rPr>
          <w:rFonts w:eastAsia="Times New Roman"/>
          <w:color w:val="000000"/>
          <w:sz w:val="20"/>
          <w:szCs w:val="20"/>
        </w:rPr>
        <w:t>Generally, U.S. Government contracts are subject to procurement laws and regulations, including the FAR, which outline uniform policies and pr</w:t>
      </w:r>
      <w:r>
        <w:rPr>
          <w:rFonts w:eastAsia="Times New Roman"/>
          <w:color w:val="000000"/>
          <w:sz w:val="20"/>
          <w:szCs w:val="20"/>
        </w:rPr>
        <w:t>ocedures for acquiring goods and services by the U.S. Government, and specific agency acquisition regulations that implement or supplement the FAR, such as the Defense Federal Acquisition Regulation Supplement. As a U.S. Government contractor, our contract</w:t>
      </w:r>
      <w:r>
        <w:rPr>
          <w:rFonts w:eastAsia="Times New Roman"/>
          <w:color w:val="000000"/>
          <w:sz w:val="20"/>
          <w:szCs w:val="20"/>
        </w:rPr>
        <w:t xml:space="preserve"> costs are audited and reviewed on a continuing basis by the Defense Contract Audit Agency (“DCAA”). The DCAA also reviews the adequacy of, and a U.S. Government contractor’s compliance with, the contractor’s business systems and policies, including the co</w:t>
      </w:r>
      <w:r>
        <w:rPr>
          <w:rFonts w:eastAsia="Times New Roman"/>
          <w:color w:val="000000"/>
          <w:sz w:val="20"/>
          <w:szCs w:val="20"/>
        </w:rPr>
        <w:t>ntractor’s property, estimating, compensation and management information systems. In addition to these routine audits, from time to time, we may, either individually or in conjunction with other U.S. Government contractors, be the subject of audits and inv</w:t>
      </w:r>
      <w:r>
        <w:rPr>
          <w:rFonts w:eastAsia="Times New Roman"/>
          <w:color w:val="000000"/>
          <w:sz w:val="20"/>
          <w:szCs w:val="20"/>
        </w:rPr>
        <w:t>estigations by other agencies of the U.S. Government. These audits and investigations are conducted to determine if our performance and administration of our U.S. Government contracts are compliant with applicable contractual requirements and procurement a</w:t>
      </w:r>
      <w:r>
        <w:rPr>
          <w:rFonts w:eastAsia="Times New Roman"/>
          <w:color w:val="000000"/>
          <w:sz w:val="20"/>
          <w:szCs w:val="20"/>
        </w:rPr>
        <w:t>nd other applicable Federal laws and regulations, including ITAR and FCPA. These investigations may be conducted with or without our knowledge or cooperation. We are unable to predict the outcome of such investigations or to estimate the amounts of resulti</w:t>
      </w:r>
      <w:r>
        <w:rPr>
          <w:rFonts w:eastAsia="Times New Roman"/>
          <w:color w:val="000000"/>
          <w:sz w:val="20"/>
          <w:szCs w:val="20"/>
        </w:rPr>
        <w:t>ng claims or other actions that could be instituted against us or our officers or employees. Under present U.S. Government procurement laws and regulations, if indicted or adjudged in violation of procurement or other Federal laws, a contractor, such as us</w:t>
      </w:r>
      <w:r>
        <w:rPr>
          <w:rFonts w:eastAsia="Times New Roman"/>
          <w:color w:val="000000"/>
          <w:sz w:val="20"/>
          <w:szCs w:val="20"/>
        </w:rPr>
        <w:t xml:space="preserve">, or one or more of our operating divisions or subdivisions, could be subject to fines, penalties, repayments, or compensatory or treble damages. U.S. Government regulations also provide that certain findings against a contractor may lead to suspension or </w:t>
      </w:r>
      <w:r>
        <w:rPr>
          <w:rFonts w:eastAsia="Times New Roman"/>
          <w:color w:val="000000"/>
          <w:sz w:val="20"/>
          <w:szCs w:val="20"/>
        </w:rPr>
        <w:t>debarment from eligibility for awards of new U.S. Government contracts for a period of time to be determined by the U.S. Government. Suspension or debarment would have a material adverse effect on us because of our reliance on U.S. Government contracts. In</w:t>
      </w:r>
      <w:r>
        <w:rPr>
          <w:rFonts w:eastAsia="Times New Roman"/>
          <w:color w:val="000000"/>
          <w:sz w:val="20"/>
          <w:szCs w:val="20"/>
        </w:rPr>
        <w:t xml:space="preserve"> addition, our export privileges could be suspended or revoked, which also would have a material adverse effect on us. For further discussion of risks relating to U.S. Government contracts, see “Item 1A. Risk Factors” of this Report.</w:t>
      </w:r>
    </w:p>
    <w:p w:rsidR="00000000" w:rsidRDefault="00AE54EE">
      <w:pPr>
        <w:ind w:firstLine="450"/>
        <w:divId w:val="1487478526"/>
        <w:rPr>
          <w:rFonts w:eastAsia="Times New Roman"/>
        </w:rPr>
      </w:pPr>
      <w:r>
        <w:rPr>
          <w:rFonts w:eastAsia="Times New Roman"/>
          <w:b/>
          <w:bCs/>
          <w:i/>
          <w:iCs/>
          <w:color w:val="000000"/>
          <w:sz w:val="20"/>
          <w:szCs w:val="20"/>
        </w:rPr>
        <w:t>International.</w:t>
      </w:r>
      <w:r>
        <w:rPr>
          <w:rFonts w:eastAsia="Times New Roman"/>
          <w:i/>
          <w:iCs/>
          <w:color w:val="000000"/>
          <w:sz w:val="20"/>
          <w:szCs w:val="20"/>
        </w:rPr>
        <w:t> </w:t>
      </w:r>
      <w:r>
        <w:rPr>
          <w:rFonts w:eastAsia="Times New Roman"/>
          <w:color w:val="000000"/>
          <w:sz w:val="20"/>
          <w:szCs w:val="20"/>
        </w:rPr>
        <w:t>As an i</w:t>
      </w:r>
      <w:r>
        <w:rPr>
          <w:rFonts w:eastAsia="Times New Roman"/>
          <w:color w:val="000000"/>
          <w:sz w:val="20"/>
          <w:szCs w:val="20"/>
        </w:rPr>
        <w:t>nternational company, we are, from time to time, the subject of investigations relating to our international operations, including under U.S. export control laws (such as ITAR), the FCPA and other similar U.S. and international laws.</w:t>
      </w:r>
    </w:p>
    <w:p w:rsidR="00000000" w:rsidRDefault="00AE54EE">
      <w:pPr>
        <w:ind w:firstLine="450"/>
        <w:jc w:val="center"/>
        <w:divId w:val="277419255"/>
        <w:rPr>
          <w:rFonts w:eastAsia="Times New Roman"/>
        </w:rPr>
      </w:pPr>
      <w:r>
        <w:rPr>
          <w:rFonts w:eastAsia="Times New Roman"/>
          <w:color w:val="000000"/>
          <w:sz w:val="20"/>
          <w:szCs w:val="20"/>
        </w:rPr>
        <w:t>26</w:t>
      </w:r>
    </w:p>
    <w:p w:rsidR="00000000" w:rsidRDefault="00AE54EE">
      <w:pPr>
        <w:rPr>
          <w:rFonts w:eastAsia="Times New Roman"/>
        </w:rPr>
      </w:pPr>
      <w:r>
        <w:rPr>
          <w:rFonts w:eastAsia="Times New Roman"/>
        </w:rPr>
        <w:pict>
          <v:rect id="_x0000_i1053" style="width:0;height:1.5pt" o:hralign="center" o:hrstd="t" o:hr="t" fillcolor="#a0a0a0" stroked="f"/>
        </w:pict>
      </w:r>
    </w:p>
    <w:p w:rsidR="00000000" w:rsidRDefault="00AE54EE">
      <w:pPr>
        <w:ind w:firstLine="450"/>
        <w:divId w:val="2140683813"/>
        <w:rPr>
          <w:rFonts w:eastAsia="Times New Roman"/>
        </w:rPr>
      </w:pPr>
    </w:p>
    <w:p w:rsidR="00000000" w:rsidRDefault="00AE54EE">
      <w:pPr>
        <w:ind w:firstLine="450"/>
        <w:divId w:val="2017224987"/>
        <w:rPr>
          <w:rFonts w:eastAsia="Times New Roman"/>
        </w:rPr>
      </w:pPr>
      <w:r>
        <w:rPr>
          <w:rFonts w:eastAsia="Times New Roman"/>
          <w:color w:val="000000"/>
          <w:sz w:val="20"/>
          <w:szCs w:val="20"/>
        </w:rPr>
        <w:t>In September 2019, we reached an administrative settlement with the Department of State to resolve alleged U.S. export control regulation violations. Under the terms of the settlement we have committed to strengthen our trade compliance</w:t>
      </w:r>
      <w:r>
        <w:rPr>
          <w:rFonts w:eastAsia="Times New Roman"/>
          <w:color w:val="000000"/>
          <w:sz w:val="20"/>
          <w:szCs w:val="20"/>
        </w:rPr>
        <w:t xml:space="preserve"> program under the supervision of a special compliance officer and will pay a civil penalty of $13 million over three years (with $6.5 million suspended on the condition of use for qualified remedial compliance measures). The settlement did not result in a</w:t>
      </w:r>
      <w:r>
        <w:rPr>
          <w:rFonts w:eastAsia="Times New Roman"/>
          <w:color w:val="000000"/>
          <w:sz w:val="20"/>
          <w:szCs w:val="20"/>
        </w:rPr>
        <w:t xml:space="preserve">ny debarment or limitation on export licensing. </w:t>
      </w:r>
    </w:p>
    <w:p w:rsidR="00000000" w:rsidRDefault="00AE54EE">
      <w:pPr>
        <w:ind w:firstLine="450"/>
        <w:divId w:val="1702434386"/>
        <w:rPr>
          <w:rFonts w:eastAsia="Times New Roman"/>
        </w:rPr>
      </w:pPr>
      <w:r>
        <w:rPr>
          <w:rFonts w:eastAsia="Times New Roman"/>
          <w:b/>
          <w:bCs/>
          <w:i/>
          <w:iCs/>
          <w:color w:val="000000"/>
          <w:sz w:val="20"/>
          <w:szCs w:val="20"/>
        </w:rPr>
        <w:t>Environmental Matters.</w:t>
      </w:r>
      <w:r>
        <w:rPr>
          <w:rFonts w:eastAsia="Times New Roman"/>
          <w:i/>
          <w:iCs/>
          <w:color w:val="000000"/>
          <w:sz w:val="20"/>
          <w:szCs w:val="20"/>
        </w:rPr>
        <w:t> </w:t>
      </w:r>
      <w:r>
        <w:rPr>
          <w:rFonts w:eastAsia="Times New Roman"/>
          <w:color w:val="000000"/>
          <w:sz w:val="20"/>
          <w:szCs w:val="20"/>
        </w:rPr>
        <w:t>We are subject to numerous U.S. Federal, state, local and international environmental laws and regulatory requirements and are involved from time to time in investigations or litigatio</w:t>
      </w:r>
      <w:r>
        <w:rPr>
          <w:rFonts w:eastAsia="Times New Roman"/>
          <w:color w:val="000000"/>
          <w:sz w:val="20"/>
          <w:szCs w:val="20"/>
        </w:rPr>
        <w:t>n of various potential environmental issues. We or companies we have acquired are responsible, or alleged to be responsible, for environmental investigation and/or remediation of multiple sites. These sites are in various stages of investigation and/or rem</w:t>
      </w:r>
      <w:r>
        <w:rPr>
          <w:rFonts w:eastAsia="Times New Roman"/>
          <w:color w:val="000000"/>
          <w:sz w:val="20"/>
          <w:szCs w:val="20"/>
        </w:rPr>
        <w:t>ediation and in some cases our liability is considered de minimis. Notices from the U.S. Environmental Protection Agency (“EPA”) or equivalent state or international environmental agencies allege that several sites formerly or currently owned and/or operat</w:t>
      </w:r>
      <w:r>
        <w:rPr>
          <w:rFonts w:eastAsia="Times New Roman"/>
          <w:color w:val="000000"/>
          <w:sz w:val="20"/>
          <w:szCs w:val="20"/>
        </w:rPr>
        <w:t>ed by us or companies we have acquired, and other properties or water supplies that may be or have been impacted from those operations, contain disposed or recycled materials or wastes and require environmental investigation and/or remediation. These sites</w:t>
      </w:r>
      <w:r>
        <w:rPr>
          <w:rFonts w:eastAsia="Times New Roman"/>
          <w:color w:val="000000"/>
          <w:sz w:val="20"/>
          <w:szCs w:val="20"/>
        </w:rPr>
        <w:t xml:space="preserve"> include instances of being identified as a potentially responsible party under the Comprehensive Environmental Response, Compensation and Liability Act (commonly known as the “Superfund Act”) and/or equivalent state and international laws. For example, in</w:t>
      </w:r>
      <w:r>
        <w:rPr>
          <w:rFonts w:eastAsia="Times New Roman"/>
          <w:color w:val="000000"/>
          <w:sz w:val="20"/>
          <w:szCs w:val="20"/>
        </w:rPr>
        <w:t xml:space="preserve"> June 2014, the U.S. Department of Justice, Environment and Natural Resources Division, notified several potentially responsible parties, including Exelis Inc. (“Exelis”), which we acquired in 2015, of potential responsibility for contribution to the envir</w:t>
      </w:r>
      <w:r>
        <w:rPr>
          <w:rFonts w:eastAsia="Times New Roman"/>
          <w:color w:val="000000"/>
          <w:sz w:val="20"/>
          <w:szCs w:val="20"/>
        </w:rPr>
        <w:t xml:space="preserve">onmental investigation and remediation of multiple locations in Alaska. In addition, in March 2016, the EPA notified over 100 potentially responsible parties, including Exelis, of potential liability for the cost of remediation for the 8.3-mile stretch of </w:t>
      </w:r>
      <w:r>
        <w:rPr>
          <w:rFonts w:eastAsia="Times New Roman"/>
          <w:color w:val="000000"/>
          <w:sz w:val="20"/>
          <w:szCs w:val="20"/>
        </w:rPr>
        <w:t>the Lower Passaic River in New Jersey, estimated by the EPA to be $1.38 billion. During the fourth quarter of fiscal 2021, the EPA further announced an interim plan to remediate sediment in the upper nine miles of the of the Lower Passaic River with an est</w:t>
      </w:r>
      <w:r>
        <w:rPr>
          <w:rFonts w:eastAsia="Times New Roman"/>
          <w:color w:val="000000"/>
          <w:sz w:val="20"/>
          <w:szCs w:val="20"/>
        </w:rPr>
        <w:t>imated cost of $441 million. The potential responsible parties’ respective allocations for the Lower Passaic River remediation have not been determined. Although it is not feasible to predict the outcome of these environmental claims made against us, based</w:t>
      </w:r>
      <w:r>
        <w:rPr>
          <w:rFonts w:eastAsia="Times New Roman"/>
          <w:color w:val="000000"/>
          <w:sz w:val="20"/>
          <w:szCs w:val="20"/>
        </w:rPr>
        <w:t xml:space="preserve"> on available information, in the opinion of our management, any payments we may be required to make as a result of environmental claims made against us in existence at December 31, 2021 are reserved against, covered by insurance or would not have a materi</w:t>
      </w:r>
      <w:r>
        <w:rPr>
          <w:rFonts w:eastAsia="Times New Roman"/>
          <w:color w:val="000000"/>
          <w:sz w:val="20"/>
          <w:szCs w:val="20"/>
        </w:rPr>
        <w:t>al adverse effect on our financial condition, results of operations, cash flows or equity.</w:t>
      </w:r>
    </w:p>
    <w:tbl>
      <w:tblPr>
        <w:tblW w:w="2025"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2325"/>
        <w:gridCol w:w="36"/>
      </w:tblGrid>
      <w:tr w:rsidR="00000000">
        <w:trPr>
          <w:divId w:val="922028737"/>
        </w:trPr>
        <w:tc>
          <w:tcPr>
            <w:tcW w:w="50" w:type="pct"/>
            <w:vAlign w:val="center"/>
            <w:hideMark/>
          </w:tcPr>
          <w:p w:rsidR="00000000" w:rsidRDefault="00AE54EE">
            <w:pPr>
              <w:ind w:firstLine="450"/>
              <w:rPr>
                <w:rFonts w:eastAsia="Times New Roman"/>
              </w:rPr>
            </w:pPr>
          </w:p>
        </w:tc>
        <w:tc>
          <w:tcPr>
            <w:tcW w:w="138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50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922028737"/>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 ITEM 4.</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MINE SAFETY DISCLOSURES.</w:t>
            </w:r>
          </w:p>
        </w:tc>
      </w:tr>
    </w:tbl>
    <w:p w:rsidR="00000000" w:rsidRDefault="00AE54EE">
      <w:pPr>
        <w:ind w:firstLine="450"/>
        <w:divId w:val="729233603"/>
        <w:rPr>
          <w:rFonts w:eastAsia="Times New Roman"/>
        </w:rPr>
      </w:pPr>
      <w:r>
        <w:rPr>
          <w:rFonts w:eastAsia="Times New Roman"/>
          <w:color w:val="000000"/>
          <w:sz w:val="20"/>
          <w:szCs w:val="20"/>
        </w:rPr>
        <w:t>Not applicable.</w:t>
      </w:r>
    </w:p>
    <w:p w:rsidR="00000000" w:rsidRDefault="00AE54EE">
      <w:pPr>
        <w:ind w:firstLine="450"/>
        <w:jc w:val="center"/>
        <w:divId w:val="421296578"/>
        <w:rPr>
          <w:rFonts w:eastAsia="Times New Roman"/>
        </w:rPr>
      </w:pPr>
      <w:r>
        <w:rPr>
          <w:rFonts w:eastAsia="Times New Roman"/>
          <w:color w:val="000000"/>
          <w:sz w:val="20"/>
          <w:szCs w:val="20"/>
        </w:rPr>
        <w:t>27</w:t>
      </w:r>
    </w:p>
    <w:p w:rsidR="00000000" w:rsidRDefault="00AE54EE">
      <w:pPr>
        <w:rPr>
          <w:rFonts w:eastAsia="Times New Roman"/>
        </w:rPr>
      </w:pPr>
      <w:r>
        <w:rPr>
          <w:rFonts w:eastAsia="Times New Roman"/>
        </w:rPr>
        <w:pict>
          <v:rect id="_x0000_i1054" style="width:0;height:1.5pt" o:hralign="center" o:hrstd="t" o:hr="t" fillcolor="#a0a0a0" stroked="f"/>
        </w:pict>
      </w:r>
    </w:p>
    <w:p w:rsidR="00000000" w:rsidRDefault="00AE54EE">
      <w:pPr>
        <w:ind w:firstLine="450"/>
        <w:divId w:val="1639383614"/>
        <w:rPr>
          <w:rFonts w:eastAsia="Times New Roman"/>
        </w:rPr>
      </w:pPr>
    </w:p>
    <w:p w:rsidR="00000000" w:rsidRDefault="00AE54EE">
      <w:pPr>
        <w:divId w:val="165749927"/>
        <w:rPr>
          <w:rFonts w:eastAsia="Times New Roman"/>
        </w:rPr>
      </w:pPr>
      <w:r>
        <w:rPr>
          <w:rFonts w:eastAsia="Times New Roman"/>
          <w:b/>
          <w:bCs/>
          <w:color w:val="000000"/>
          <w:sz w:val="20"/>
          <w:szCs w:val="20"/>
        </w:rPr>
        <w:t>INFORMATION ABOUT OUR EXECUTIVE OFFICERS.</w:t>
      </w:r>
    </w:p>
    <w:p w:rsidR="00000000" w:rsidRDefault="00AE54EE">
      <w:pPr>
        <w:ind w:firstLine="450"/>
        <w:divId w:val="1026373603"/>
        <w:rPr>
          <w:rFonts w:eastAsia="Times New Roman"/>
        </w:rPr>
      </w:pPr>
      <w:r>
        <w:rPr>
          <w:rFonts w:eastAsia="Times New Roman"/>
          <w:color w:val="000000"/>
          <w:sz w:val="20"/>
          <w:szCs w:val="20"/>
        </w:rPr>
        <w:t>The name, age, position held with us and principal occupation and employment during at least the past five years for each of our executive officers as of February 24, 2022, were as follows:</w:t>
      </w:r>
    </w:p>
    <w:tbl>
      <w:tblPr>
        <w:tblW w:w="4985" w:type="pct"/>
        <w:tblCellMar>
          <w:top w:w="15" w:type="dxa"/>
          <w:left w:w="15" w:type="dxa"/>
          <w:bottom w:w="15" w:type="dxa"/>
          <w:right w:w="15" w:type="dxa"/>
        </w:tblCellMar>
        <w:tblLook w:val="04A0" w:firstRow="1" w:lastRow="0" w:firstColumn="1" w:lastColumn="0" w:noHBand="0" w:noVBand="1"/>
      </w:tblPr>
      <w:tblGrid>
        <w:gridCol w:w="68"/>
        <w:gridCol w:w="1802"/>
        <w:gridCol w:w="38"/>
        <w:gridCol w:w="69"/>
        <w:gridCol w:w="239"/>
        <w:gridCol w:w="36"/>
        <w:gridCol w:w="69"/>
        <w:gridCol w:w="5922"/>
        <w:gridCol w:w="38"/>
      </w:tblGrid>
      <w:tr w:rsidR="00000000">
        <w:trPr>
          <w:divId w:val="1026373603"/>
        </w:trPr>
        <w:tc>
          <w:tcPr>
            <w:tcW w:w="50" w:type="pct"/>
            <w:vAlign w:val="center"/>
            <w:hideMark/>
          </w:tcPr>
          <w:p w:rsidR="00000000" w:rsidRDefault="00AE54EE">
            <w:pPr>
              <w:ind w:firstLine="450"/>
              <w:rPr>
                <w:rFonts w:eastAsia="Times New Roman"/>
              </w:rPr>
            </w:pPr>
          </w:p>
        </w:tc>
        <w:tc>
          <w:tcPr>
            <w:tcW w:w="109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5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58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026373603"/>
        </w:trPr>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u w:val="single"/>
              </w:rPr>
              <w:t>Name and Age</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u w:val="single"/>
              </w:rPr>
              <w:t>Position Currently Held and Past Bus</w:t>
            </w:r>
            <w:r>
              <w:rPr>
                <w:rFonts w:eastAsia="Times New Roman"/>
                <w:b/>
                <w:bCs/>
                <w:color w:val="000000"/>
                <w:sz w:val="16"/>
                <w:szCs w:val="16"/>
                <w:u w:val="single"/>
              </w:rPr>
              <w:t>iness Experience</w:t>
            </w:r>
          </w:p>
        </w:tc>
      </w:tr>
      <w:tr w:rsidR="00000000">
        <w:trPr>
          <w:divId w:val="102637360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William M. Brown, 59</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Executive Chair since June 29, 2019. Chair and Chief Executive Officer from June 29, 2019 to June 29, 2021. Chair, President and Chief Executive Officer from April 2014 to June 2019. President and Chief Executive Officer from November 2011 to April 2014.</w:t>
            </w:r>
          </w:p>
        </w:tc>
      </w:tr>
      <w:tr w:rsidR="00000000">
        <w:trPr>
          <w:divId w:val="102637360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James P. Girard, 45</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Vice President and Chief Human Resources Officer since June 29, 2019. Vice President, Human Resources from July 2015 to June 2019. Vice President, Human Resources - Government Communications Systems from May 2014 to June 2015.</w:t>
            </w:r>
          </w:p>
        </w:tc>
      </w:tr>
      <w:tr w:rsidR="00000000">
        <w:trPr>
          <w:divId w:val="102637360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Christopher E. Kubasik, 60</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Vice Chair and Chief Executive Officer since June 29, 2021. Vice Chair, President and Chief Operating Officer from June 29, 2019 to June 29, 2021. Served with L3, as Chairman, Chief Executive Officer and President from May 2018 to June 2019; as Chief Execu</w:t>
            </w:r>
            <w:r>
              <w:rPr>
                <w:rFonts w:eastAsia="Times New Roman"/>
                <w:color w:val="000000"/>
                <w:sz w:val="20"/>
                <w:szCs w:val="20"/>
              </w:rPr>
              <w:t xml:space="preserve">tive Officer and President from January 2018 to May 2018; and as President and Chief Operating Officer from October 2015 to December 2017. </w:t>
            </w:r>
          </w:p>
        </w:tc>
      </w:tr>
      <w:tr w:rsidR="00000000">
        <w:trPr>
          <w:divId w:val="102637360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Dana A. Mehnert, 59</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President, Communication Systems since September 2018. Senior Vice President, Chief Gl</w:t>
            </w:r>
            <w:r>
              <w:rPr>
                <w:rFonts w:eastAsia="Times New Roman"/>
                <w:color w:val="000000"/>
                <w:sz w:val="20"/>
                <w:szCs w:val="20"/>
              </w:rPr>
              <w:t xml:space="preserve">obal Business Development Officer from July 2015 to September 2018. </w:t>
            </w:r>
          </w:p>
        </w:tc>
      </w:tr>
      <w:tr w:rsidR="00000000">
        <w:trPr>
          <w:divId w:val="102637360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Scott T. Mikuen, 60</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Senior Vice President, General Counsel and Secretary since February 2013. General Counsel since 2010 and Secretary since 2004.</w:t>
            </w:r>
          </w:p>
        </w:tc>
      </w:tr>
      <w:tr w:rsidR="00000000">
        <w:trPr>
          <w:divId w:val="102637360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Corliss J. Montesi, 57</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Vice President and Principal Accounting Officer since August 2021. Vice President, Internal Audit from June 2020 to August 2021. Before joining L3Harris in June 2020, Ms. Montesi worked at Stanley Black and Decker as Vice Pres</w:t>
            </w:r>
            <w:r>
              <w:rPr>
                <w:rFonts w:eastAsia="Times New Roman"/>
                <w:color w:val="000000"/>
                <w:sz w:val="20"/>
                <w:szCs w:val="20"/>
              </w:rPr>
              <w:t>ident, Functional Transformation – Shared Services from 2018 to 2019; and as Vice President, Corporate Controller from 2014 to 2018.</w:t>
            </w:r>
          </w:p>
        </w:tc>
      </w:tr>
      <w:tr w:rsidR="00000000">
        <w:trPr>
          <w:divId w:val="102637360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Sean J. Stackley, 64</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President, Integrated Mission Systems since June 29, 2019. Served with L3 as Senior Vice Pre</w:t>
            </w:r>
            <w:r>
              <w:rPr>
                <w:rFonts w:eastAsia="Times New Roman"/>
                <w:color w:val="000000"/>
                <w:sz w:val="20"/>
                <w:szCs w:val="20"/>
              </w:rPr>
              <w:t>sident and President of Communications &amp; Networked Systems Segment from September 2018 to June 2019; and as Corporate Vice President, Strategic Advance Programs and Technologies from January 2018 to September 2018. Before joining L3 in January 2018, (Hon.)</w:t>
            </w:r>
            <w:r>
              <w:rPr>
                <w:rFonts w:eastAsia="Times New Roman"/>
                <w:color w:val="000000"/>
                <w:sz w:val="20"/>
                <w:szCs w:val="20"/>
              </w:rPr>
              <w:t xml:space="preserve"> Mr. Stackley spent four decades in public service, including a 27-year career with the U.S. Navy, where he most recently was Acting Secretary of the Navy from January 2017 to July 2017 and Secretary of the Navy for Research, Development and Acquisition fr</w:t>
            </w:r>
            <w:r>
              <w:rPr>
                <w:rFonts w:eastAsia="Times New Roman"/>
                <w:color w:val="000000"/>
                <w:sz w:val="20"/>
                <w:szCs w:val="20"/>
              </w:rPr>
              <w:t>om 2008 to 2017.</w:t>
            </w:r>
          </w:p>
        </w:tc>
      </w:tr>
      <w:tr w:rsidR="00000000">
        <w:trPr>
          <w:divId w:val="102637360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Michelle L. Turner, 48</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Senior Vice President and Chief Financial Officer since January 2022. Before joining L3Harris, Ms. Turner worked at Johnson &amp; Johnson, as Vice President and Chief Financial Officer of Enterprise Supply Chain from October 2017 to January 2022; at BHP Billit</w:t>
            </w:r>
            <w:r>
              <w:rPr>
                <w:rFonts w:eastAsia="Times New Roman"/>
                <w:color w:val="000000"/>
                <w:sz w:val="20"/>
                <w:szCs w:val="20"/>
              </w:rPr>
              <w:t>on Petroleum from April 2016 to September 2017 as Vice President and Chief Financial Officer; and at Raytheon as Vice President and Chief Financial Officer of Space &amp; Airborne Systems from June 2012 to March 2016.</w:t>
            </w:r>
          </w:p>
        </w:tc>
      </w:tr>
      <w:tr w:rsidR="00000000">
        <w:trPr>
          <w:divId w:val="102637360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Edward J. Zoiss, 57</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President, S</w:t>
            </w:r>
            <w:r>
              <w:rPr>
                <w:rFonts w:eastAsia="Times New Roman"/>
                <w:color w:val="000000"/>
                <w:sz w:val="20"/>
                <w:szCs w:val="20"/>
              </w:rPr>
              <w:t xml:space="preserve">pace &amp; Airborne Systems since June 29, 2019. President, Electronic Systems from July 2015 to June 2019. Vice President and General Manager, Defense Programs, Government Communications Systems from June 2013 to July 2015. </w:t>
            </w:r>
          </w:p>
        </w:tc>
      </w:tr>
      <w:tr w:rsidR="00000000">
        <w:trPr>
          <w:divId w:val="1026373603"/>
        </w:trPr>
        <w:tc>
          <w:tcPr>
            <w:tcW w:w="0" w:type="auto"/>
            <w:gridSpan w:val="3"/>
            <w:vAlign w:val="center"/>
            <w:hideMark/>
          </w:tcPr>
          <w:p w:rsidR="00000000" w:rsidRDefault="00AE54EE">
            <w:pPr>
              <w:spacing w:after="100"/>
              <w:rPr>
                <w:rFonts w:eastAsia="Times New Roman"/>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2637360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2637360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2637360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2637360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2637360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2637360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2637360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2637360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firstLine="450"/>
        <w:divId w:val="442770389"/>
        <w:rPr>
          <w:rFonts w:eastAsia="Times New Roman"/>
        </w:rPr>
      </w:pPr>
      <w:r>
        <w:rPr>
          <w:rFonts w:eastAsia="Times New Roman"/>
          <w:color w:val="000000"/>
          <w:sz w:val="20"/>
          <w:szCs w:val="20"/>
        </w:rPr>
        <w:t>There is no family relationship between any of our executive officers or directors. There are no arrangements or understandings between any of our executive officers or directors and any other person pursuant to which any of them was appointed or elected a</w:t>
      </w:r>
      <w:r>
        <w:rPr>
          <w:rFonts w:eastAsia="Times New Roman"/>
          <w:color w:val="000000"/>
          <w:sz w:val="20"/>
          <w:szCs w:val="20"/>
        </w:rPr>
        <w:t>s an officer or director, other than arrangements or understandings with our directors or officers acting solely in their capacities as such. All of our executive officers are elected annually and serve at the pleasure of our Board of Directors.</w:t>
      </w:r>
    </w:p>
    <w:p w:rsidR="00000000" w:rsidRDefault="00AE54EE">
      <w:pPr>
        <w:ind w:firstLine="450"/>
        <w:divId w:val="969170370"/>
        <w:rPr>
          <w:rFonts w:eastAsia="Times New Roman"/>
        </w:rPr>
      </w:pPr>
    </w:p>
    <w:p w:rsidR="00000000" w:rsidRDefault="00AE54EE">
      <w:pPr>
        <w:ind w:firstLine="450"/>
        <w:jc w:val="center"/>
        <w:divId w:val="165557195"/>
        <w:rPr>
          <w:rFonts w:eastAsia="Times New Roman"/>
        </w:rPr>
      </w:pPr>
      <w:r>
        <w:rPr>
          <w:rFonts w:eastAsia="Times New Roman"/>
          <w:color w:val="000000"/>
          <w:sz w:val="20"/>
          <w:szCs w:val="20"/>
        </w:rPr>
        <w:t>28</w:t>
      </w:r>
    </w:p>
    <w:p w:rsidR="00000000" w:rsidRDefault="00AE54EE">
      <w:pPr>
        <w:rPr>
          <w:rFonts w:eastAsia="Times New Roman"/>
        </w:rPr>
      </w:pPr>
      <w:r>
        <w:rPr>
          <w:rFonts w:eastAsia="Times New Roman"/>
        </w:rPr>
        <w:pict>
          <v:rect id="_x0000_i1055" style="width:0;height:1.5pt" o:hralign="center" o:hrstd="t" o:hr="t" fillcolor="#a0a0a0" stroked="f"/>
        </w:pict>
      </w:r>
    </w:p>
    <w:p w:rsidR="00000000" w:rsidRDefault="00AE54EE">
      <w:pPr>
        <w:ind w:firstLine="450"/>
        <w:divId w:val="344479592"/>
        <w:rPr>
          <w:rFonts w:eastAsia="Times New Roman"/>
        </w:rPr>
      </w:pPr>
    </w:p>
    <w:p w:rsidR="00000000" w:rsidRDefault="00AE54EE">
      <w:pPr>
        <w:ind w:firstLine="450"/>
        <w:jc w:val="center"/>
        <w:divId w:val="1896576421"/>
        <w:rPr>
          <w:rFonts w:eastAsia="Times New Roman"/>
        </w:rPr>
      </w:pPr>
      <w:r>
        <w:rPr>
          <w:rFonts w:eastAsia="Times New Roman"/>
          <w:b/>
          <w:bCs/>
          <w:color w:val="000000"/>
        </w:rPr>
        <w:t>PART II</w:t>
      </w:r>
    </w:p>
    <w:p w:rsidR="00000000" w:rsidRDefault="00AE54EE">
      <w:pPr>
        <w:ind w:firstLine="450"/>
        <w:divId w:val="1441877113"/>
        <w:rPr>
          <w:rFonts w:eastAsia="Times New Roman"/>
        </w:rPr>
      </w:pPr>
      <w:r>
        <w:rPr>
          <w:rFonts w:eastAsia="Times New Roman"/>
          <w:color w:val="000000"/>
          <w:sz w:val="18"/>
          <w:szCs w:val="18"/>
        </w:rPr>
        <w:t> </w:t>
      </w:r>
    </w:p>
    <w:tbl>
      <w:tblPr>
        <w:tblW w:w="4899" w:type="pct"/>
        <w:tblCellMar>
          <w:top w:w="15" w:type="dxa"/>
          <w:left w:w="15" w:type="dxa"/>
          <w:bottom w:w="15" w:type="dxa"/>
          <w:right w:w="15" w:type="dxa"/>
        </w:tblCellMar>
        <w:tblLook w:val="04A0" w:firstRow="1" w:lastRow="0" w:firstColumn="1" w:lastColumn="0" w:noHBand="0" w:noVBand="1"/>
      </w:tblPr>
      <w:tblGrid>
        <w:gridCol w:w="70"/>
        <w:gridCol w:w="859"/>
        <w:gridCol w:w="36"/>
        <w:gridCol w:w="67"/>
        <w:gridCol w:w="7070"/>
        <w:gridCol w:w="36"/>
      </w:tblGrid>
      <w:tr w:rsidR="00000000">
        <w:trPr>
          <w:divId w:val="570962946"/>
        </w:trPr>
        <w:tc>
          <w:tcPr>
            <w:tcW w:w="50" w:type="pct"/>
            <w:vAlign w:val="center"/>
            <w:hideMark/>
          </w:tcPr>
          <w:p w:rsidR="00000000" w:rsidRDefault="00AE54EE">
            <w:pPr>
              <w:ind w:firstLine="450"/>
              <w:rPr>
                <w:rFonts w:eastAsia="Times New Roman"/>
              </w:rPr>
            </w:pPr>
          </w:p>
        </w:tc>
        <w:tc>
          <w:tcPr>
            <w:tcW w:w="53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5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570962946"/>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5.</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MARKET FOR REGISTRANT’</w:t>
            </w:r>
            <w:r>
              <w:rPr>
                <w:rFonts w:eastAsia="Times New Roman"/>
                <w:b/>
                <w:bCs/>
                <w:color w:val="000000"/>
                <w:sz w:val="20"/>
                <w:szCs w:val="20"/>
              </w:rPr>
              <w:t>S COMMON EQUITY, RELATED STOCKHOLDER MATTERS AND ISSUER PURCHASES OF EQUITY SECURITIES.</w:t>
            </w:r>
          </w:p>
        </w:tc>
      </w:tr>
    </w:tbl>
    <w:p w:rsidR="00000000" w:rsidRDefault="00AE54EE">
      <w:pPr>
        <w:divId w:val="947548539"/>
        <w:rPr>
          <w:rFonts w:eastAsia="Times New Roman"/>
        </w:rPr>
      </w:pPr>
      <w:r>
        <w:rPr>
          <w:rFonts w:eastAsia="Times New Roman"/>
          <w:b/>
          <w:bCs/>
          <w:color w:val="000000"/>
          <w:sz w:val="20"/>
          <w:szCs w:val="20"/>
        </w:rPr>
        <w:t xml:space="preserve">Market Information </w:t>
      </w:r>
    </w:p>
    <w:p w:rsidR="00000000" w:rsidRDefault="00AE54EE">
      <w:pPr>
        <w:ind w:firstLine="450"/>
        <w:divId w:val="427309602"/>
        <w:rPr>
          <w:rFonts w:eastAsia="Times New Roman"/>
        </w:rPr>
      </w:pPr>
      <w:r>
        <w:rPr>
          <w:rFonts w:eastAsia="Times New Roman"/>
          <w:color w:val="000000"/>
          <w:sz w:val="20"/>
          <w:szCs w:val="20"/>
        </w:rPr>
        <w:t xml:space="preserve">Our common stock, par value $1.00 per share, is listed and traded on the NYSE, under the ticker symbol “LHX.” According to the records of our transfer agent, as of February 18, 2022, there were 10,460 holders of record of our common stock. </w:t>
      </w:r>
    </w:p>
    <w:p w:rsidR="00000000" w:rsidRDefault="00AE54EE">
      <w:pPr>
        <w:divId w:val="1334575140"/>
        <w:rPr>
          <w:rFonts w:eastAsia="Times New Roman"/>
        </w:rPr>
      </w:pPr>
      <w:r>
        <w:rPr>
          <w:rFonts w:eastAsia="Times New Roman"/>
          <w:b/>
          <w:bCs/>
          <w:color w:val="000000"/>
          <w:sz w:val="20"/>
          <w:szCs w:val="20"/>
        </w:rPr>
        <w:t>Dividends</w:t>
      </w:r>
    </w:p>
    <w:p w:rsidR="00000000" w:rsidRDefault="00AE54EE">
      <w:pPr>
        <w:ind w:firstLine="450"/>
        <w:divId w:val="1726878402"/>
        <w:rPr>
          <w:rFonts w:eastAsia="Times New Roman"/>
        </w:rPr>
      </w:pPr>
      <w:r>
        <w:rPr>
          <w:rFonts w:eastAsia="Times New Roman"/>
          <w:color w:val="000000"/>
          <w:sz w:val="20"/>
          <w:szCs w:val="20"/>
        </w:rPr>
        <w:t>We pa</w:t>
      </w:r>
      <w:r>
        <w:rPr>
          <w:rFonts w:eastAsia="Times New Roman"/>
          <w:color w:val="000000"/>
          <w:sz w:val="20"/>
          <w:szCs w:val="20"/>
        </w:rPr>
        <w:t>id per share cash dividends on our common stock of $1.02 each quarterly period of fiscal 2021, $.85 each quarterly period of fiscal 2020, $.75 each quarterly period of the two quarters ended January 3, 2020 and $.685 each quarterly period of fiscal 2019. O</w:t>
      </w:r>
      <w:r>
        <w:rPr>
          <w:rFonts w:eastAsia="Times New Roman"/>
          <w:color w:val="000000"/>
          <w:sz w:val="20"/>
          <w:szCs w:val="20"/>
        </w:rPr>
        <w:t>n February 25, 2022, we announced that our Board of Directors increased the quarterly per share cash dividend rate on our common stock from $1.02 to $1.12,</w:t>
      </w:r>
      <w:r>
        <w:rPr>
          <w:rFonts w:eastAsia="Times New Roman"/>
          <w:color w:val="FF0000"/>
          <w:sz w:val="20"/>
          <w:szCs w:val="20"/>
        </w:rPr>
        <w:t xml:space="preserve"> </w:t>
      </w:r>
      <w:r>
        <w:rPr>
          <w:rFonts w:eastAsia="Times New Roman"/>
          <w:color w:val="000000"/>
          <w:sz w:val="20"/>
          <w:szCs w:val="20"/>
        </w:rPr>
        <w:t>commencing with the dividend declared by our Board of Directors for the first quarter of fiscal 2022</w:t>
      </w:r>
      <w:r>
        <w:rPr>
          <w:rFonts w:eastAsia="Times New Roman"/>
          <w:color w:val="000000"/>
          <w:sz w:val="20"/>
          <w:szCs w:val="20"/>
        </w:rPr>
        <w:t>, for an annualized per share cash dividend rate</w:t>
      </w:r>
      <w:r>
        <w:rPr>
          <w:rFonts w:eastAsia="Times New Roman"/>
          <w:color w:val="FF0000"/>
          <w:sz w:val="20"/>
          <w:szCs w:val="20"/>
        </w:rPr>
        <w:t xml:space="preserve"> </w:t>
      </w:r>
      <w:r>
        <w:rPr>
          <w:rFonts w:eastAsia="Times New Roman"/>
          <w:color w:val="000000"/>
          <w:sz w:val="20"/>
          <w:szCs w:val="20"/>
        </w:rPr>
        <w:t xml:space="preserve">of $4.48, which was our twenty-first consecutive annual increase in our quarterly cash dividend rate. Our annualized per share cash dividend rate was $4.08 in fiscal 2021, $3.40 in fiscal 2020, $3.00 in the </w:t>
      </w:r>
      <w:r>
        <w:rPr>
          <w:rFonts w:eastAsia="Times New Roman"/>
          <w:color w:val="000000"/>
          <w:sz w:val="20"/>
          <w:szCs w:val="20"/>
        </w:rPr>
        <w:t>two quarters ended January 3, 2020 and $2.74 in fiscal 2019. Quarterly cash dividends are typically paid in March, June, September and December. We currently expect that cash dividends will continue to be paid in the near future, but we can give no assuran</w:t>
      </w:r>
      <w:r>
        <w:rPr>
          <w:rFonts w:eastAsia="Times New Roman"/>
          <w:color w:val="000000"/>
          <w:sz w:val="20"/>
          <w:szCs w:val="20"/>
        </w:rPr>
        <w:t>ces concerning payment of future dividends or future dividend increases</w:t>
      </w:r>
      <w:r>
        <w:rPr>
          <w:rFonts w:eastAsia="Times New Roman"/>
          <w:color w:val="FF0000"/>
          <w:sz w:val="20"/>
          <w:szCs w:val="20"/>
        </w:rPr>
        <w:t xml:space="preserve">. </w:t>
      </w:r>
      <w:r>
        <w:rPr>
          <w:rFonts w:eastAsia="Times New Roman"/>
          <w:color w:val="000000"/>
          <w:sz w:val="20"/>
          <w:szCs w:val="20"/>
        </w:rPr>
        <w:t>The declaration of dividends and the amount thereof will depend on a number of factors, including our financial condition, capital requirements, cash flows, results of operations, fut</w:t>
      </w:r>
      <w:r>
        <w:rPr>
          <w:rFonts w:eastAsia="Times New Roman"/>
          <w:color w:val="000000"/>
          <w:sz w:val="20"/>
          <w:szCs w:val="20"/>
        </w:rPr>
        <w:t xml:space="preserve">ure business prospects and other factors our Board of Directors may deem relevant. </w:t>
      </w:r>
    </w:p>
    <w:p w:rsidR="00000000" w:rsidRDefault="00AE54EE">
      <w:pPr>
        <w:divId w:val="634406408"/>
        <w:rPr>
          <w:rFonts w:eastAsia="Times New Roman"/>
        </w:rPr>
      </w:pPr>
      <w:r>
        <w:rPr>
          <w:rFonts w:eastAsia="Times New Roman"/>
          <w:b/>
          <w:bCs/>
          <w:color w:val="000000"/>
          <w:sz w:val="20"/>
          <w:szCs w:val="20"/>
        </w:rPr>
        <w:t>L3Harris Stock Performance Graph</w:t>
      </w:r>
    </w:p>
    <w:p w:rsidR="00000000" w:rsidRDefault="00AE54EE">
      <w:pPr>
        <w:ind w:firstLine="450"/>
        <w:divId w:val="1313412831"/>
        <w:rPr>
          <w:rFonts w:eastAsia="Times New Roman"/>
        </w:rPr>
      </w:pPr>
      <w:r>
        <w:rPr>
          <w:rFonts w:eastAsia="Times New Roman"/>
          <w:i/>
          <w:iCs/>
          <w:color w:val="000000"/>
          <w:sz w:val="20"/>
          <w:szCs w:val="20"/>
        </w:rPr>
        <w:t>The following performance graph and table do not constitute soliciting material and the performance graph and table should not be deemed fi</w:t>
      </w:r>
      <w:r>
        <w:rPr>
          <w:rFonts w:eastAsia="Times New Roman"/>
          <w:i/>
          <w:iCs/>
          <w:color w:val="000000"/>
          <w:sz w:val="20"/>
          <w:szCs w:val="20"/>
        </w:rPr>
        <w:t>led or incorporated by reference into any other previous or future filings by us under the Securities Act or the Exchange Act, except to the extent that we specifically incorporate the performance graph and table by reference therein.</w:t>
      </w:r>
    </w:p>
    <w:p w:rsidR="00000000" w:rsidRDefault="00AE54EE">
      <w:pPr>
        <w:ind w:firstLine="450"/>
        <w:divId w:val="2035232581"/>
        <w:rPr>
          <w:rFonts w:eastAsia="Times New Roman"/>
        </w:rPr>
      </w:pPr>
      <w:r>
        <w:rPr>
          <w:rFonts w:eastAsia="Times New Roman"/>
          <w:color w:val="000000"/>
          <w:sz w:val="20"/>
          <w:szCs w:val="20"/>
        </w:rPr>
        <w:t>The performance graph</w:t>
      </w:r>
      <w:r>
        <w:rPr>
          <w:rFonts w:eastAsia="Times New Roman"/>
          <w:color w:val="000000"/>
          <w:sz w:val="20"/>
          <w:szCs w:val="20"/>
        </w:rPr>
        <w:t xml:space="preserve"> and table below compare the 3-year fiscal period ended June 28, 2019, the Fiscal Transition Period, fiscal 2020 and fiscal 2021 cumulative total shareholder return of our common stock (the common stock of Harris Corporation prior to the L3Harris Merger an</w:t>
      </w:r>
      <w:r>
        <w:rPr>
          <w:rFonts w:eastAsia="Times New Roman"/>
          <w:color w:val="000000"/>
          <w:sz w:val="20"/>
          <w:szCs w:val="20"/>
        </w:rPr>
        <w:t>d the common stock of L3Harris Technologies, Inc. after the L3Harris Merger) with the comparable cumulative total returns of the Standard &amp; Poor’s 500 Composite Stock Index (“S&amp;P 500”) and the Standard &amp; Poor’s 500 Aerospace &amp; Defense Index (“S&amp;P 500 Aeros</w:t>
      </w:r>
      <w:r>
        <w:rPr>
          <w:rFonts w:eastAsia="Times New Roman"/>
          <w:color w:val="000000"/>
          <w:sz w:val="20"/>
          <w:szCs w:val="20"/>
        </w:rPr>
        <w:t>pace &amp; Defense”). The figures in the performance graph and table below assume an initial investment of $100 at the close of business on July 1, 2016 in L3Harris common stock, the S&amp;P 500 and the S&amp;P 500 Aerospace &amp; Defense and the reinvestment of all divid</w:t>
      </w:r>
      <w:r>
        <w:rPr>
          <w:rFonts w:eastAsia="Times New Roman"/>
          <w:color w:val="000000"/>
          <w:sz w:val="20"/>
          <w:szCs w:val="20"/>
        </w:rPr>
        <w:t>ends.</w:t>
      </w:r>
    </w:p>
    <w:p w:rsidR="00000000" w:rsidRDefault="00AE54EE">
      <w:pPr>
        <w:ind w:firstLine="450"/>
        <w:jc w:val="center"/>
        <w:divId w:val="2001738566"/>
        <w:rPr>
          <w:rFonts w:eastAsia="Times New Roman"/>
        </w:rPr>
      </w:pPr>
      <w:r>
        <w:rPr>
          <w:rFonts w:eastAsia="Times New Roman"/>
          <w:color w:val="000000"/>
          <w:sz w:val="20"/>
          <w:szCs w:val="20"/>
        </w:rPr>
        <w:t>29</w:t>
      </w:r>
    </w:p>
    <w:p w:rsidR="00000000" w:rsidRDefault="00AE54EE">
      <w:pPr>
        <w:rPr>
          <w:rFonts w:eastAsia="Times New Roman"/>
        </w:rPr>
      </w:pPr>
      <w:r>
        <w:rPr>
          <w:rFonts w:eastAsia="Times New Roman"/>
        </w:rPr>
        <w:pict>
          <v:rect id="_x0000_i1056" style="width:0;height:1.5pt" o:hralign="center" o:hrstd="t" o:hr="t" fillcolor="#a0a0a0" stroked="f"/>
        </w:pict>
      </w:r>
    </w:p>
    <w:p w:rsidR="00000000" w:rsidRDefault="00AE54EE">
      <w:pPr>
        <w:ind w:firstLine="450"/>
        <w:divId w:val="424960300"/>
        <w:rPr>
          <w:rFonts w:eastAsia="Times New Roman"/>
        </w:rPr>
      </w:pPr>
    </w:p>
    <w:p w:rsidR="00000000" w:rsidRDefault="00AE54EE">
      <w:pPr>
        <w:ind w:firstLine="450"/>
        <w:jc w:val="center"/>
        <w:divId w:val="1044522255"/>
        <w:rPr>
          <w:rFonts w:eastAsia="Times New Roman"/>
        </w:rPr>
      </w:pPr>
      <w:r>
        <w:rPr>
          <w:rFonts w:ascii="Arial" w:eastAsia="Times New Roman" w:hAnsi="Arial" w:cs="Arial"/>
          <w:b/>
          <w:bCs/>
          <w:color w:val="000000"/>
          <w:sz w:val="20"/>
          <w:szCs w:val="20"/>
        </w:rPr>
        <w:t>COMPARISON OF THREE FISCAL-YEAR PERIOD ENDED JUNE 28, 2019 (PRIOR TO L3HARRIS MERGER), FISCAL TRANSITION PERIOD, FISCAL 2020 AND FISCAL 2021 (AFTER L3HARRIS MERGER) CUMULATIVE TOTAL RETURN AMONG L3HARRIS, S&amp;P</w:t>
      </w:r>
      <w:r>
        <w:rPr>
          <w:rFonts w:ascii="Arial" w:eastAsia="Times New Roman" w:hAnsi="Arial" w:cs="Arial"/>
          <w:b/>
          <w:bCs/>
          <w:color w:val="000000"/>
          <w:sz w:val="20"/>
          <w:szCs w:val="20"/>
        </w:rPr>
        <w:t xml:space="preserve"> 500 AND S&amp;P 500 AEROSPACE &amp; DEFENSE</w:t>
      </w:r>
    </w:p>
    <w:p w:rsidR="00000000" w:rsidRDefault="00AE54EE">
      <w:pPr>
        <w:jc w:val="center"/>
        <w:divId w:val="1356267558"/>
        <w:rPr>
          <w:rFonts w:eastAsia="Times New Roman"/>
        </w:rPr>
      </w:pPr>
    </w:p>
    <w:p w:rsidR="00000000" w:rsidRDefault="00AE54EE">
      <w:pPr>
        <w:spacing w:before="100" w:after="100"/>
        <w:ind w:firstLine="450"/>
        <w:jc w:val="center"/>
        <w:divId w:val="1207568343"/>
        <w:rPr>
          <w:rFonts w:eastAsia="Times New Roman"/>
        </w:rPr>
      </w:pPr>
      <w:r>
        <w:rPr>
          <w:rFonts w:eastAsia="Times New Roman"/>
          <w:noProof/>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38"/>
        <w:gridCol w:w="2700"/>
        <w:gridCol w:w="37"/>
        <w:gridCol w:w="120"/>
        <w:gridCol w:w="557"/>
        <w:gridCol w:w="36"/>
        <w:gridCol w:w="120"/>
        <w:gridCol w:w="557"/>
        <w:gridCol w:w="36"/>
        <w:gridCol w:w="120"/>
        <w:gridCol w:w="557"/>
        <w:gridCol w:w="36"/>
        <w:gridCol w:w="120"/>
        <w:gridCol w:w="558"/>
        <w:gridCol w:w="36"/>
        <w:gridCol w:w="121"/>
        <w:gridCol w:w="668"/>
        <w:gridCol w:w="36"/>
        <w:gridCol w:w="121"/>
        <w:gridCol w:w="668"/>
        <w:gridCol w:w="36"/>
        <w:gridCol w:w="121"/>
        <w:gridCol w:w="871"/>
        <w:gridCol w:w="36"/>
      </w:tblGrid>
      <w:tr w:rsidR="00000000">
        <w:trPr>
          <w:divId w:val="876702813"/>
        </w:trPr>
        <w:tc>
          <w:tcPr>
            <w:tcW w:w="50" w:type="pct"/>
            <w:vAlign w:val="center"/>
            <w:hideMark/>
          </w:tcPr>
          <w:p w:rsidR="00000000" w:rsidRDefault="00AE54EE">
            <w:pPr>
              <w:ind w:firstLine="450"/>
              <w:jc w:val="center"/>
              <w:rPr>
                <w:rFonts w:eastAsia="Times New Roman"/>
              </w:rPr>
            </w:pPr>
          </w:p>
        </w:tc>
        <w:tc>
          <w:tcPr>
            <w:tcW w:w="166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876702813"/>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L3HARRIS PERIOD END</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20"/>
                <w:szCs w:val="20"/>
              </w:rPr>
              <w:t>July 1,</w:t>
            </w:r>
            <w:r>
              <w:rPr>
                <w:rFonts w:eastAsia="Times New Roman"/>
                <w:b/>
                <w:bCs/>
                <w:color w:val="000000"/>
                <w:sz w:val="20"/>
                <w:szCs w:val="20"/>
              </w:rPr>
              <w:br/>
              <w:t>2016</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20"/>
                <w:szCs w:val="20"/>
              </w:rPr>
              <w:t>June 30,</w:t>
            </w:r>
            <w:r>
              <w:rPr>
                <w:rFonts w:eastAsia="Times New Roman"/>
                <w:b/>
                <w:bCs/>
                <w:color w:val="000000"/>
                <w:sz w:val="20"/>
                <w:szCs w:val="20"/>
              </w:rPr>
              <w:br/>
              <w:t>2017</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2018</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20"/>
                <w:szCs w:val="20"/>
              </w:rPr>
              <w:t>June 28,</w:t>
            </w:r>
            <w:r>
              <w:rPr>
                <w:rFonts w:eastAsia="Times New Roman"/>
                <w:b/>
                <w:bCs/>
                <w:color w:val="000000"/>
                <w:sz w:val="20"/>
                <w:szCs w:val="20"/>
              </w:rPr>
              <w:br/>
              <w:t>2019</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20"/>
                <w:szCs w:val="20"/>
              </w:rPr>
              <w:t>January 3,</w:t>
            </w:r>
            <w:r>
              <w:rPr>
                <w:rFonts w:eastAsia="Times New Roman"/>
                <w:b/>
                <w:bCs/>
                <w:color w:val="000000"/>
                <w:sz w:val="20"/>
                <w:szCs w:val="20"/>
              </w:rPr>
              <w:br/>
              <w:t>2020</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20"/>
                <w:szCs w:val="20"/>
              </w:rPr>
              <w:t>January 1,</w:t>
            </w:r>
            <w:r>
              <w:rPr>
                <w:rFonts w:eastAsia="Times New Roman"/>
                <w:b/>
                <w:bCs/>
                <w:color w:val="000000"/>
                <w:sz w:val="20"/>
                <w:szCs w:val="20"/>
              </w:rPr>
              <w:br/>
              <w:t>2021</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2021</w:t>
            </w:r>
          </w:p>
        </w:tc>
      </w:tr>
      <w:tr w:rsidR="00000000">
        <w:trPr>
          <w:divId w:val="876702813"/>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L3Harris Technologies, Inc.</w:t>
            </w: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135 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181 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242 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271 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248 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285 </w:t>
            </w:r>
          </w:p>
        </w:tc>
        <w:tc>
          <w:tcPr>
            <w:tcW w:w="0" w:type="auto"/>
            <w:tcBorders>
              <w:top w:val="single" w:sz="8" w:space="0" w:color="000000"/>
              <w:right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6702813"/>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S&amp;P 500</w:t>
            </w: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118 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135 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149 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165 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195 </w:t>
            </w:r>
          </w:p>
        </w:tc>
        <w:tc>
          <w:tcPr>
            <w:tcW w:w="0" w:type="auto"/>
            <w:tcBorders>
              <w:top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251 </w:t>
            </w:r>
          </w:p>
        </w:tc>
        <w:tc>
          <w:tcPr>
            <w:tcW w:w="0" w:type="auto"/>
            <w:tcBorders>
              <w:top w:val="single" w:sz="8" w:space="0" w:color="000000"/>
              <w:right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670281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S&amp;P 500 Aerospace &amp; Defense</w:t>
            </w: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161 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178 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195 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158 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178 </w:t>
            </w:r>
          </w:p>
        </w:tc>
        <w:tc>
          <w:tcPr>
            <w:tcW w:w="0" w:type="auto"/>
            <w:tcBorders>
              <w:top w:val="single" w:sz="8" w:space="0" w:color="000000"/>
              <w:bottom w:val="single" w:sz="8" w:space="0" w:color="000000"/>
              <w:right w:val="single" w:sz="8" w:space="0" w:color="000000"/>
            </w:tcBorders>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6702813"/>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7670281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7670281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7670281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7670281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7670281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divId w:val="1534927130"/>
        <w:rPr>
          <w:rFonts w:eastAsia="Times New Roman"/>
        </w:rPr>
      </w:pPr>
      <w:r>
        <w:rPr>
          <w:rFonts w:eastAsia="Times New Roman"/>
          <w:b/>
          <w:bCs/>
          <w:color w:val="000000"/>
          <w:sz w:val="20"/>
          <w:szCs w:val="20"/>
        </w:rPr>
        <w:t>Recent Sales of Unregistered Securities</w:t>
      </w:r>
    </w:p>
    <w:p w:rsidR="00000000" w:rsidRDefault="00AE54EE">
      <w:pPr>
        <w:ind w:firstLine="450"/>
        <w:divId w:val="98256596"/>
        <w:rPr>
          <w:rFonts w:eastAsia="Times New Roman"/>
        </w:rPr>
      </w:pPr>
      <w:r>
        <w:rPr>
          <w:rFonts w:eastAsia="Times New Roman"/>
          <w:color w:val="000000"/>
          <w:sz w:val="20"/>
          <w:szCs w:val="20"/>
        </w:rPr>
        <w:t>During fiscal 2021, we did not issue or sell any unregistered securities.</w:t>
      </w:r>
    </w:p>
    <w:p w:rsidR="00000000" w:rsidRDefault="00AE54EE">
      <w:pPr>
        <w:ind w:firstLine="450"/>
        <w:divId w:val="1112242771"/>
        <w:rPr>
          <w:rFonts w:eastAsia="Times New Roman"/>
        </w:rPr>
      </w:pPr>
    </w:p>
    <w:p w:rsidR="00000000" w:rsidRDefault="00AE54EE">
      <w:pPr>
        <w:jc w:val="center"/>
        <w:divId w:val="2102145112"/>
        <w:rPr>
          <w:rFonts w:eastAsia="Times New Roman"/>
        </w:rPr>
      </w:pPr>
    </w:p>
    <w:p w:rsidR="00000000" w:rsidRDefault="00AE54EE">
      <w:pPr>
        <w:ind w:firstLine="450"/>
        <w:jc w:val="center"/>
        <w:divId w:val="1112942056"/>
        <w:rPr>
          <w:rFonts w:eastAsia="Times New Roman"/>
        </w:rPr>
      </w:pPr>
      <w:r>
        <w:rPr>
          <w:rFonts w:eastAsia="Times New Roman"/>
          <w:color w:val="000000"/>
          <w:sz w:val="20"/>
          <w:szCs w:val="20"/>
        </w:rPr>
        <w:t>30</w:t>
      </w:r>
    </w:p>
    <w:p w:rsidR="00000000" w:rsidRDefault="00AE54EE">
      <w:pPr>
        <w:rPr>
          <w:rFonts w:eastAsia="Times New Roman"/>
        </w:rPr>
      </w:pPr>
      <w:r>
        <w:rPr>
          <w:rFonts w:eastAsia="Times New Roman"/>
        </w:rPr>
        <w:pict>
          <v:rect id="_x0000_i1058" style="width:0;height:1.5pt" o:hralign="center" o:hrstd="t" o:hr="t" fillcolor="#a0a0a0" stroked="f"/>
        </w:pict>
      </w:r>
    </w:p>
    <w:p w:rsidR="00000000" w:rsidRDefault="00AE54EE">
      <w:pPr>
        <w:ind w:firstLine="450"/>
        <w:divId w:val="256331439"/>
        <w:rPr>
          <w:rFonts w:eastAsia="Times New Roman"/>
        </w:rPr>
      </w:pPr>
    </w:p>
    <w:p w:rsidR="00000000" w:rsidRDefault="00AE54EE">
      <w:pPr>
        <w:divId w:val="1399088455"/>
        <w:rPr>
          <w:rFonts w:eastAsia="Times New Roman"/>
        </w:rPr>
      </w:pPr>
      <w:r>
        <w:rPr>
          <w:rFonts w:eastAsia="Times New Roman"/>
          <w:b/>
          <w:bCs/>
          <w:color w:val="000000"/>
          <w:sz w:val="20"/>
          <w:szCs w:val="20"/>
        </w:rPr>
        <w:t>Issuer Purchases of Equity Securities</w:t>
      </w:r>
    </w:p>
    <w:p w:rsidR="00000000" w:rsidRDefault="00AE54EE">
      <w:pPr>
        <w:ind w:firstLine="450"/>
        <w:divId w:val="219875707"/>
        <w:rPr>
          <w:rFonts w:eastAsia="Times New Roman"/>
        </w:rPr>
      </w:pPr>
      <w:r>
        <w:rPr>
          <w:rFonts w:eastAsia="Times New Roman"/>
          <w:color w:val="000000"/>
          <w:sz w:val="20"/>
          <w:szCs w:val="20"/>
        </w:rPr>
        <w:t>On January 28, 2021, we announced that our Board of Directors approved a $6.0 billion share repurc</w:t>
      </w:r>
      <w:r>
        <w:rPr>
          <w:rFonts w:eastAsia="Times New Roman"/>
          <w:color w:val="000000"/>
          <w:sz w:val="20"/>
          <w:szCs w:val="20"/>
        </w:rPr>
        <w:t xml:space="preserve">hase authorization under our repurchase program that was in addition to the remaining unused authorization of $210 million remaining as of January 1, 2021, for a total unused authorization of $6.2 billion. </w:t>
      </w:r>
    </w:p>
    <w:p w:rsidR="00000000" w:rsidRDefault="00AE54EE">
      <w:pPr>
        <w:ind w:firstLine="450"/>
        <w:divId w:val="640379939"/>
        <w:rPr>
          <w:rFonts w:eastAsia="Times New Roman"/>
        </w:rPr>
      </w:pPr>
      <w:r>
        <w:rPr>
          <w:rFonts w:eastAsia="Times New Roman"/>
          <w:color w:val="000000"/>
          <w:sz w:val="20"/>
          <w:szCs w:val="20"/>
        </w:rPr>
        <w:t>During fiscal 2021, we repurchased 17.1 million s</w:t>
      </w:r>
      <w:r>
        <w:rPr>
          <w:rFonts w:eastAsia="Times New Roman"/>
          <w:color w:val="000000"/>
          <w:sz w:val="20"/>
          <w:szCs w:val="20"/>
        </w:rPr>
        <w:t>hares of our common stock under our share repurchase program for $3.7 billion at an average share price of $215.28, excluding commissions of $0.02 per share. During fiscal 2020, we repurchased 12.0 million shares of our common stock under our share repurch</w:t>
      </w:r>
      <w:r>
        <w:rPr>
          <w:rFonts w:eastAsia="Times New Roman"/>
          <w:color w:val="000000"/>
          <w:sz w:val="20"/>
          <w:szCs w:val="20"/>
        </w:rPr>
        <w:t>ase program for $2.3 billion at an average share price of $191.40, excluding commissions of $0.02 per share. The level and timing of our repurchases depends on a number of factors, including our financial condition, capital requirements, cash flows, result</w:t>
      </w:r>
      <w:r>
        <w:rPr>
          <w:rFonts w:eastAsia="Times New Roman"/>
          <w:color w:val="000000"/>
          <w:sz w:val="20"/>
          <w:szCs w:val="20"/>
        </w:rPr>
        <w:t xml:space="preserve">s of operations, future business prospects and other factors our Board of Directors and management may deem relevant. We have announced that we currently expect to repurchase up to $1.5 billion in shares under our repurchase program in fiscal 2022, but we </w:t>
      </w:r>
      <w:r>
        <w:rPr>
          <w:rFonts w:eastAsia="Times New Roman"/>
          <w:color w:val="000000"/>
          <w:sz w:val="20"/>
          <w:szCs w:val="20"/>
        </w:rPr>
        <w:t>can give no assurances regarding the level and timing of share repurchases. The timing, volume and nature of repurchases are subject to market conditions, applicable securities laws and other factors and are at our discretion and may be suspended or discon</w:t>
      </w:r>
      <w:r>
        <w:rPr>
          <w:rFonts w:eastAsia="Times New Roman"/>
          <w:color w:val="000000"/>
          <w:sz w:val="20"/>
          <w:szCs w:val="20"/>
        </w:rPr>
        <w:t>tinued at any time. Shares repurchased by us are cancelled and retired. The following table sets forth information with respect to repurchases by us of our common stock during the fiscal quarter ended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2783"/>
        <w:gridCol w:w="38"/>
        <w:gridCol w:w="86"/>
        <w:gridCol w:w="1133"/>
        <w:gridCol w:w="36"/>
        <w:gridCol w:w="36"/>
        <w:gridCol w:w="36"/>
        <w:gridCol w:w="36"/>
        <w:gridCol w:w="121"/>
        <w:gridCol w:w="948"/>
        <w:gridCol w:w="36"/>
        <w:gridCol w:w="36"/>
        <w:gridCol w:w="36"/>
        <w:gridCol w:w="36"/>
        <w:gridCol w:w="99"/>
        <w:gridCol w:w="1302"/>
        <w:gridCol w:w="36"/>
        <w:gridCol w:w="36"/>
        <w:gridCol w:w="36"/>
        <w:gridCol w:w="36"/>
        <w:gridCol w:w="91"/>
        <w:gridCol w:w="1198"/>
        <w:gridCol w:w="36"/>
      </w:tblGrid>
      <w:tr w:rsidR="00000000">
        <w:trPr>
          <w:divId w:val="640379939"/>
        </w:trPr>
        <w:tc>
          <w:tcPr>
            <w:tcW w:w="50" w:type="pct"/>
            <w:vAlign w:val="center"/>
            <w:hideMark/>
          </w:tcPr>
          <w:p w:rsidR="00000000" w:rsidRDefault="00AE54EE">
            <w:pPr>
              <w:ind w:firstLine="450"/>
              <w:rPr>
                <w:rFonts w:eastAsia="Times New Roman"/>
              </w:rPr>
            </w:pPr>
          </w:p>
        </w:tc>
        <w:tc>
          <w:tcPr>
            <w:tcW w:w="19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640379939"/>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 number of</w:t>
            </w:r>
          </w:p>
          <w:p w:rsidR="00000000" w:rsidRDefault="00AE54EE">
            <w:pPr>
              <w:spacing w:after="100"/>
              <w:jc w:val="center"/>
              <w:rPr>
                <w:rFonts w:eastAsia="Times New Roman"/>
              </w:rPr>
            </w:pPr>
            <w:r>
              <w:rPr>
                <w:rFonts w:eastAsia="Times New Roman"/>
                <w:b/>
                <w:bCs/>
                <w:color w:val="000000"/>
                <w:sz w:val="16"/>
                <w:szCs w:val="16"/>
              </w:rPr>
              <w:t>shares purchased as part of publicly</w:t>
            </w:r>
          </w:p>
          <w:p w:rsidR="00000000" w:rsidRDefault="00AE54EE">
            <w:pPr>
              <w:spacing w:after="100"/>
              <w:jc w:val="center"/>
              <w:rPr>
                <w:rFonts w:eastAsia="Times New Roman"/>
              </w:rPr>
            </w:pPr>
            <w:r>
              <w:rPr>
                <w:rFonts w:eastAsia="Times New Roman"/>
                <w:b/>
                <w:bCs/>
                <w:color w:val="000000"/>
                <w:sz w:val="16"/>
                <w:szCs w:val="16"/>
              </w:rPr>
              <w:t>announced plans or program</w:t>
            </w:r>
            <w:r>
              <w:rPr>
                <w:rFonts w:eastAsia="Times New Roman"/>
                <w:b/>
                <w:bCs/>
                <w:color w:val="000000"/>
                <w:sz w:val="16"/>
                <w:szCs w:val="16"/>
              </w:rPr>
              <w:t>s</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Maximum</w:t>
            </w:r>
          </w:p>
          <w:p w:rsidR="00000000" w:rsidRDefault="00AE54EE">
            <w:pPr>
              <w:spacing w:after="100"/>
              <w:jc w:val="center"/>
              <w:rPr>
                <w:rFonts w:eastAsia="Times New Roman"/>
              </w:rPr>
            </w:pPr>
            <w:r>
              <w:rPr>
                <w:rFonts w:eastAsia="Times New Roman"/>
                <w:b/>
                <w:bCs/>
                <w:color w:val="000000"/>
                <w:sz w:val="16"/>
                <w:szCs w:val="16"/>
              </w:rPr>
              <w:t>approximate</w:t>
            </w:r>
          </w:p>
          <w:p w:rsidR="00000000" w:rsidRDefault="00AE54EE">
            <w:pPr>
              <w:spacing w:after="100"/>
              <w:jc w:val="center"/>
              <w:rPr>
                <w:rFonts w:eastAsia="Times New Roman"/>
              </w:rPr>
            </w:pPr>
            <w:r>
              <w:rPr>
                <w:rFonts w:eastAsia="Times New Roman"/>
                <w:b/>
                <w:bCs/>
                <w:color w:val="000000"/>
                <w:sz w:val="16"/>
                <w:szCs w:val="16"/>
              </w:rPr>
              <w:t>dollar value</w:t>
            </w:r>
          </w:p>
          <w:p w:rsidR="00000000" w:rsidRDefault="00AE54EE">
            <w:pPr>
              <w:spacing w:after="100"/>
              <w:jc w:val="center"/>
              <w:rPr>
                <w:rFonts w:eastAsia="Times New Roman"/>
              </w:rPr>
            </w:pPr>
            <w:r>
              <w:rPr>
                <w:rFonts w:eastAsia="Times New Roman"/>
                <w:b/>
                <w:bCs/>
                <w:color w:val="000000"/>
                <w:sz w:val="16"/>
                <w:szCs w:val="16"/>
              </w:rPr>
              <w:t>of shares that may</w:t>
            </w:r>
          </w:p>
          <w:p w:rsidR="00000000" w:rsidRDefault="00AE54EE">
            <w:pPr>
              <w:spacing w:after="100"/>
              <w:jc w:val="center"/>
              <w:rPr>
                <w:rFonts w:eastAsia="Times New Roman"/>
              </w:rPr>
            </w:pPr>
            <w:r>
              <w:rPr>
                <w:rFonts w:eastAsia="Times New Roman"/>
                <w:b/>
                <w:bCs/>
                <w:color w:val="000000"/>
                <w:sz w:val="16"/>
                <w:szCs w:val="16"/>
              </w:rPr>
              <w:t>yet be purchased</w:t>
            </w:r>
          </w:p>
          <w:p w:rsidR="00000000" w:rsidRDefault="00AE54EE">
            <w:pPr>
              <w:spacing w:after="100"/>
              <w:jc w:val="center"/>
              <w:rPr>
                <w:rFonts w:eastAsia="Times New Roman"/>
              </w:rPr>
            </w:pPr>
            <w:r>
              <w:rPr>
                <w:rFonts w:eastAsia="Times New Roman"/>
                <w:b/>
                <w:bCs/>
                <w:color w:val="000000"/>
                <w:sz w:val="16"/>
                <w:szCs w:val="16"/>
              </w:rPr>
              <w:t>under the plans</w:t>
            </w:r>
          </w:p>
          <w:p w:rsidR="00000000" w:rsidRDefault="00AE54EE">
            <w:pPr>
              <w:spacing w:after="100"/>
              <w:jc w:val="center"/>
              <w:rPr>
                <w:rFonts w:eastAsia="Times New Roman"/>
              </w:rPr>
            </w:pPr>
            <w:r>
              <w:rPr>
                <w:rFonts w:eastAsia="Times New Roman"/>
                <w:b/>
                <w:bCs/>
                <w:color w:val="000000"/>
                <w:sz w:val="16"/>
                <w:szCs w:val="16"/>
              </w:rPr>
              <w:t>or program</w:t>
            </w:r>
            <w:r>
              <w:rPr>
                <w:rFonts w:eastAsia="Times New Roman"/>
                <w:b/>
                <w:bCs/>
                <w:color w:val="000000"/>
                <w:sz w:val="16"/>
                <w:szCs w:val="16"/>
              </w:rPr>
              <w:t>s</w:t>
            </w:r>
            <w:r>
              <w:rPr>
                <w:rFonts w:eastAsia="Times New Roman"/>
                <w:b/>
                <w:bCs/>
                <w:color w:val="000000"/>
                <w:sz w:val="13"/>
                <w:szCs w:val="13"/>
              </w:rPr>
              <w:t>(1</w:t>
            </w:r>
            <w:r>
              <w:rPr>
                <w:rFonts w:eastAsia="Times New Roman"/>
                <w:b/>
                <w:bCs/>
                <w:color w:val="000000"/>
                <w:sz w:val="13"/>
                <w:szCs w:val="13"/>
              </w:rPr>
              <w:t>)</w:t>
            </w:r>
            <w:r>
              <w:rPr>
                <w:rFonts w:eastAsia="Times New Roman"/>
                <w:b/>
                <w:bCs/>
                <w:color w:val="000000"/>
                <w:sz w:val="20"/>
                <w:szCs w:val="20"/>
              </w:rPr>
              <w:t xml:space="preserve"> </w:t>
            </w:r>
          </w:p>
          <w:p w:rsidR="00000000" w:rsidRDefault="00AE54EE">
            <w:pPr>
              <w:spacing w:after="100"/>
              <w:jc w:val="center"/>
              <w:rPr>
                <w:rFonts w:eastAsia="Times New Roman"/>
              </w:rPr>
            </w:pPr>
            <w:r>
              <w:rPr>
                <w:rFonts w:eastAsia="Times New Roman"/>
                <w:b/>
                <w:bCs/>
                <w:color w:val="000000"/>
                <w:sz w:val="16"/>
                <w:szCs w:val="16"/>
              </w:rPr>
              <w:t>($ in millions)</w:t>
            </w:r>
          </w:p>
        </w:tc>
      </w:tr>
      <w:tr w:rsidR="00000000">
        <w:trPr>
          <w:divId w:val="64037993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Month No. 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r>
      <w:tr w:rsidR="00000000">
        <w:trPr>
          <w:divId w:val="64037993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(October 2, 2021-October 29,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40379939"/>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firstLine="180"/>
              <w:divId w:val="796098189"/>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856,598 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233.45 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856,598 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$3,136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379939"/>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firstLine="180"/>
              <w:divId w:val="554239828"/>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10,736 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225.03 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37993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Month No. 2</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4037993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(October 30, 2021-November 26,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40379939"/>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firstLine="180"/>
              <w:divId w:val="877475864"/>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1,908,099 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221.10 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1,908,099 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37993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640379939"/>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firstLine="180"/>
              <w:divId w:val="85619906"/>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6,891 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223.85 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37993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Month No. 3</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4037993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(November 27, 2021-December 31,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40379939"/>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firstLine="180"/>
              <w:divId w:val="1480682867"/>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835,142 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213.27 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835,142 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$2,536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379939"/>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firstLine="180"/>
              <w:divId w:val="230240282"/>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10,779 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211.78 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37993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3,628,245 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3,599,839 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$2,536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666058666"/>
        <w:rPr>
          <w:rFonts w:eastAsia="Times New Roman"/>
        </w:rPr>
      </w:pPr>
      <w:r>
        <w:rPr>
          <w:rFonts w:eastAsia="Times New Roman"/>
          <w:color w:val="000000"/>
          <w:sz w:val="16"/>
          <w:szCs w:val="16"/>
        </w:rPr>
        <w:t>_______________</w:t>
      </w:r>
    </w:p>
    <w:p w:rsidR="00000000" w:rsidRDefault="00AE54EE">
      <w:pPr>
        <w:divId w:val="2063139850"/>
        <w:rPr>
          <w:rFonts w:eastAsia="Times New Roman"/>
        </w:rPr>
      </w:pPr>
      <w:r>
        <w:rPr>
          <w:rFonts w:eastAsia="Times New Roman"/>
          <w:color w:val="000000"/>
          <w:sz w:val="16"/>
          <w:szCs w:val="16"/>
        </w:rPr>
        <w:t>* Periods represent our fiscal months.</w:t>
      </w:r>
    </w:p>
    <w:p w:rsidR="00000000" w:rsidRDefault="00AE54EE">
      <w:pPr>
        <w:ind w:hanging="360"/>
        <w:divId w:val="90862421"/>
        <w:rPr>
          <w:rFonts w:eastAsia="Times New Roman"/>
        </w:rPr>
      </w:pPr>
      <w:r>
        <w:rPr>
          <w:rFonts w:eastAsia="Times New Roman"/>
          <w:color w:val="000000"/>
          <w:sz w:val="16"/>
          <w:szCs w:val="16"/>
        </w:rPr>
        <w:t xml:space="preserve">(1) Our repurchase program does not have an expiration </w:t>
      </w:r>
      <w:r>
        <w:rPr>
          <w:rFonts w:eastAsia="Times New Roman"/>
          <w:color w:val="000000"/>
          <w:sz w:val="16"/>
          <w:szCs w:val="16"/>
        </w:rPr>
        <w:t>date and authorizes us to repurchase shares of our common stock through open market purchases, private transactions, transactions structured through investment banking institutions or any combination thereof. As of December 31, 2021, the remaining unused a</w:t>
      </w:r>
      <w:r>
        <w:rPr>
          <w:rFonts w:eastAsia="Times New Roman"/>
          <w:color w:val="000000"/>
          <w:sz w:val="16"/>
          <w:szCs w:val="16"/>
        </w:rPr>
        <w:t xml:space="preserve">uthorization under our repurchase program was $2.5 billion (as reflected in the table above). </w:t>
      </w:r>
    </w:p>
    <w:p w:rsidR="00000000" w:rsidRDefault="00AE54EE">
      <w:pPr>
        <w:ind w:hanging="360"/>
        <w:divId w:val="998466194"/>
        <w:rPr>
          <w:rFonts w:eastAsia="Times New Roman"/>
        </w:rPr>
      </w:pPr>
      <w:r>
        <w:rPr>
          <w:rFonts w:eastAsia="Times New Roman"/>
          <w:color w:val="000000"/>
          <w:sz w:val="16"/>
          <w:szCs w:val="16"/>
        </w:rPr>
        <w:t>(2) Represents a combination of (a) shares of our common stock delivered to us in satisfaction of the tax withholding obligation of holders of performance units,</w:t>
      </w:r>
      <w:r>
        <w:rPr>
          <w:rFonts w:eastAsia="Times New Roman"/>
          <w:color w:val="000000"/>
          <w:sz w:val="16"/>
          <w:szCs w:val="16"/>
        </w:rPr>
        <w:t xml:space="preserve"> restricted units or restricted shares that vested during the quarter and (b) performance units, restricted units or restricted shares returned to us upon retirement or employment termination of employees. Our equity incentive plans provide that the value </w:t>
      </w:r>
      <w:r>
        <w:rPr>
          <w:rFonts w:eastAsia="Times New Roman"/>
          <w:color w:val="000000"/>
          <w:sz w:val="16"/>
          <w:szCs w:val="16"/>
        </w:rPr>
        <w:t>of shares delivered to us to pay the exercise price of options or to cover tax withholding obligations shall be the closing price of our common stock on the date the relevant transaction occurs.</w:t>
      </w:r>
    </w:p>
    <w:tbl>
      <w:tblPr>
        <w:tblW w:w="1551" w:type="pct"/>
        <w:tblCellMar>
          <w:top w:w="15" w:type="dxa"/>
          <w:left w:w="15" w:type="dxa"/>
          <w:bottom w:w="15" w:type="dxa"/>
          <w:right w:w="15" w:type="dxa"/>
        </w:tblCellMar>
        <w:tblLook w:val="04A0" w:firstRow="1" w:lastRow="0" w:firstColumn="1" w:lastColumn="0" w:noHBand="0" w:noVBand="1"/>
      </w:tblPr>
      <w:tblGrid>
        <w:gridCol w:w="37"/>
        <w:gridCol w:w="845"/>
        <w:gridCol w:w="36"/>
        <w:gridCol w:w="37"/>
        <w:gridCol w:w="1586"/>
        <w:gridCol w:w="36"/>
      </w:tblGrid>
      <w:tr w:rsidR="00000000">
        <w:trPr>
          <w:divId w:val="866407003"/>
        </w:trPr>
        <w:tc>
          <w:tcPr>
            <w:tcW w:w="50" w:type="pct"/>
            <w:vAlign w:val="center"/>
            <w:hideMark/>
          </w:tcPr>
          <w:p w:rsidR="00000000" w:rsidRDefault="00AE54EE">
            <w:pPr>
              <w:ind w:hanging="360"/>
              <w:rPr>
                <w:rFonts w:eastAsia="Times New Roman"/>
              </w:rPr>
            </w:pPr>
          </w:p>
        </w:tc>
        <w:tc>
          <w:tcPr>
            <w:tcW w:w="17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16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86640700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[RESERVED.]</w:t>
            </w:r>
          </w:p>
        </w:tc>
      </w:tr>
      <w:tr w:rsidR="00000000">
        <w:trPr>
          <w:divId w:val="866407003"/>
          <w:trHeight w:val="30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bl>
    <w:p w:rsidR="00000000" w:rsidRDefault="00AE54EE">
      <w:pPr>
        <w:ind w:firstLine="450"/>
        <w:jc w:val="center"/>
        <w:divId w:val="445469255"/>
        <w:rPr>
          <w:rFonts w:eastAsia="Times New Roman"/>
        </w:rPr>
      </w:pPr>
      <w:r>
        <w:rPr>
          <w:rFonts w:eastAsia="Times New Roman"/>
          <w:color w:val="000000"/>
          <w:sz w:val="20"/>
          <w:szCs w:val="20"/>
        </w:rPr>
        <w:t>31</w:t>
      </w:r>
    </w:p>
    <w:p w:rsidR="00000000" w:rsidRDefault="00AE54EE">
      <w:pPr>
        <w:rPr>
          <w:rFonts w:eastAsia="Times New Roman"/>
        </w:rPr>
      </w:pPr>
      <w:r>
        <w:rPr>
          <w:rFonts w:eastAsia="Times New Roman"/>
        </w:rPr>
        <w:pict>
          <v:rect id="_x0000_i1059" style="width:0;height:1.5pt" o:hralign="center" o:hrstd="t" o:hr="t" fillcolor="#a0a0a0" stroked="f"/>
        </w:pict>
      </w:r>
    </w:p>
    <w:p w:rsidR="00000000" w:rsidRDefault="00AE54EE">
      <w:pPr>
        <w:ind w:firstLine="450"/>
        <w:divId w:val="1247765146"/>
        <w:rPr>
          <w:rFonts w:eastAsia="Times New Roman"/>
        </w:rPr>
      </w:pPr>
    </w:p>
    <w:tbl>
      <w:tblPr>
        <w:tblW w:w="4691" w:type="pct"/>
        <w:tblCellMar>
          <w:top w:w="15" w:type="dxa"/>
          <w:left w:w="15" w:type="dxa"/>
          <w:bottom w:w="15" w:type="dxa"/>
          <w:right w:w="15" w:type="dxa"/>
        </w:tblCellMar>
        <w:tblLook w:val="04A0" w:firstRow="1" w:lastRow="0" w:firstColumn="1" w:lastColumn="0" w:noHBand="0" w:noVBand="1"/>
      </w:tblPr>
      <w:tblGrid>
        <w:gridCol w:w="70"/>
        <w:gridCol w:w="812"/>
        <w:gridCol w:w="36"/>
        <w:gridCol w:w="64"/>
        <w:gridCol w:w="6775"/>
        <w:gridCol w:w="36"/>
      </w:tblGrid>
      <w:tr w:rsidR="00000000">
        <w:trPr>
          <w:divId w:val="1523202761"/>
        </w:trPr>
        <w:tc>
          <w:tcPr>
            <w:tcW w:w="50" w:type="pct"/>
            <w:vAlign w:val="center"/>
            <w:hideMark/>
          </w:tcPr>
          <w:p w:rsidR="00000000" w:rsidRDefault="00AE54EE">
            <w:pPr>
              <w:ind w:firstLine="450"/>
              <w:rPr>
                <w:rFonts w:eastAsia="Times New Roman"/>
              </w:rPr>
            </w:pPr>
          </w:p>
        </w:tc>
        <w:tc>
          <w:tcPr>
            <w:tcW w:w="53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5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523202761"/>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7.</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MANAGEMENT’S DISCUSSION AND ANALYSIS OF FINANCIAL CONDITION AND RESULTS OF OPERATIONS.</w:t>
            </w:r>
          </w:p>
        </w:tc>
      </w:tr>
    </w:tbl>
    <w:p w:rsidR="00000000" w:rsidRDefault="00AE54EE">
      <w:pPr>
        <w:divId w:val="1379401788"/>
        <w:rPr>
          <w:rFonts w:eastAsia="Times New Roman"/>
        </w:rPr>
      </w:pPr>
      <w:r>
        <w:rPr>
          <w:rFonts w:eastAsia="Times New Roman"/>
          <w:b/>
          <w:bCs/>
          <w:color w:val="000000"/>
          <w:sz w:val="20"/>
          <w:szCs w:val="20"/>
        </w:rPr>
        <w:t>OVERVIEW</w:t>
      </w:r>
    </w:p>
    <w:p w:rsidR="00000000" w:rsidRDefault="00AE54EE">
      <w:pPr>
        <w:ind w:firstLine="450"/>
        <w:divId w:val="2035955997"/>
        <w:rPr>
          <w:rFonts w:eastAsia="Times New Roman"/>
        </w:rPr>
      </w:pPr>
      <w:r>
        <w:rPr>
          <w:rFonts w:eastAsia="Times New Roman"/>
          <w:color w:val="000000"/>
          <w:sz w:val="20"/>
          <w:szCs w:val="20"/>
        </w:rPr>
        <w:t>The following Management’s Discussion and Analysis (“MD&amp;A”</w:t>
      </w:r>
      <w:r>
        <w:rPr>
          <w:rFonts w:eastAsia="Times New Roman"/>
          <w:color w:val="000000"/>
          <w:sz w:val="20"/>
          <w:szCs w:val="20"/>
        </w:rPr>
        <w:t>) is intended to assist in an understanding of our financial condition and results of operations for the fiscal year ended December 31, 2021 (“fiscal 2021”) compared with the fiscal year ended January 1, 2021 (“fiscal 2020”) and fiscal 2020 compared with t</w:t>
      </w:r>
      <w:r>
        <w:rPr>
          <w:rFonts w:eastAsia="Times New Roman"/>
          <w:color w:val="000000"/>
          <w:sz w:val="20"/>
          <w:szCs w:val="20"/>
        </w:rPr>
        <w:t>he four quarters ended January 3, 2020. For a discussion of our results for the two quarters ended January 3, 2020 (“Fiscal Transition Period”) compared with two quarters ended December 28, 2018, see “Item 7. Management Discussion and Analysis of Financial</w:t>
      </w:r>
      <w:r>
        <w:rPr>
          <w:rFonts w:eastAsia="Times New Roman"/>
          <w:color w:val="000000"/>
          <w:sz w:val="20"/>
          <w:szCs w:val="20"/>
        </w:rPr>
        <w:t xml:space="preserve"> Condition and Results of Operations” included in our Annual Report on Form 10-K for fiscal 2020. This MD&amp;A is provided as a supplement to, should be read in conjunction with, and is qualified in its entirety by reference to, our Consolidated Financial Sta</w:t>
      </w:r>
      <w:r>
        <w:rPr>
          <w:rFonts w:eastAsia="Times New Roman"/>
          <w:color w:val="000000"/>
          <w:sz w:val="20"/>
          <w:szCs w:val="20"/>
        </w:rPr>
        <w:t>tements and accompanying Notes appearing elsewhere in this Report. Except for the historical information contained herein, the discussions in this MD&amp;A contain forward-looking statements that involve risks and uncertainties. Our future results could differ</w:t>
      </w:r>
      <w:r>
        <w:rPr>
          <w:rFonts w:eastAsia="Times New Roman"/>
          <w:color w:val="000000"/>
          <w:sz w:val="20"/>
          <w:szCs w:val="20"/>
        </w:rPr>
        <w:t xml:space="preserve"> materially from those discussed herein. Factors that could cause or contribute to such differences include, but are not limited to, those discussed below in this MD&amp;A under “Forward-Looking Statements and Factors that May Affect Future Results.”</w:t>
      </w:r>
    </w:p>
    <w:p w:rsidR="00000000" w:rsidRDefault="00AE54EE">
      <w:pPr>
        <w:ind w:firstLine="450"/>
        <w:divId w:val="563108995"/>
        <w:rPr>
          <w:rFonts w:eastAsia="Times New Roman"/>
        </w:rPr>
      </w:pPr>
      <w:r>
        <w:rPr>
          <w:rFonts w:eastAsia="Times New Roman"/>
          <w:color w:val="000000"/>
          <w:sz w:val="20"/>
          <w:szCs w:val="20"/>
        </w:rPr>
        <w:t>The follo</w:t>
      </w:r>
      <w:r>
        <w:rPr>
          <w:rFonts w:eastAsia="Times New Roman"/>
          <w:color w:val="000000"/>
          <w:sz w:val="20"/>
          <w:szCs w:val="20"/>
        </w:rPr>
        <w:t>wing is a list of the sections of this MD&amp;A, together with our perspective on their contents, which we hope will assist in reading these pages:</w:t>
      </w:r>
    </w:p>
    <w:p w:rsidR="00000000" w:rsidRDefault="00AE54EE">
      <w:pPr>
        <w:ind w:hanging="360"/>
        <w:divId w:val="705104015"/>
        <w:rPr>
          <w:rFonts w:eastAsia="Times New Roman"/>
        </w:rPr>
      </w:pPr>
      <w:r>
        <w:rPr>
          <w:rFonts w:eastAsia="Times New Roman"/>
          <w:color w:val="000000"/>
          <w:sz w:val="20"/>
          <w:szCs w:val="20"/>
        </w:rPr>
        <w:t>•</w:t>
      </w:r>
      <w:r>
        <w:rPr>
          <w:rFonts w:eastAsia="Times New Roman"/>
          <w:b/>
          <w:bCs/>
          <w:i/>
          <w:iCs/>
          <w:color w:val="000000"/>
          <w:sz w:val="20"/>
          <w:szCs w:val="20"/>
        </w:rPr>
        <w:t>Business Considerations</w:t>
      </w:r>
      <w:r>
        <w:rPr>
          <w:rFonts w:eastAsia="Times New Roman"/>
          <w:i/>
          <w:iCs/>
          <w:color w:val="000000"/>
          <w:sz w:val="20"/>
          <w:szCs w:val="20"/>
        </w:rPr>
        <w:t xml:space="preserve"> </w:t>
      </w:r>
      <w:r>
        <w:rPr>
          <w:rFonts w:eastAsia="Times New Roman"/>
          <w:color w:val="000000"/>
          <w:sz w:val="20"/>
          <w:szCs w:val="20"/>
        </w:rPr>
        <w:t>— </w:t>
      </w:r>
      <w:r>
        <w:rPr>
          <w:rFonts w:eastAsia="Times New Roman"/>
          <w:color w:val="000000"/>
          <w:sz w:val="20"/>
          <w:szCs w:val="20"/>
        </w:rPr>
        <w:t>a general description of our business; the value drivers of our business; fiscal 2021 results of operations and liquidity and capital resources key indicators; and industry-wide opportunities, challenges and risks that are relevant to us in defense, govern</w:t>
      </w:r>
      <w:r>
        <w:rPr>
          <w:rFonts w:eastAsia="Times New Roman"/>
          <w:color w:val="000000"/>
          <w:sz w:val="20"/>
          <w:szCs w:val="20"/>
        </w:rPr>
        <w:t xml:space="preserve">ment and commercial markets. </w:t>
      </w:r>
    </w:p>
    <w:p w:rsidR="00000000" w:rsidRDefault="00AE54EE">
      <w:pPr>
        <w:ind w:hanging="360"/>
        <w:divId w:val="1568492443"/>
        <w:rPr>
          <w:rFonts w:eastAsia="Times New Roman"/>
        </w:rPr>
      </w:pPr>
      <w:r>
        <w:rPr>
          <w:rFonts w:eastAsia="Times New Roman"/>
          <w:color w:val="000000"/>
          <w:sz w:val="20"/>
          <w:szCs w:val="20"/>
        </w:rPr>
        <w:t>•</w:t>
      </w:r>
      <w:r>
        <w:rPr>
          <w:rFonts w:eastAsia="Times New Roman"/>
          <w:b/>
          <w:bCs/>
          <w:i/>
          <w:iCs/>
          <w:color w:val="000000"/>
          <w:sz w:val="20"/>
          <w:szCs w:val="20"/>
        </w:rPr>
        <w:t>Operations Review</w:t>
      </w:r>
      <w:r>
        <w:rPr>
          <w:rFonts w:eastAsia="Times New Roman"/>
          <w:color w:val="000000"/>
          <w:sz w:val="20"/>
          <w:szCs w:val="20"/>
        </w:rPr>
        <w:t xml:space="preserve"> — </w:t>
      </w:r>
      <w:r>
        <w:rPr>
          <w:rFonts w:eastAsia="Times New Roman"/>
          <w:color w:val="000000"/>
          <w:sz w:val="20"/>
          <w:szCs w:val="20"/>
        </w:rPr>
        <w:t>an analysis of our consolidated results of operations and of the results in each of our business segments, to the extent the segment operating results are helpful to an understanding of our business as a whole, for the periods presented in our financial st</w:t>
      </w:r>
      <w:r>
        <w:rPr>
          <w:rFonts w:eastAsia="Times New Roman"/>
          <w:color w:val="000000"/>
          <w:sz w:val="20"/>
          <w:szCs w:val="20"/>
        </w:rPr>
        <w:t xml:space="preserve">atements. </w:t>
      </w:r>
    </w:p>
    <w:p w:rsidR="00000000" w:rsidRDefault="00AE54EE">
      <w:pPr>
        <w:ind w:hanging="360"/>
        <w:divId w:val="163521920"/>
        <w:rPr>
          <w:rFonts w:eastAsia="Times New Roman"/>
        </w:rPr>
      </w:pPr>
      <w:r>
        <w:rPr>
          <w:rFonts w:eastAsia="Times New Roman"/>
          <w:color w:val="000000"/>
          <w:sz w:val="20"/>
          <w:szCs w:val="20"/>
        </w:rPr>
        <w:t>•</w:t>
      </w:r>
      <w:r>
        <w:rPr>
          <w:rFonts w:eastAsia="Times New Roman"/>
          <w:b/>
          <w:bCs/>
          <w:i/>
          <w:iCs/>
          <w:color w:val="000000"/>
          <w:sz w:val="20"/>
          <w:szCs w:val="20"/>
        </w:rPr>
        <w:t>Liquidity, Capital Resources and Financial Strategies</w:t>
      </w:r>
      <w:r>
        <w:rPr>
          <w:rFonts w:eastAsia="Times New Roman"/>
          <w:color w:val="000000"/>
          <w:sz w:val="20"/>
          <w:szCs w:val="20"/>
        </w:rPr>
        <w:t xml:space="preserve"> — an analysis of cash flows, funding of pension plans, common stock repurchases, dividends, capital structure and resources, material cash requirements, commercial commitments, financial ris</w:t>
      </w:r>
      <w:r>
        <w:rPr>
          <w:rFonts w:eastAsia="Times New Roman"/>
          <w:color w:val="000000"/>
          <w:sz w:val="20"/>
          <w:szCs w:val="20"/>
        </w:rPr>
        <w:t>k management, impact of foreign exchange and impact of inflation.</w:t>
      </w:r>
    </w:p>
    <w:p w:rsidR="00000000" w:rsidRDefault="00AE54EE">
      <w:pPr>
        <w:ind w:hanging="360"/>
        <w:divId w:val="937057903"/>
        <w:rPr>
          <w:rFonts w:eastAsia="Times New Roman"/>
        </w:rPr>
      </w:pPr>
      <w:r>
        <w:rPr>
          <w:rFonts w:eastAsia="Times New Roman"/>
          <w:color w:val="000000"/>
          <w:sz w:val="20"/>
          <w:szCs w:val="20"/>
        </w:rPr>
        <w:t>•</w:t>
      </w:r>
      <w:r>
        <w:rPr>
          <w:rFonts w:eastAsia="Times New Roman"/>
          <w:b/>
          <w:bCs/>
          <w:i/>
          <w:iCs/>
          <w:color w:val="000000"/>
          <w:sz w:val="20"/>
          <w:szCs w:val="20"/>
        </w:rPr>
        <w:t>Critical Accounting Policies and Estimates</w:t>
      </w:r>
      <w:r>
        <w:rPr>
          <w:rFonts w:eastAsia="Times New Roman"/>
          <w:b/>
          <w:bCs/>
          <w:color w:val="000000"/>
          <w:sz w:val="20"/>
          <w:szCs w:val="20"/>
        </w:rPr>
        <w:t xml:space="preserve"> </w:t>
      </w:r>
      <w:r>
        <w:rPr>
          <w:rFonts w:eastAsia="Times New Roman"/>
          <w:color w:val="000000"/>
          <w:sz w:val="20"/>
          <w:szCs w:val="20"/>
        </w:rPr>
        <w:t>— a discussion of accounting policies and estimates that require the most judgment and a discussion of accounting pronouncements that have been is</w:t>
      </w:r>
      <w:r>
        <w:rPr>
          <w:rFonts w:eastAsia="Times New Roman"/>
          <w:color w:val="000000"/>
          <w:sz w:val="20"/>
          <w:szCs w:val="20"/>
        </w:rPr>
        <w:t>sued but not yet implemented by us and their potential impact on our financial condition, results of operations, cash flows and equity.</w:t>
      </w:r>
    </w:p>
    <w:p w:rsidR="00000000" w:rsidRDefault="00AE54EE">
      <w:pPr>
        <w:ind w:hanging="360"/>
        <w:divId w:val="1803886927"/>
        <w:rPr>
          <w:rFonts w:eastAsia="Times New Roman"/>
        </w:rPr>
      </w:pPr>
      <w:r>
        <w:rPr>
          <w:rFonts w:eastAsia="Times New Roman"/>
          <w:color w:val="000000"/>
          <w:sz w:val="20"/>
          <w:szCs w:val="20"/>
        </w:rPr>
        <w:t>•</w:t>
      </w:r>
      <w:r>
        <w:rPr>
          <w:rFonts w:eastAsia="Times New Roman"/>
          <w:b/>
          <w:bCs/>
          <w:i/>
          <w:iCs/>
          <w:color w:val="000000"/>
          <w:sz w:val="20"/>
          <w:szCs w:val="20"/>
        </w:rPr>
        <w:t>Forward-Looking Statements and Factors that May Affect Future Results</w:t>
      </w:r>
      <w:r>
        <w:rPr>
          <w:rFonts w:eastAsia="Times New Roman"/>
          <w:color w:val="000000"/>
          <w:sz w:val="20"/>
          <w:szCs w:val="20"/>
        </w:rPr>
        <w:t xml:space="preserve"> — cautionary information about forward-looking st</w:t>
      </w:r>
      <w:r>
        <w:rPr>
          <w:rFonts w:eastAsia="Times New Roman"/>
          <w:color w:val="000000"/>
          <w:sz w:val="20"/>
          <w:szCs w:val="20"/>
        </w:rPr>
        <w:t>atements and a description of certain risks and uncertainties that could cause our actual results to differ materially from our historical results, or our current expectations or projections.</w:t>
      </w:r>
    </w:p>
    <w:p w:rsidR="00000000" w:rsidRDefault="00AE54EE">
      <w:pPr>
        <w:divId w:val="1440224519"/>
        <w:rPr>
          <w:rFonts w:eastAsia="Times New Roman"/>
        </w:rPr>
      </w:pPr>
      <w:r>
        <w:rPr>
          <w:rFonts w:eastAsia="Times New Roman"/>
          <w:b/>
          <w:bCs/>
          <w:color w:val="000000"/>
          <w:sz w:val="20"/>
          <w:szCs w:val="20"/>
        </w:rPr>
        <w:t>BUSINESS CONSIDERATIONS</w:t>
      </w:r>
    </w:p>
    <w:p w:rsidR="00000000" w:rsidRDefault="00AE54EE">
      <w:pPr>
        <w:divId w:val="848983682"/>
        <w:rPr>
          <w:rFonts w:eastAsia="Times New Roman"/>
        </w:rPr>
      </w:pPr>
      <w:r>
        <w:rPr>
          <w:rFonts w:eastAsia="Times New Roman"/>
          <w:b/>
          <w:bCs/>
          <w:color w:val="000000"/>
          <w:sz w:val="20"/>
          <w:szCs w:val="20"/>
        </w:rPr>
        <w:t>General</w:t>
      </w:r>
    </w:p>
    <w:p w:rsidR="00000000" w:rsidRDefault="00AE54EE">
      <w:pPr>
        <w:ind w:firstLine="450"/>
        <w:divId w:val="375206268"/>
        <w:rPr>
          <w:rFonts w:eastAsia="Times New Roman"/>
        </w:rPr>
      </w:pPr>
      <w:r>
        <w:rPr>
          <w:rFonts w:eastAsia="Times New Roman"/>
          <w:color w:val="000000"/>
          <w:sz w:val="20"/>
          <w:szCs w:val="20"/>
        </w:rPr>
        <w:t xml:space="preserve">We generate revenue, income and </w:t>
      </w:r>
      <w:r>
        <w:rPr>
          <w:rFonts w:eastAsia="Times New Roman"/>
          <w:color w:val="000000"/>
          <w:sz w:val="20"/>
          <w:szCs w:val="20"/>
        </w:rPr>
        <w:t>cash flows by developing, manufacturing or providing and selling advanced, technology-based solutions that meet government and commercial customers’ mission-critical needs. We support government and commercial customers in more than 100 countries, with our</w:t>
      </w:r>
      <w:r>
        <w:rPr>
          <w:rFonts w:eastAsia="Times New Roman"/>
          <w:color w:val="000000"/>
          <w:sz w:val="20"/>
          <w:szCs w:val="20"/>
        </w:rPr>
        <w:t xml:space="preserve"> largest customers being various departments and agencies of the U.S. Government and their prime contractors. Our products, systems and services have defense and civil government applications, as well as commercial applications. As of December 31, 2021, we</w:t>
      </w:r>
      <w:r>
        <w:rPr>
          <w:rFonts w:eastAsia="Times New Roman"/>
          <w:color w:val="000000"/>
          <w:sz w:val="20"/>
          <w:szCs w:val="20"/>
        </w:rPr>
        <w:t xml:space="preserve"> had approximately 47,000 employees, including approximately 19,000 engineers and scientists. We generally sell directly to our customers, and we utilize agents and intermediaries to sell and market some products and services, especially in international m</w:t>
      </w:r>
      <w:r>
        <w:rPr>
          <w:rFonts w:eastAsia="Times New Roman"/>
          <w:color w:val="000000"/>
          <w:sz w:val="20"/>
          <w:szCs w:val="20"/>
        </w:rPr>
        <w:t>arkets.</w:t>
      </w:r>
    </w:p>
    <w:p w:rsidR="00000000" w:rsidRDefault="00AE54EE">
      <w:pPr>
        <w:ind w:firstLine="450"/>
        <w:divId w:val="1937328776"/>
        <w:rPr>
          <w:rFonts w:eastAsia="Times New Roman"/>
        </w:rPr>
      </w:pPr>
      <w:r>
        <w:rPr>
          <w:rFonts w:eastAsia="Times New Roman"/>
          <w:color w:val="000000"/>
          <w:sz w:val="20"/>
          <w:szCs w:val="20"/>
        </w:rPr>
        <w:t>We structure our operations primarily around the products, systems and services we sell and the markets we serve, and for fiscal 2021 we reported the financial results of our continuing operations in the following four operating segments, which wer</w:t>
      </w:r>
      <w:r>
        <w:rPr>
          <w:rFonts w:eastAsia="Times New Roman"/>
          <w:color w:val="000000"/>
          <w:sz w:val="20"/>
          <w:szCs w:val="20"/>
        </w:rPr>
        <w:t>e also our reportable segments and are referred to as our business segments:</w:t>
      </w:r>
    </w:p>
    <w:p w:rsidR="00000000" w:rsidRDefault="00AE54EE">
      <w:pPr>
        <w:ind w:hanging="360"/>
        <w:divId w:val="1853296011"/>
        <w:rPr>
          <w:rFonts w:eastAsia="Times New Roman"/>
        </w:rPr>
      </w:pPr>
      <w:r>
        <w:rPr>
          <w:rFonts w:eastAsia="Times New Roman"/>
          <w:color w:val="000000"/>
          <w:sz w:val="20"/>
          <w:szCs w:val="20"/>
        </w:rPr>
        <w:t>•Integrated Mission Systems, including multi-mission ISR and communication systems; integrated electrical and electronic systems for maritime platforms; and advanced EO/IR solutio</w:t>
      </w:r>
      <w:r>
        <w:rPr>
          <w:rFonts w:eastAsia="Times New Roman"/>
          <w:color w:val="000000"/>
          <w:sz w:val="20"/>
          <w:szCs w:val="20"/>
        </w:rPr>
        <w:t>ns;</w:t>
      </w:r>
    </w:p>
    <w:p w:rsidR="00000000" w:rsidRDefault="00AE54EE">
      <w:pPr>
        <w:ind w:hanging="360"/>
        <w:divId w:val="337661507"/>
        <w:rPr>
          <w:rFonts w:eastAsia="Times New Roman"/>
        </w:rPr>
      </w:pPr>
      <w:r>
        <w:rPr>
          <w:rFonts w:eastAsia="Times New Roman"/>
          <w:color w:val="000000"/>
          <w:sz w:val="20"/>
          <w:szCs w:val="20"/>
        </w:rPr>
        <w:t>•Space &amp; Airborne Systems, including space payloads, sensors and full-mission solutions; classified intelligence and cyber defense; avionics; and electronic warfare;</w:t>
      </w:r>
    </w:p>
    <w:p w:rsidR="00000000" w:rsidRDefault="00AE54EE">
      <w:pPr>
        <w:ind w:hanging="360"/>
        <w:divId w:val="2079941419"/>
        <w:rPr>
          <w:rFonts w:eastAsia="Times New Roman"/>
        </w:rPr>
      </w:pPr>
      <w:r>
        <w:rPr>
          <w:rFonts w:eastAsia="Times New Roman"/>
          <w:color w:val="000000"/>
          <w:sz w:val="20"/>
          <w:szCs w:val="20"/>
        </w:rPr>
        <w:t>•Communication Systems, including tactical communications; broadband communications; i</w:t>
      </w:r>
      <w:r>
        <w:rPr>
          <w:rFonts w:eastAsia="Times New Roman"/>
          <w:color w:val="000000"/>
          <w:sz w:val="20"/>
          <w:szCs w:val="20"/>
        </w:rPr>
        <w:t xml:space="preserve">ntegrated vision solutions; and public safety radios; global communications solutions and </w:t>
      </w:r>
    </w:p>
    <w:p w:rsidR="00000000" w:rsidRDefault="00AE54EE">
      <w:pPr>
        <w:ind w:hanging="360"/>
        <w:divId w:val="332222105"/>
        <w:rPr>
          <w:rFonts w:eastAsia="Times New Roman"/>
        </w:rPr>
      </w:pPr>
      <w:r>
        <w:rPr>
          <w:rFonts w:eastAsia="Times New Roman"/>
          <w:color w:val="000000"/>
          <w:sz w:val="20"/>
          <w:szCs w:val="20"/>
        </w:rPr>
        <w:t>•Aviation Systems, including defense aviation; commercial aviation products; commercial pilot training; and mission networks for air traffic management.</w:t>
      </w:r>
    </w:p>
    <w:p w:rsidR="00000000" w:rsidRDefault="00AE54EE">
      <w:pPr>
        <w:ind w:firstLine="450"/>
        <w:jc w:val="center"/>
        <w:divId w:val="1635910149"/>
        <w:rPr>
          <w:rFonts w:eastAsia="Times New Roman"/>
        </w:rPr>
      </w:pPr>
      <w:r>
        <w:rPr>
          <w:rFonts w:eastAsia="Times New Roman"/>
          <w:color w:val="000000"/>
          <w:sz w:val="20"/>
          <w:szCs w:val="20"/>
        </w:rPr>
        <w:t>32</w:t>
      </w:r>
    </w:p>
    <w:p w:rsidR="00000000" w:rsidRDefault="00AE54EE">
      <w:pPr>
        <w:rPr>
          <w:rFonts w:eastAsia="Times New Roman"/>
        </w:rPr>
      </w:pPr>
      <w:r>
        <w:rPr>
          <w:rFonts w:eastAsia="Times New Roman"/>
        </w:rPr>
        <w:pict>
          <v:rect id="_x0000_i1060" style="width:0;height:1.5pt" o:hralign="center" o:hrstd="t" o:hr="t" fillcolor="#a0a0a0" stroked="f"/>
        </w:pict>
      </w:r>
    </w:p>
    <w:p w:rsidR="00000000" w:rsidRDefault="00AE54EE">
      <w:pPr>
        <w:ind w:firstLine="450"/>
        <w:divId w:val="1979069055"/>
        <w:rPr>
          <w:rFonts w:eastAsia="Times New Roman"/>
        </w:rPr>
      </w:pPr>
    </w:p>
    <w:p w:rsidR="00000000" w:rsidRDefault="00AE54EE">
      <w:pPr>
        <w:ind w:firstLine="495"/>
        <w:divId w:val="1424911621"/>
        <w:rPr>
          <w:rFonts w:eastAsia="Times New Roman"/>
        </w:rPr>
      </w:pPr>
      <w:r>
        <w:rPr>
          <w:rFonts w:eastAsia="Times New Roman"/>
          <w:color w:val="000000"/>
          <w:sz w:val="20"/>
          <w:szCs w:val="20"/>
        </w:rPr>
        <w:t>During the first quarter of fiscal 2020, we adjusted our segment reporting to better align our businesses and transferred two businesses between our Integrated Mission Systems and Space &amp; Airborne Systems segments. The histori</w:t>
      </w:r>
      <w:r>
        <w:rPr>
          <w:rFonts w:eastAsia="Times New Roman"/>
          <w:color w:val="000000"/>
          <w:sz w:val="20"/>
          <w:szCs w:val="20"/>
        </w:rPr>
        <w:t>cal results, discussion and presentation of our business segments as set forth in this MD&amp;A reflect the impact of these changes for all periods presented in order to present segment information on a comparable basis. There is no impact on our previously re</w:t>
      </w:r>
      <w:r>
        <w:rPr>
          <w:rFonts w:eastAsia="Times New Roman"/>
          <w:color w:val="000000"/>
          <w:sz w:val="20"/>
          <w:szCs w:val="20"/>
        </w:rPr>
        <w:t xml:space="preserve">ported consolidated statements of income, balance sheets, statements of cash flows or statements of equity resulting from these changes. </w:t>
      </w:r>
    </w:p>
    <w:p w:rsidR="00000000" w:rsidRDefault="00AE54EE">
      <w:pPr>
        <w:ind w:firstLine="450"/>
        <w:divId w:val="1773284045"/>
        <w:rPr>
          <w:rFonts w:eastAsia="Times New Roman"/>
        </w:rPr>
      </w:pPr>
      <w:r>
        <w:rPr>
          <w:rFonts w:eastAsia="Times New Roman"/>
          <w:color w:val="000000"/>
          <w:sz w:val="20"/>
          <w:szCs w:val="20"/>
        </w:rPr>
        <w:t xml:space="preserve">As described in more detail in </w:t>
      </w:r>
      <w:r>
        <w:rPr>
          <w:rFonts w:eastAsia="Times New Roman"/>
          <w:i/>
          <w:iCs/>
          <w:color w:val="000000"/>
          <w:sz w:val="20"/>
          <w:szCs w:val="20"/>
        </w:rPr>
        <w:t>Note 3: Business Divestitures and Asset Sales</w:t>
      </w:r>
      <w:r>
        <w:rPr>
          <w:rFonts w:eastAsia="Times New Roman"/>
          <w:color w:val="000000"/>
          <w:sz w:val="20"/>
          <w:szCs w:val="20"/>
        </w:rPr>
        <w:t xml:space="preserve"> and elsewhere in the Notes, during fiscal</w:t>
      </w:r>
      <w:r>
        <w:rPr>
          <w:rFonts w:eastAsia="Times New Roman"/>
          <w:color w:val="000000"/>
          <w:sz w:val="20"/>
          <w:szCs w:val="20"/>
        </w:rPr>
        <w:t xml:space="preserve"> 2021, fiscal 2020 and the two quarters ended January 3, 2020, we completed the following business divestitures (which had revenue attributable to them as set forth below): </w:t>
      </w:r>
    </w:p>
    <w:tbl>
      <w:tblPr>
        <w:tblW w:w="5000" w:type="pct"/>
        <w:tblCellMar>
          <w:top w:w="15" w:type="dxa"/>
          <w:left w:w="15" w:type="dxa"/>
          <w:bottom w:w="15" w:type="dxa"/>
          <w:right w:w="15" w:type="dxa"/>
        </w:tblCellMar>
        <w:tblLook w:val="04A0" w:firstRow="1" w:lastRow="0" w:firstColumn="1" w:lastColumn="0" w:noHBand="0" w:noVBand="1"/>
      </w:tblPr>
      <w:tblGrid>
        <w:gridCol w:w="38"/>
        <w:gridCol w:w="4429"/>
        <w:gridCol w:w="36"/>
        <w:gridCol w:w="121"/>
        <w:gridCol w:w="1067"/>
        <w:gridCol w:w="36"/>
        <w:gridCol w:w="36"/>
        <w:gridCol w:w="36"/>
        <w:gridCol w:w="36"/>
        <w:gridCol w:w="120"/>
        <w:gridCol w:w="1025"/>
        <w:gridCol w:w="36"/>
        <w:gridCol w:w="36"/>
        <w:gridCol w:w="36"/>
        <w:gridCol w:w="36"/>
        <w:gridCol w:w="121"/>
        <w:gridCol w:w="1025"/>
        <w:gridCol w:w="36"/>
      </w:tblGrid>
      <w:tr w:rsidR="00000000">
        <w:trPr>
          <w:divId w:val="1773284045"/>
        </w:trPr>
        <w:tc>
          <w:tcPr>
            <w:tcW w:w="50" w:type="pct"/>
            <w:vAlign w:val="center"/>
            <w:hideMark/>
          </w:tcPr>
          <w:p w:rsidR="00000000" w:rsidRDefault="00AE54EE">
            <w:pPr>
              <w:ind w:firstLine="450"/>
              <w:rPr>
                <w:rFonts w:eastAsia="Times New Roman"/>
              </w:rPr>
            </w:pPr>
          </w:p>
        </w:tc>
        <w:tc>
          <w:tcPr>
            <w:tcW w:w="269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773284045"/>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 xml:space="preserve">Two Quarters Ended </w:t>
            </w:r>
          </w:p>
        </w:tc>
      </w:tr>
      <w:tr w:rsidR="00000000">
        <w:trPr>
          <w:divId w:val="1773284045"/>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r>
      <w:tr w:rsidR="00000000">
        <w:trPr>
          <w:divId w:val="1773284045"/>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773284045"/>
        </w:trPr>
        <w:tc>
          <w:tcPr>
            <w:tcW w:w="0" w:type="auto"/>
            <w:gridSpan w:val="3"/>
            <w:shd w:val="clear" w:color="auto" w:fill="CCEEFF"/>
            <w:tcMar>
              <w:top w:w="30" w:type="dxa"/>
              <w:left w:w="20" w:type="dxa"/>
              <w:bottom w:w="30" w:type="dxa"/>
              <w:right w:w="20" w:type="dxa"/>
            </w:tcMar>
            <w:hideMark/>
          </w:tcPr>
          <w:p w:rsidR="00000000" w:rsidRDefault="00AE54EE">
            <w:pPr>
              <w:spacing w:after="100"/>
              <w:ind w:hanging="180"/>
              <w:divId w:val="20515582"/>
              <w:rPr>
                <w:rFonts w:eastAsia="Times New Roman"/>
              </w:rPr>
            </w:pPr>
            <w:r>
              <w:rPr>
                <w:rFonts w:eastAsia="Times New Roman"/>
                <w:b/>
                <w:bCs/>
                <w:color w:val="000000"/>
                <w:sz w:val="20"/>
                <w:szCs w:val="20"/>
              </w:rPr>
              <w:t>Revenue attributable to divested businesse</w:t>
            </w:r>
            <w:r>
              <w:rPr>
                <w:rFonts w:eastAsia="Times New Roman"/>
                <w:b/>
                <w:bCs/>
                <w:color w:val="000000"/>
                <w:sz w:val="20"/>
                <w:szCs w:val="20"/>
              </w:rPr>
              <w:t>s</w:t>
            </w:r>
            <w:r>
              <w:rPr>
                <w:rFonts w:eastAsia="Times New Roman"/>
                <w:b/>
                <w:bCs/>
                <w:color w:val="000000"/>
                <w:sz w:val="13"/>
                <w:szCs w:val="13"/>
              </w:rPr>
              <w:t>(1</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773284045"/>
        </w:trPr>
        <w:tc>
          <w:tcPr>
            <w:tcW w:w="0" w:type="auto"/>
            <w:gridSpan w:val="3"/>
            <w:shd w:val="clear" w:color="auto" w:fill="FFFF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Narda-MITEQ business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3284045"/>
        </w:trPr>
        <w:tc>
          <w:tcPr>
            <w:tcW w:w="0" w:type="auto"/>
            <w:gridSpan w:val="3"/>
            <w:shd w:val="clear" w:color="auto" w:fill="CCEE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ESSCO business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3284045"/>
        </w:trPr>
        <w:tc>
          <w:tcPr>
            <w:tcW w:w="0" w:type="auto"/>
            <w:gridSpan w:val="3"/>
            <w:shd w:val="clear" w:color="auto" w:fill="FFFF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Electron Devices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3284045"/>
        </w:trPr>
        <w:tc>
          <w:tcPr>
            <w:tcW w:w="0" w:type="auto"/>
            <w:gridSpan w:val="3"/>
            <w:shd w:val="clear" w:color="auto" w:fill="CCEE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VSE disposal group</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3284045"/>
        </w:trPr>
        <w:tc>
          <w:tcPr>
            <w:tcW w:w="0" w:type="auto"/>
            <w:gridSpan w:val="3"/>
            <w:shd w:val="clear" w:color="auto" w:fill="FFFF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CPS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3284045"/>
        </w:trPr>
        <w:tc>
          <w:tcPr>
            <w:tcW w:w="0" w:type="auto"/>
            <w:gridSpan w:val="3"/>
            <w:shd w:val="clear" w:color="auto" w:fill="CCEE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Military training business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3284045"/>
        </w:trPr>
        <w:tc>
          <w:tcPr>
            <w:tcW w:w="0" w:type="auto"/>
            <w:gridSpan w:val="3"/>
            <w:shd w:val="clear" w:color="auto" w:fill="FFFF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EOTech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3284045"/>
        </w:trPr>
        <w:tc>
          <w:tcPr>
            <w:tcW w:w="0" w:type="auto"/>
            <w:gridSpan w:val="3"/>
            <w:shd w:val="clear" w:color="auto" w:fill="CCEE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Applied Kilovolts business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3284045"/>
        </w:trPr>
        <w:tc>
          <w:tcPr>
            <w:tcW w:w="0" w:type="auto"/>
            <w:gridSpan w:val="3"/>
            <w:shd w:val="clear" w:color="auto" w:fill="FFFF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Airport security and automation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3284045"/>
        </w:trPr>
        <w:tc>
          <w:tcPr>
            <w:tcW w:w="0" w:type="auto"/>
            <w:gridSpan w:val="3"/>
            <w:shd w:val="clear" w:color="auto" w:fill="CCEE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Harris Night Vision business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3284045"/>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773284045"/>
        <w:rPr>
          <w:rFonts w:eastAsia="Times New Roman"/>
        </w:rPr>
      </w:pPr>
      <w:r>
        <w:rPr>
          <w:rFonts w:eastAsia="Times New Roman"/>
          <w:color w:val="000000"/>
          <w:sz w:val="16"/>
          <w:szCs w:val="16"/>
        </w:rPr>
        <w:t>_________________</w:t>
      </w:r>
    </w:p>
    <w:p w:rsidR="00000000" w:rsidRDefault="00AE54EE">
      <w:pPr>
        <w:ind w:hanging="360"/>
        <w:divId w:val="2145811760"/>
        <w:rPr>
          <w:rFonts w:eastAsia="Times New Roman"/>
        </w:rPr>
      </w:pPr>
      <w:r>
        <w:rPr>
          <w:rFonts w:eastAsia="Times New Roman"/>
          <w:color w:val="000000"/>
          <w:sz w:val="16"/>
          <w:szCs w:val="16"/>
        </w:rPr>
        <w:t>(1)Net of intracompany sales.</w:t>
      </w:r>
      <w:r>
        <w:rPr>
          <w:rFonts w:eastAsia="Times New Roman"/>
          <w:color w:val="000000"/>
          <w:sz w:val="20"/>
          <w:szCs w:val="20"/>
        </w:rPr>
        <w:t xml:space="preserve"> </w:t>
      </w:r>
      <w:r>
        <w:rPr>
          <w:rFonts w:eastAsia="Times New Roman"/>
          <w:color w:val="000000"/>
          <w:sz w:val="16"/>
          <w:szCs w:val="16"/>
        </w:rPr>
        <w:t xml:space="preserve">See “Item 1. Business” </w:t>
      </w:r>
      <w:r>
        <w:rPr>
          <w:rFonts w:eastAsia="Times New Roman"/>
          <w:color w:val="000000"/>
          <w:sz w:val="16"/>
          <w:szCs w:val="16"/>
        </w:rPr>
        <w:t>of this Report for more information regarding businesses divested during fiscal 2021 and 2020.</w:t>
      </w:r>
    </w:p>
    <w:p w:rsidR="00000000" w:rsidRDefault="00AE54EE">
      <w:pPr>
        <w:ind w:firstLine="450"/>
        <w:divId w:val="1140226439"/>
        <w:rPr>
          <w:rFonts w:eastAsia="Times New Roman"/>
        </w:rPr>
      </w:pPr>
      <w:r>
        <w:rPr>
          <w:rFonts w:eastAsia="Times New Roman"/>
          <w:color w:val="000000"/>
          <w:sz w:val="20"/>
          <w:szCs w:val="20"/>
        </w:rPr>
        <w:t xml:space="preserve">See </w:t>
      </w:r>
      <w:r>
        <w:rPr>
          <w:rFonts w:eastAsia="Times New Roman"/>
          <w:i/>
          <w:iCs/>
          <w:color w:val="000000"/>
          <w:sz w:val="20"/>
          <w:szCs w:val="20"/>
        </w:rPr>
        <w:t>Note 24: Business Segments</w:t>
      </w:r>
      <w:r>
        <w:rPr>
          <w:rFonts w:eastAsia="Times New Roman"/>
          <w:color w:val="000000"/>
          <w:sz w:val="20"/>
          <w:szCs w:val="20"/>
        </w:rPr>
        <w:t xml:space="preserve"> in the Notes for further information regarding our business segments, including how we define segment operating income or loss. </w:t>
      </w:r>
    </w:p>
    <w:p w:rsidR="00000000" w:rsidRDefault="00AE54EE">
      <w:pPr>
        <w:ind w:firstLine="450"/>
        <w:divId w:val="1521049856"/>
        <w:rPr>
          <w:rFonts w:eastAsia="Times New Roman"/>
        </w:rPr>
      </w:pPr>
      <w:r>
        <w:rPr>
          <w:rFonts w:eastAsia="Times New Roman"/>
          <w:color w:val="000000"/>
          <w:sz w:val="20"/>
          <w:szCs w:val="20"/>
        </w:rPr>
        <w:t>A</w:t>
      </w:r>
      <w:r>
        <w:rPr>
          <w:rFonts w:eastAsia="Times New Roman"/>
          <w:color w:val="000000"/>
          <w:sz w:val="20"/>
          <w:szCs w:val="20"/>
        </w:rPr>
        <w:t xml:space="preserve">s discussed in further detail in </w:t>
      </w:r>
      <w:r>
        <w:rPr>
          <w:rFonts w:eastAsia="Times New Roman"/>
          <w:i/>
          <w:iCs/>
          <w:color w:val="000000"/>
          <w:sz w:val="20"/>
          <w:szCs w:val="20"/>
        </w:rPr>
        <w:t>Note 4: Business Combination</w:t>
      </w:r>
      <w:r>
        <w:rPr>
          <w:rFonts w:eastAsia="Times New Roman"/>
          <w:color w:val="000000"/>
          <w:sz w:val="20"/>
          <w:szCs w:val="20"/>
        </w:rPr>
        <w:t xml:space="preserve"> in the Notes, we recorded the following charges at our corporate headquarters in connection with the L3Harris Merger.</w:t>
      </w:r>
    </w:p>
    <w:tbl>
      <w:tblPr>
        <w:tblW w:w="4935" w:type="pct"/>
        <w:tblCellMar>
          <w:top w:w="15" w:type="dxa"/>
          <w:left w:w="15" w:type="dxa"/>
          <w:bottom w:w="15" w:type="dxa"/>
          <w:right w:w="15" w:type="dxa"/>
        </w:tblCellMar>
        <w:tblLook w:val="04A0" w:firstRow="1" w:lastRow="0" w:firstColumn="1" w:lastColumn="0" w:noHBand="0" w:noVBand="1"/>
      </w:tblPr>
      <w:tblGrid>
        <w:gridCol w:w="38"/>
        <w:gridCol w:w="3389"/>
        <w:gridCol w:w="36"/>
        <w:gridCol w:w="121"/>
        <w:gridCol w:w="965"/>
        <w:gridCol w:w="36"/>
        <w:gridCol w:w="36"/>
        <w:gridCol w:w="36"/>
        <w:gridCol w:w="36"/>
        <w:gridCol w:w="121"/>
        <w:gridCol w:w="939"/>
        <w:gridCol w:w="37"/>
        <w:gridCol w:w="36"/>
        <w:gridCol w:w="36"/>
        <w:gridCol w:w="36"/>
        <w:gridCol w:w="121"/>
        <w:gridCol w:w="939"/>
        <w:gridCol w:w="36"/>
        <w:gridCol w:w="36"/>
        <w:gridCol w:w="36"/>
        <w:gridCol w:w="36"/>
        <w:gridCol w:w="121"/>
        <w:gridCol w:w="939"/>
        <w:gridCol w:w="36"/>
      </w:tblGrid>
      <w:tr w:rsidR="00000000">
        <w:trPr>
          <w:divId w:val="294063804"/>
        </w:trPr>
        <w:tc>
          <w:tcPr>
            <w:tcW w:w="50" w:type="pct"/>
            <w:vAlign w:val="center"/>
            <w:hideMark/>
          </w:tcPr>
          <w:p w:rsidR="00000000" w:rsidRDefault="00AE54EE">
            <w:pPr>
              <w:ind w:firstLine="450"/>
              <w:rPr>
                <w:rFonts w:eastAsia="Times New Roman"/>
              </w:rPr>
            </w:pPr>
          </w:p>
        </w:tc>
        <w:tc>
          <w:tcPr>
            <w:tcW w:w="213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3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294063804"/>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29406380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294063804"/>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94063804"/>
        </w:trPr>
        <w:tc>
          <w:tcPr>
            <w:tcW w:w="0" w:type="auto"/>
            <w:gridSpan w:val="3"/>
            <w:shd w:val="clear" w:color="auto" w:fill="CCEE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Equity award acceleration charges, recognized upon change in control</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940638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Transaction costs, recognized as incurred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94063804"/>
        </w:trPr>
        <w:tc>
          <w:tcPr>
            <w:tcW w:w="0" w:type="auto"/>
            <w:gridSpan w:val="3"/>
            <w:shd w:val="clear" w:color="auto" w:fill="CCEE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Additional cost of sales related to the fair value step-up in inventory sold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940638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940638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Facility consolidation costs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940638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Integration costs, recognized as incurred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940638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L3Harris Merger-related charges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218273362"/>
        <w:rPr>
          <w:rFonts w:eastAsia="Times New Roman"/>
        </w:rPr>
      </w:pPr>
      <w:r>
        <w:rPr>
          <w:rFonts w:eastAsia="Times New Roman"/>
          <w:color w:val="000000"/>
          <w:sz w:val="20"/>
          <w:szCs w:val="20"/>
        </w:rPr>
        <w:t>Because the L3Harris Merger benefited the entire Company as opposed to any individual business segment, the above costs were not allocated to any business segment. Most of the costs above were recorded in the “Engineering, selling and administrative expe</w:t>
      </w:r>
      <w:r>
        <w:rPr>
          <w:rFonts w:eastAsia="Times New Roman"/>
          <w:color w:val="000000"/>
          <w:sz w:val="20"/>
          <w:szCs w:val="20"/>
        </w:rPr>
        <w:t>nses” line item in our Consolidated Statement of Income, except for additional cost of sales related to the fair value step-up in inventory sold and facility consolidation costs. These costs are included in the “Cost of product sales and services” and “Imp</w:t>
      </w:r>
      <w:r>
        <w:rPr>
          <w:rFonts w:eastAsia="Times New Roman"/>
          <w:color w:val="000000"/>
          <w:sz w:val="20"/>
          <w:szCs w:val="20"/>
        </w:rPr>
        <w:t>airment of goodwill and other assets” line items in our Consolidated Statement of Income, respectively.</w:t>
      </w:r>
    </w:p>
    <w:p w:rsidR="00000000" w:rsidRDefault="00AE54EE">
      <w:pPr>
        <w:ind w:firstLine="450"/>
        <w:divId w:val="1361275644"/>
        <w:rPr>
          <w:rFonts w:eastAsia="Times New Roman"/>
        </w:rPr>
      </w:pPr>
      <w:r>
        <w:rPr>
          <w:rFonts w:eastAsia="Times New Roman"/>
          <w:color w:val="000000"/>
          <w:sz w:val="20"/>
          <w:szCs w:val="20"/>
        </w:rPr>
        <w:t xml:space="preserve">As described in more detail in </w:t>
      </w:r>
      <w:r>
        <w:rPr>
          <w:rFonts w:eastAsia="Times New Roman"/>
          <w:i/>
          <w:iCs/>
          <w:color w:val="000000"/>
          <w:sz w:val="20"/>
          <w:szCs w:val="20"/>
        </w:rPr>
        <w:t>Note 1: Significant Accounting Policies</w:t>
      </w:r>
      <w:r>
        <w:rPr>
          <w:rFonts w:eastAsia="Times New Roman"/>
          <w:color w:val="000000"/>
          <w:sz w:val="20"/>
          <w:szCs w:val="20"/>
        </w:rPr>
        <w:t xml:space="preserve"> in the Notes, effective June 29, 2019, we changed our fiscal year end to the Frid</w:t>
      </w:r>
      <w:r>
        <w:rPr>
          <w:rFonts w:eastAsia="Times New Roman"/>
          <w:color w:val="000000"/>
          <w:sz w:val="20"/>
          <w:szCs w:val="20"/>
        </w:rPr>
        <w:t>ay nearest December 31, and the period that commenced on June 29, 2019 was a fiscal transition period that ended on January 3, 2020. References herein to the four quarters ended January 3, 2020 and two quarters ended December 28, 2018 represent the unaudit</w:t>
      </w:r>
      <w:r>
        <w:rPr>
          <w:rFonts w:eastAsia="Times New Roman"/>
          <w:color w:val="000000"/>
          <w:sz w:val="20"/>
          <w:szCs w:val="20"/>
        </w:rPr>
        <w:t>ed prior year results for the comparative periods ended January 3, 2020 and December 28, 2018.</w:t>
      </w:r>
    </w:p>
    <w:p w:rsidR="00000000" w:rsidRDefault="00AE54EE">
      <w:pPr>
        <w:ind w:firstLine="450"/>
        <w:divId w:val="1894152770"/>
        <w:rPr>
          <w:rFonts w:eastAsia="Times New Roman"/>
        </w:rPr>
      </w:pPr>
      <w:r>
        <w:rPr>
          <w:rFonts w:eastAsia="Times New Roman"/>
          <w:color w:val="000000"/>
          <w:sz w:val="20"/>
          <w:szCs w:val="20"/>
        </w:rPr>
        <w:t>Amounts in this Report may not always add to totals due to rounding.</w:t>
      </w:r>
    </w:p>
    <w:p w:rsidR="00000000" w:rsidRDefault="00AE54EE">
      <w:pPr>
        <w:ind w:firstLine="450"/>
        <w:jc w:val="center"/>
        <w:divId w:val="1459840531"/>
        <w:rPr>
          <w:rFonts w:eastAsia="Times New Roman"/>
        </w:rPr>
      </w:pPr>
      <w:r>
        <w:rPr>
          <w:rFonts w:eastAsia="Times New Roman"/>
          <w:color w:val="000000"/>
          <w:sz w:val="20"/>
          <w:szCs w:val="20"/>
        </w:rPr>
        <w:t>33</w:t>
      </w:r>
    </w:p>
    <w:p w:rsidR="00000000" w:rsidRDefault="00AE54EE">
      <w:pPr>
        <w:rPr>
          <w:rFonts w:eastAsia="Times New Roman"/>
        </w:rPr>
      </w:pPr>
      <w:r>
        <w:rPr>
          <w:rFonts w:eastAsia="Times New Roman"/>
        </w:rPr>
        <w:pict>
          <v:rect id="_x0000_i1061" style="width:0;height:1.5pt" o:hralign="center" o:hrstd="t" o:hr="t" fillcolor="#a0a0a0" stroked="f"/>
        </w:pict>
      </w:r>
    </w:p>
    <w:p w:rsidR="00000000" w:rsidRDefault="00AE54EE">
      <w:pPr>
        <w:ind w:firstLine="450"/>
        <w:divId w:val="404573722"/>
        <w:rPr>
          <w:rFonts w:eastAsia="Times New Roman"/>
        </w:rPr>
      </w:pPr>
    </w:p>
    <w:p w:rsidR="00000000" w:rsidRDefault="00AE54EE">
      <w:pPr>
        <w:divId w:val="1424259395"/>
        <w:rPr>
          <w:rFonts w:eastAsia="Times New Roman"/>
        </w:rPr>
      </w:pPr>
      <w:r>
        <w:rPr>
          <w:rFonts w:eastAsia="Times New Roman"/>
          <w:b/>
          <w:bCs/>
          <w:color w:val="000000"/>
          <w:sz w:val="20"/>
          <w:szCs w:val="20"/>
        </w:rPr>
        <w:t xml:space="preserve">Value Drivers of Our Business </w:t>
      </w:r>
    </w:p>
    <w:p w:rsidR="00000000" w:rsidRDefault="00AE54EE">
      <w:pPr>
        <w:ind w:firstLine="450"/>
        <w:divId w:val="854806116"/>
        <w:rPr>
          <w:rFonts w:eastAsia="Times New Roman"/>
        </w:rPr>
      </w:pPr>
      <w:r>
        <w:rPr>
          <w:rFonts w:eastAsia="Times New Roman"/>
          <w:color w:val="000000"/>
          <w:sz w:val="20"/>
          <w:szCs w:val="20"/>
        </w:rPr>
        <w:t>During fiscal 2021, we made progress executing our strategy of building a technology-focused operating company and becoming a full end-to-end mission solutions prime contractor to drive s</w:t>
      </w:r>
      <w:r>
        <w:rPr>
          <w:rFonts w:eastAsia="Times New Roman"/>
          <w:color w:val="000000"/>
          <w:sz w:val="20"/>
          <w:szCs w:val="20"/>
        </w:rPr>
        <w:t xml:space="preserve">hareholder value. Despite impacts from COVID, global supply chain delays and award timing, we met customer commitments, delivered organic revenue growth during fiscal 2021, exceeded our target of $320 million to $350 million in net cost synergies from the </w:t>
      </w:r>
      <w:r>
        <w:rPr>
          <w:rFonts w:eastAsia="Times New Roman"/>
          <w:color w:val="000000"/>
          <w:sz w:val="20"/>
          <w:szCs w:val="20"/>
        </w:rPr>
        <w:t xml:space="preserve">L3Harris Merger by the end of 2021 and completed portfolio shaping, while continuing to focus on keeping our employees safe. </w:t>
      </w:r>
    </w:p>
    <w:p w:rsidR="00000000" w:rsidRDefault="00AE54EE">
      <w:pPr>
        <w:ind w:firstLine="450"/>
        <w:divId w:val="1598905603"/>
        <w:rPr>
          <w:rFonts w:eastAsia="Times New Roman"/>
        </w:rPr>
      </w:pPr>
      <w:r>
        <w:rPr>
          <w:rFonts w:eastAsia="Times New Roman"/>
          <w:color w:val="000000"/>
          <w:sz w:val="20"/>
          <w:szCs w:val="20"/>
        </w:rPr>
        <w:t>We received several key strategic contract awards in fiscal 2021, establishing us as a mission solutions prime contractor with our</w:t>
      </w:r>
      <w:r>
        <w:rPr>
          <w:rFonts w:eastAsia="Times New Roman"/>
          <w:color w:val="000000"/>
          <w:sz w:val="20"/>
          <w:szCs w:val="20"/>
        </w:rPr>
        <w:t xml:space="preserve"> responsive satellites within missile defense and international aircraft missionization within ISR, as well as highlighting our technology and solutions for the contested environments our customers will need to compete and operate within in the future. We </w:t>
      </w:r>
      <w:r>
        <w:rPr>
          <w:rFonts w:eastAsia="Times New Roman"/>
          <w:color w:val="000000"/>
          <w:sz w:val="20"/>
          <w:szCs w:val="20"/>
        </w:rPr>
        <w:t>also invested $692 million (4 percent of total revenue) in company-sponsored R&amp;D focused on technologies that expand our capabilities in the following areas:</w:t>
      </w:r>
    </w:p>
    <w:p w:rsidR="00000000" w:rsidRDefault="00AE54EE">
      <w:pPr>
        <w:ind w:hanging="360"/>
        <w:divId w:val="1842236197"/>
        <w:rPr>
          <w:rFonts w:eastAsia="Times New Roman"/>
        </w:rPr>
      </w:pPr>
      <w:r>
        <w:rPr>
          <w:rFonts w:eastAsia="Times New Roman"/>
          <w:color w:val="000000"/>
          <w:sz w:val="20"/>
          <w:szCs w:val="20"/>
        </w:rPr>
        <w:t>•Spectrum superiority;</w:t>
      </w:r>
    </w:p>
    <w:p w:rsidR="00000000" w:rsidRDefault="00AE54EE">
      <w:pPr>
        <w:ind w:hanging="360"/>
        <w:divId w:val="2012834182"/>
        <w:rPr>
          <w:rFonts w:eastAsia="Times New Roman"/>
        </w:rPr>
      </w:pPr>
      <w:r>
        <w:rPr>
          <w:rFonts w:eastAsia="Times New Roman"/>
          <w:color w:val="000000"/>
          <w:sz w:val="20"/>
          <w:szCs w:val="20"/>
        </w:rPr>
        <w:t xml:space="preserve">•Actionable intelligence; and </w:t>
      </w:r>
    </w:p>
    <w:p w:rsidR="00000000" w:rsidRDefault="00AE54EE">
      <w:pPr>
        <w:ind w:hanging="360"/>
        <w:divId w:val="1527016189"/>
        <w:rPr>
          <w:rFonts w:eastAsia="Times New Roman"/>
        </w:rPr>
      </w:pPr>
      <w:r>
        <w:rPr>
          <w:rFonts w:eastAsia="Times New Roman"/>
          <w:color w:val="000000"/>
          <w:sz w:val="20"/>
          <w:szCs w:val="20"/>
        </w:rPr>
        <w:t>•</w:t>
      </w:r>
      <w:r>
        <w:rPr>
          <w:rFonts w:eastAsia="Times New Roman"/>
          <w:color w:val="000000"/>
          <w:sz w:val="20"/>
          <w:szCs w:val="20"/>
        </w:rPr>
        <w:t>Warfighter effectiveness.</w:t>
      </w:r>
    </w:p>
    <w:p w:rsidR="00000000" w:rsidRDefault="00AE54EE">
      <w:pPr>
        <w:ind w:firstLine="450"/>
        <w:divId w:val="573662685"/>
        <w:rPr>
          <w:rFonts w:eastAsia="Times New Roman"/>
        </w:rPr>
      </w:pPr>
      <w:r>
        <w:rPr>
          <w:rFonts w:eastAsia="Times New Roman"/>
          <w:color w:val="000000"/>
          <w:sz w:val="20"/>
          <w:szCs w:val="20"/>
        </w:rPr>
        <w:t>We also completed reshaping our portfolio to focus on technology-differentiated businesses and expanded our future financial flexibility by completing six divestitures and used the proceeds, along with our net cash provided by ope</w:t>
      </w:r>
      <w:r>
        <w:rPr>
          <w:rFonts w:eastAsia="Times New Roman"/>
          <w:color w:val="000000"/>
          <w:sz w:val="20"/>
          <w:szCs w:val="20"/>
        </w:rPr>
        <w:t>rating activities, to repurchase shares of our common stock.</w:t>
      </w:r>
    </w:p>
    <w:p w:rsidR="00000000" w:rsidRDefault="00AE54EE">
      <w:pPr>
        <w:ind w:firstLine="435"/>
        <w:divId w:val="1992756907"/>
        <w:rPr>
          <w:rFonts w:eastAsia="Times New Roman"/>
        </w:rPr>
      </w:pPr>
      <w:r>
        <w:rPr>
          <w:rFonts w:eastAsia="Times New Roman"/>
          <w:color w:val="000000"/>
          <w:sz w:val="20"/>
          <w:szCs w:val="20"/>
        </w:rPr>
        <w:t>Effective January 1, 2022, we have streamlined our business segments from four to three business segments. As a result of the segment reorganization, the Aviation Systems segment was eliminated a</w:t>
      </w:r>
      <w:r>
        <w:rPr>
          <w:rFonts w:eastAsia="Times New Roman"/>
          <w:color w:val="000000"/>
          <w:sz w:val="20"/>
          <w:szCs w:val="20"/>
        </w:rPr>
        <w:t>s a business segment. Effective for fiscal 2022, which began January 1, 2022, we will report our financial results in three reportable segments. As part of this process, we formed an internal entity that will be focused on pulling together innovative solut</w:t>
      </w:r>
      <w:r>
        <w:rPr>
          <w:rFonts w:eastAsia="Times New Roman"/>
          <w:color w:val="000000"/>
          <w:sz w:val="20"/>
          <w:szCs w:val="20"/>
        </w:rPr>
        <w:t>ions and technologies from across L3Harris.</w:t>
      </w:r>
    </w:p>
    <w:p w:rsidR="00000000" w:rsidRDefault="00AE54EE">
      <w:pPr>
        <w:ind w:firstLine="450"/>
        <w:divId w:val="823737176"/>
        <w:rPr>
          <w:rFonts w:eastAsia="Times New Roman"/>
        </w:rPr>
      </w:pPr>
      <w:r>
        <w:rPr>
          <w:rFonts w:eastAsia="Times New Roman"/>
          <w:color w:val="000000"/>
          <w:sz w:val="20"/>
          <w:szCs w:val="20"/>
        </w:rPr>
        <w:t>We plan to build on our fiscal 2021 momentum, and together with broad support for our programs across key areas in the DoD budget, expected international growth, L3Harris Merger synergies and a continued focus on</w:t>
      </w:r>
      <w:r>
        <w:rPr>
          <w:rFonts w:eastAsia="Times New Roman"/>
          <w:color w:val="000000"/>
          <w:sz w:val="20"/>
          <w:szCs w:val="20"/>
        </w:rPr>
        <w:t xml:space="preserve"> operational excellence and innovation, we believe we are well positioned to achieve our strategic priorities for fiscal 2022 and thereafter, which include the following: </w:t>
      </w:r>
    </w:p>
    <w:p w:rsidR="00000000" w:rsidRDefault="00AE54EE">
      <w:pPr>
        <w:ind w:hanging="360"/>
        <w:divId w:val="1199315718"/>
        <w:rPr>
          <w:rFonts w:eastAsia="Times New Roman"/>
        </w:rPr>
      </w:pPr>
      <w:r>
        <w:rPr>
          <w:rFonts w:eastAsia="Times New Roman"/>
          <w:color w:val="000000"/>
          <w:sz w:val="20"/>
          <w:szCs w:val="20"/>
        </w:rPr>
        <w:t>•Investing in innovation internally and externally to support sustainable growth and</w:t>
      </w:r>
      <w:r>
        <w:rPr>
          <w:rFonts w:eastAsia="Times New Roman"/>
          <w:color w:val="000000"/>
          <w:sz w:val="20"/>
          <w:szCs w:val="20"/>
        </w:rPr>
        <w:t xml:space="preserve"> to bring unique technologies to global defense customers; </w:t>
      </w:r>
    </w:p>
    <w:p w:rsidR="00000000" w:rsidRDefault="00AE54EE">
      <w:pPr>
        <w:ind w:hanging="360"/>
        <w:divId w:val="1294944252"/>
        <w:rPr>
          <w:rFonts w:eastAsia="Times New Roman"/>
        </w:rPr>
      </w:pPr>
      <w:r>
        <w:rPr>
          <w:rFonts w:eastAsia="Times New Roman"/>
          <w:color w:val="000000"/>
          <w:sz w:val="20"/>
          <w:szCs w:val="20"/>
        </w:rPr>
        <w:t>•Driving flawless execution through our e3 (excellence, everywhere, every day) operational excellence program; and</w:t>
      </w:r>
    </w:p>
    <w:p w:rsidR="00000000" w:rsidRDefault="00AE54EE">
      <w:pPr>
        <w:ind w:hanging="360"/>
        <w:divId w:val="730621041"/>
        <w:rPr>
          <w:rFonts w:eastAsia="Times New Roman"/>
        </w:rPr>
      </w:pPr>
      <w:r>
        <w:rPr>
          <w:rFonts w:eastAsia="Times New Roman"/>
          <w:color w:val="000000"/>
          <w:sz w:val="20"/>
          <w:szCs w:val="20"/>
        </w:rPr>
        <w:t>•Maximizing cash flows with shareholder friendly capital deployment.</w:t>
      </w:r>
    </w:p>
    <w:p w:rsidR="00000000" w:rsidRDefault="00AE54EE">
      <w:pPr>
        <w:ind w:firstLine="450"/>
        <w:divId w:val="1548297219"/>
        <w:rPr>
          <w:rFonts w:eastAsia="Times New Roman"/>
        </w:rPr>
      </w:pPr>
      <w:r>
        <w:rPr>
          <w:rFonts w:eastAsia="Times New Roman"/>
          <w:color w:val="000000"/>
          <w:sz w:val="20"/>
          <w:szCs w:val="20"/>
        </w:rPr>
        <w:t>During fisca</w:t>
      </w:r>
      <w:r>
        <w:rPr>
          <w:rFonts w:eastAsia="Times New Roman"/>
          <w:color w:val="000000"/>
          <w:sz w:val="20"/>
          <w:szCs w:val="20"/>
        </w:rPr>
        <w:t>l 2021, we returned to our shareholders $817 million through dividends and $3.7 billion through share repurchases. On February 25, 2022, we announced that our Board of Directors approved a 10 percent increase in the quarterly per share cash dividend rate o</w:t>
      </w:r>
      <w:r>
        <w:rPr>
          <w:rFonts w:eastAsia="Times New Roman"/>
          <w:color w:val="000000"/>
          <w:sz w:val="20"/>
          <w:szCs w:val="20"/>
        </w:rPr>
        <w:t xml:space="preserve">n our common stock to $1.12, commencing with the dividend to be declared for the first quarter of 2022, for an annualized per share rate of $4.48. In fiscal 2022, we believe revenue growth across our business segments will improve our operating cash flow, </w:t>
      </w:r>
      <w:r>
        <w:rPr>
          <w:rFonts w:eastAsia="Times New Roman"/>
          <w:color w:val="000000"/>
          <w:sz w:val="20"/>
          <w:szCs w:val="20"/>
        </w:rPr>
        <w:t xml:space="preserve">which we expect to use to strengthen our portfolio while sustaining a shareholder-friendly capital approach. </w:t>
      </w:r>
    </w:p>
    <w:p w:rsidR="00000000" w:rsidRDefault="00AE54EE">
      <w:pPr>
        <w:ind w:firstLine="450"/>
        <w:divId w:val="380519286"/>
        <w:rPr>
          <w:rFonts w:eastAsia="Times New Roman"/>
        </w:rPr>
      </w:pPr>
      <w:r>
        <w:rPr>
          <w:rFonts w:eastAsia="Times New Roman"/>
          <w:color w:val="000000"/>
          <w:sz w:val="20"/>
          <w:szCs w:val="20"/>
        </w:rPr>
        <w:t>Beyond fiscal 2021, we expect three main building blocks will support growth over the next three to five years, although we can give no assurances</w:t>
      </w:r>
      <w:r>
        <w:rPr>
          <w:rFonts w:eastAsia="Times New Roman"/>
          <w:color w:val="000000"/>
          <w:sz w:val="20"/>
          <w:szCs w:val="20"/>
        </w:rPr>
        <w:t xml:space="preserve"> on this growth. First, we have a portfolio that is well aligned with national security priorities for threats identified in the National Defense Strategy. We have aligned our R&amp;D efforts to extend our position through investments in open architecture, mul</w:t>
      </w:r>
      <w:r>
        <w:rPr>
          <w:rFonts w:eastAsia="Times New Roman"/>
          <w:color w:val="000000"/>
          <w:sz w:val="20"/>
          <w:szCs w:val="20"/>
        </w:rPr>
        <w:t>ti-function software-defined technologies, and we anticipate future defense budgets will continue to prioritize spending in the areas in which we are currently well-positioned and investing in new technologies. Second, we are well-positioned to advance our</w:t>
      </w:r>
      <w:r>
        <w:rPr>
          <w:rFonts w:eastAsia="Times New Roman"/>
          <w:color w:val="000000"/>
          <w:sz w:val="20"/>
          <w:szCs w:val="20"/>
        </w:rPr>
        <w:t xml:space="preserve"> strategy of being a leading non-traditional prime. Third, we expect to leverage our sales channels and capitalize on our strengths domestically to support global modernization efforts and drive growth in international revenue.</w:t>
      </w:r>
    </w:p>
    <w:p w:rsidR="00000000" w:rsidRDefault="00AE54EE">
      <w:pPr>
        <w:divId w:val="481047453"/>
        <w:rPr>
          <w:rFonts w:eastAsia="Times New Roman"/>
        </w:rPr>
      </w:pPr>
      <w:r>
        <w:rPr>
          <w:rFonts w:eastAsia="Times New Roman"/>
          <w:b/>
          <w:bCs/>
          <w:color w:val="000000"/>
          <w:sz w:val="20"/>
          <w:szCs w:val="20"/>
        </w:rPr>
        <w:t>Key Indicators</w:t>
      </w:r>
    </w:p>
    <w:p w:rsidR="00000000" w:rsidRDefault="00AE54EE">
      <w:pPr>
        <w:ind w:firstLine="495"/>
        <w:divId w:val="725689169"/>
        <w:rPr>
          <w:rFonts w:eastAsia="Times New Roman"/>
        </w:rPr>
      </w:pPr>
      <w:r>
        <w:rPr>
          <w:rFonts w:eastAsia="Times New Roman"/>
          <w:color w:val="000000"/>
          <w:sz w:val="20"/>
          <w:szCs w:val="20"/>
        </w:rPr>
        <w:t>We believe ou</w:t>
      </w:r>
      <w:r>
        <w:rPr>
          <w:rFonts w:eastAsia="Times New Roman"/>
          <w:color w:val="000000"/>
          <w:sz w:val="20"/>
          <w:szCs w:val="20"/>
        </w:rPr>
        <w:t>r value drivers, when implemented, will improve our financial results, including: revenue; income from continuing operations and income from continuing operations per diluted common share; income from continuing operations as a percentage of revenue; total</w:t>
      </w:r>
      <w:r>
        <w:rPr>
          <w:rFonts w:eastAsia="Times New Roman"/>
          <w:color w:val="000000"/>
          <w:sz w:val="20"/>
          <w:szCs w:val="20"/>
        </w:rPr>
        <w:t xml:space="preserve"> backlog; net cash provided by operating activities; return on invested capital (defined as after-tax operating income from continuing operations divided by the two-point average of invested capital at the beginning and end of the period, where invested ca</w:t>
      </w:r>
      <w:r>
        <w:rPr>
          <w:rFonts w:eastAsia="Times New Roman"/>
          <w:color w:val="000000"/>
          <w:sz w:val="20"/>
          <w:szCs w:val="20"/>
        </w:rPr>
        <w:t>pital equals equity plus debt, less cash and cash equivalents); return on average equity (defined as income from continuing operations divided by the two-point average of equity at the beginning and end of the fiscal period); and consolidated total indebte</w:t>
      </w:r>
      <w:r>
        <w:rPr>
          <w:rFonts w:eastAsia="Times New Roman"/>
          <w:color w:val="000000"/>
          <w:sz w:val="20"/>
          <w:szCs w:val="20"/>
        </w:rPr>
        <w:t xml:space="preserve">dness to total capital ratio. The measure of our success is reflected in our results of operations and liquidity and capital resources key indicators as discussed below. </w:t>
      </w:r>
    </w:p>
    <w:p w:rsidR="00000000" w:rsidRDefault="00AE54EE">
      <w:pPr>
        <w:ind w:firstLine="450"/>
        <w:jc w:val="center"/>
        <w:divId w:val="1630815629"/>
        <w:rPr>
          <w:rFonts w:eastAsia="Times New Roman"/>
        </w:rPr>
      </w:pPr>
      <w:r>
        <w:rPr>
          <w:rFonts w:eastAsia="Times New Roman"/>
          <w:color w:val="000000"/>
          <w:sz w:val="20"/>
          <w:szCs w:val="20"/>
        </w:rPr>
        <w:t>34</w:t>
      </w:r>
    </w:p>
    <w:p w:rsidR="00000000" w:rsidRDefault="00AE54EE">
      <w:pPr>
        <w:rPr>
          <w:rFonts w:eastAsia="Times New Roman"/>
        </w:rPr>
      </w:pPr>
      <w:r>
        <w:rPr>
          <w:rFonts w:eastAsia="Times New Roman"/>
        </w:rPr>
        <w:pict>
          <v:rect id="_x0000_i1062" style="width:0;height:1.5pt" o:hralign="center" o:hrstd="t" o:hr="t" fillcolor="#a0a0a0" stroked="f"/>
        </w:pict>
      </w:r>
    </w:p>
    <w:p w:rsidR="00000000" w:rsidRDefault="00AE54EE">
      <w:pPr>
        <w:ind w:firstLine="450"/>
        <w:divId w:val="1231698968"/>
        <w:rPr>
          <w:rFonts w:eastAsia="Times New Roman"/>
        </w:rPr>
      </w:pPr>
    </w:p>
    <w:p w:rsidR="00000000" w:rsidRDefault="00AE54EE">
      <w:pPr>
        <w:ind w:firstLine="450"/>
        <w:divId w:val="2068986454"/>
        <w:rPr>
          <w:rFonts w:eastAsia="Times New Roman"/>
        </w:rPr>
      </w:pPr>
      <w:r>
        <w:rPr>
          <w:rFonts w:eastAsia="Times New Roman"/>
          <w:b/>
          <w:bCs/>
          <w:i/>
          <w:iCs/>
          <w:color w:val="000000"/>
          <w:sz w:val="20"/>
          <w:szCs w:val="20"/>
        </w:rPr>
        <w:t>Fiscal 2021 Results of Operations Key Indica</w:t>
      </w:r>
      <w:r>
        <w:rPr>
          <w:rFonts w:eastAsia="Times New Roman"/>
          <w:b/>
          <w:bCs/>
          <w:i/>
          <w:iCs/>
          <w:color w:val="000000"/>
          <w:sz w:val="20"/>
          <w:szCs w:val="20"/>
        </w:rPr>
        <w:t>tors:</w:t>
      </w:r>
      <w:r>
        <w:rPr>
          <w:rFonts w:eastAsia="Times New Roman"/>
          <w:color w:val="000000"/>
          <w:sz w:val="20"/>
          <w:szCs w:val="20"/>
        </w:rPr>
        <w:t> Revenue, income from continuing operations, income from continuing operations as a percentage of revenue, income from continuing operations per diluted common share and total backlog represent key measurements of our value drivers:</w:t>
      </w:r>
    </w:p>
    <w:p w:rsidR="00000000" w:rsidRDefault="00AE54EE">
      <w:pPr>
        <w:ind w:hanging="360"/>
        <w:divId w:val="508643304"/>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Revenue decreased</w:t>
      </w:r>
      <w:r>
        <w:rPr>
          <w:rFonts w:eastAsia="Times New Roman"/>
          <w:color w:val="000000"/>
          <w:sz w:val="20"/>
          <w:szCs w:val="20"/>
        </w:rPr>
        <w:t xml:space="preserve"> 2 percent to $17.8 billion in fiscal 2021 from $18.2 billion in fiscal 2020 primarily due to the impact of divestitures within Aviation Systems and supply chain-related constraints within Communication Systems;</w:t>
      </w:r>
    </w:p>
    <w:p w:rsidR="00000000" w:rsidRDefault="00AE54EE">
      <w:pPr>
        <w:ind w:hanging="360"/>
        <w:divId w:val="836112815"/>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Income from continuing operations attributa</w:t>
      </w:r>
      <w:r>
        <w:rPr>
          <w:rFonts w:eastAsia="Times New Roman"/>
          <w:color w:val="000000"/>
          <w:sz w:val="20"/>
          <w:szCs w:val="20"/>
        </w:rPr>
        <w:t>ble to L3Harris common shareholders increased 65 percent to $1,847 million in fiscal 2021 from $1,121 million in fiscal 2020, primarily due to the combined effects of the reasons discussed below under the caption “Operations Review” in this MD&amp;A; particula</w:t>
      </w:r>
      <w:r>
        <w:rPr>
          <w:rFonts w:eastAsia="Times New Roman"/>
          <w:color w:val="000000"/>
          <w:sz w:val="20"/>
          <w:szCs w:val="20"/>
        </w:rPr>
        <w:t>rly, the reduction of non-cash charges for impairments of goodwill and other assets associated with the COVID-related downturn in the commercial aviation market and its impact on customer operations in fiscal 2020;</w:t>
      </w:r>
    </w:p>
    <w:p w:rsidR="00000000" w:rsidRDefault="00AE54EE">
      <w:pPr>
        <w:ind w:hanging="360"/>
        <w:divId w:val="1628386527"/>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Income from continuing operations attrib</w:t>
      </w:r>
      <w:r>
        <w:rPr>
          <w:rFonts w:eastAsia="Times New Roman"/>
          <w:color w:val="000000"/>
          <w:sz w:val="20"/>
          <w:szCs w:val="20"/>
        </w:rPr>
        <w:t xml:space="preserve">utable to L3Harris common shareholders as a percentage of revenue increased to 10 percent in fiscal 2021 from 6 percent in fiscal 2020; </w:t>
      </w:r>
    </w:p>
    <w:p w:rsidR="00000000" w:rsidRDefault="00AE54EE">
      <w:pPr>
        <w:ind w:hanging="360"/>
        <w:divId w:val="1724257124"/>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 xml:space="preserve">Income from continuing operations per diluted common share attributable to L3Harris common shareholders increased 75 percent to $9.09 in fiscal 2021 from $5.19 in fiscal 2020, reflecting the increase in income from continuing operations and lower weighted </w:t>
      </w:r>
      <w:r>
        <w:rPr>
          <w:rFonts w:eastAsia="Times New Roman"/>
          <w:color w:val="000000"/>
          <w:sz w:val="20"/>
          <w:szCs w:val="20"/>
        </w:rPr>
        <w:t>average diluted common shares outstanding due to share repurchases during fiscal 2021; and</w:t>
      </w:r>
    </w:p>
    <w:p w:rsidR="00000000" w:rsidRDefault="00AE54EE">
      <w:pPr>
        <w:ind w:hanging="360"/>
        <w:divId w:val="2019261870"/>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Total backlog decreased 3 percent to $21.1 billion at December 31, 2021 from $21.7 billion at January 1, 2021. Backlog at January 1, 2021 included $1.5 billion asso</w:t>
      </w:r>
      <w:r>
        <w:rPr>
          <w:rFonts w:eastAsia="Times New Roman"/>
          <w:color w:val="000000"/>
          <w:sz w:val="20"/>
          <w:szCs w:val="20"/>
        </w:rPr>
        <w:t>ciated with businesses divested in fiscal 2021.</w:t>
      </w:r>
    </w:p>
    <w:p w:rsidR="00000000" w:rsidRDefault="00AE54EE">
      <w:pPr>
        <w:ind w:firstLine="495"/>
        <w:divId w:val="916209641"/>
        <w:rPr>
          <w:rFonts w:eastAsia="Times New Roman"/>
        </w:rPr>
      </w:pPr>
      <w:r>
        <w:rPr>
          <w:rFonts w:eastAsia="Times New Roman"/>
          <w:color w:val="000000"/>
          <w:sz w:val="20"/>
          <w:szCs w:val="20"/>
        </w:rPr>
        <w:t>Refer to MD&amp;A heading “Operations Review” below in this Report for more information.</w:t>
      </w:r>
    </w:p>
    <w:p w:rsidR="00000000" w:rsidRDefault="00AE54EE">
      <w:pPr>
        <w:ind w:firstLine="450"/>
        <w:divId w:val="1616595590"/>
        <w:rPr>
          <w:rFonts w:eastAsia="Times New Roman"/>
        </w:rPr>
      </w:pPr>
      <w:r>
        <w:rPr>
          <w:rFonts w:eastAsia="Times New Roman"/>
          <w:b/>
          <w:bCs/>
          <w:i/>
          <w:iCs/>
          <w:color w:val="000000"/>
          <w:sz w:val="20"/>
          <w:szCs w:val="20"/>
        </w:rPr>
        <w:t>Fiscal 2021 Liquidity and Capital Resources Key Indicators:</w:t>
      </w:r>
      <w:r>
        <w:rPr>
          <w:rFonts w:eastAsia="Times New Roman"/>
          <w:color w:val="000000"/>
          <w:sz w:val="20"/>
          <w:szCs w:val="20"/>
        </w:rPr>
        <w:t> Net cash provided by operating activities, return on invested c</w:t>
      </w:r>
      <w:r>
        <w:rPr>
          <w:rFonts w:eastAsia="Times New Roman"/>
          <w:color w:val="000000"/>
          <w:sz w:val="20"/>
          <w:szCs w:val="20"/>
        </w:rPr>
        <w:t>apital, return on average equity and our consolidated total indebtedness to total capital ratio also represent key measurements of our value drivers:</w:t>
      </w:r>
    </w:p>
    <w:p w:rsidR="00000000" w:rsidRDefault="00AE54EE">
      <w:pPr>
        <w:ind w:hanging="360"/>
        <w:divId w:val="129907628"/>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 xml:space="preserve">Net cash provided by operating activities decreased to $2,687 million in fiscal 2021 from $2,790 million </w:t>
      </w:r>
      <w:r>
        <w:rPr>
          <w:rFonts w:eastAsia="Times New Roman"/>
          <w:color w:val="000000"/>
          <w:sz w:val="20"/>
          <w:szCs w:val="20"/>
        </w:rPr>
        <w:t>in fiscal 2020 reflecting higher net income more than offset by the impacts of non-cash charges for goodwill and other assets, business divestitures, depreciation and amortization of assets and the change in working capital;</w:t>
      </w:r>
    </w:p>
    <w:p w:rsidR="00000000" w:rsidRDefault="00AE54EE">
      <w:pPr>
        <w:ind w:hanging="360"/>
        <w:divId w:val="1075206781"/>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Return on invested capital inc</w:t>
      </w:r>
      <w:r>
        <w:rPr>
          <w:rFonts w:eastAsia="Times New Roman"/>
          <w:color w:val="000000"/>
          <w:sz w:val="20"/>
          <w:szCs w:val="20"/>
        </w:rPr>
        <w:t>reased to 7 percent in fiscal 2021 from 4 percent in fiscal 2020;</w:t>
      </w:r>
    </w:p>
    <w:p w:rsidR="00000000" w:rsidRDefault="00AE54EE">
      <w:pPr>
        <w:ind w:hanging="360"/>
        <w:divId w:val="199560154"/>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Return on average equity increased to 9 percent in fiscal 2021 from 5 percent in fiscal 2020; and</w:t>
      </w:r>
    </w:p>
    <w:p w:rsidR="00000000" w:rsidRDefault="00AE54EE">
      <w:pPr>
        <w:ind w:hanging="360"/>
        <w:divId w:val="756900661"/>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Our consolidated total indebtedness to total capital ratio at December 31, 2021 was 26.8 p</w:t>
      </w:r>
      <w:r>
        <w:rPr>
          <w:rFonts w:eastAsia="Times New Roman"/>
          <w:color w:val="000000"/>
          <w:sz w:val="20"/>
          <w:szCs w:val="20"/>
        </w:rPr>
        <w:t>ercent compared with our 65 percent covenant limitation under our senior unsecured revolving credit facility.</w:t>
      </w:r>
    </w:p>
    <w:p w:rsidR="00000000" w:rsidRDefault="00AE54EE">
      <w:pPr>
        <w:ind w:firstLine="450"/>
        <w:divId w:val="3408699"/>
        <w:rPr>
          <w:rFonts w:eastAsia="Times New Roman"/>
        </w:rPr>
      </w:pPr>
      <w:r>
        <w:rPr>
          <w:rFonts w:eastAsia="Times New Roman"/>
          <w:color w:val="000000"/>
          <w:sz w:val="20"/>
          <w:szCs w:val="20"/>
        </w:rPr>
        <w:t>Refer to MD&amp;A heading “Liquidity, Capital Resources and Financial Strategies” below in this Report for more information on net cash provided by (u</w:t>
      </w:r>
      <w:r>
        <w:rPr>
          <w:rFonts w:eastAsia="Times New Roman"/>
          <w:color w:val="000000"/>
          <w:sz w:val="20"/>
          <w:szCs w:val="20"/>
        </w:rPr>
        <w:t>sed in) operating, investing and financing activities.</w:t>
      </w:r>
    </w:p>
    <w:p w:rsidR="00000000" w:rsidRDefault="00AE54EE">
      <w:pPr>
        <w:ind w:firstLine="450"/>
        <w:divId w:val="2055813328"/>
        <w:rPr>
          <w:rFonts w:eastAsia="Times New Roman"/>
        </w:rPr>
      </w:pPr>
      <w:r>
        <w:rPr>
          <w:rFonts w:eastAsia="Times New Roman"/>
          <w:color w:val="000000"/>
          <w:sz w:val="20"/>
          <w:szCs w:val="20"/>
        </w:rPr>
        <w:t xml:space="preserve">We also measure the success of our business using certain measures that are not defined by GAAP, such as adjusted earnings before interest and taxes, adjusted earnings per share and adjusted free cash </w:t>
      </w:r>
      <w:r>
        <w:rPr>
          <w:rFonts w:eastAsia="Times New Roman"/>
          <w:color w:val="000000"/>
          <w:sz w:val="20"/>
          <w:szCs w:val="20"/>
        </w:rPr>
        <w:t>flow, which may be calculated differently by other companies. We use these measures, along with our key indicators above, to assess the success of our business and our ability to create shareholder value. We also use some of these and other performance met</w:t>
      </w:r>
      <w:r>
        <w:rPr>
          <w:rFonts w:eastAsia="Times New Roman"/>
          <w:color w:val="000000"/>
          <w:sz w:val="20"/>
          <w:szCs w:val="20"/>
        </w:rPr>
        <w:t>rics for executive compensation purposes.</w:t>
      </w:r>
    </w:p>
    <w:p w:rsidR="00000000" w:rsidRDefault="00AE54EE">
      <w:pPr>
        <w:divId w:val="268438902"/>
        <w:rPr>
          <w:rFonts w:eastAsia="Times New Roman"/>
        </w:rPr>
      </w:pPr>
      <w:r>
        <w:rPr>
          <w:rFonts w:eastAsia="Times New Roman"/>
          <w:b/>
          <w:bCs/>
          <w:color w:val="000000"/>
          <w:sz w:val="20"/>
          <w:szCs w:val="20"/>
        </w:rPr>
        <w:t xml:space="preserve">Industry-Wide Opportunities, Challenges and Risks </w:t>
      </w:r>
    </w:p>
    <w:p w:rsidR="00000000" w:rsidRDefault="00AE54EE">
      <w:pPr>
        <w:ind w:firstLine="495"/>
        <w:divId w:val="57410732"/>
        <w:rPr>
          <w:rFonts w:eastAsia="Times New Roman"/>
        </w:rPr>
      </w:pPr>
      <w:r>
        <w:rPr>
          <w:rFonts w:eastAsia="Times New Roman"/>
          <w:b/>
          <w:bCs/>
          <w:i/>
          <w:iCs/>
          <w:color w:val="000000"/>
          <w:sz w:val="20"/>
          <w:szCs w:val="20"/>
        </w:rPr>
        <w:t>Department of Defense and Other U.S. Federal Markets:</w:t>
      </w:r>
      <w:r>
        <w:rPr>
          <w:rFonts w:eastAsia="Times New Roman"/>
          <w:color w:val="000000"/>
          <w:sz w:val="20"/>
          <w:szCs w:val="20"/>
        </w:rPr>
        <w:t> Our largest customers are various departments and agencies of the U.S. Government — the percentage of our rev</w:t>
      </w:r>
      <w:r>
        <w:rPr>
          <w:rFonts w:eastAsia="Times New Roman"/>
          <w:color w:val="000000"/>
          <w:sz w:val="20"/>
          <w:szCs w:val="20"/>
        </w:rPr>
        <w:t xml:space="preserve">enue that was derived from sales to U.S. Government customers, including foreign military sales funded through the U.S. Government, whether directly or through prime contractors, was 75 percent, 78 percent, 73 percent and 77 percent in fiscal 2021, fiscal </w:t>
      </w:r>
      <w:r>
        <w:rPr>
          <w:rFonts w:eastAsia="Times New Roman"/>
          <w:color w:val="000000"/>
          <w:sz w:val="20"/>
          <w:szCs w:val="20"/>
        </w:rPr>
        <w:t xml:space="preserve">2020, the two quarters ended January 3, 2020 and fiscal 2019, respectively. </w:t>
      </w:r>
    </w:p>
    <w:p w:rsidR="00000000" w:rsidRDefault="00AE54EE">
      <w:pPr>
        <w:ind w:firstLine="450"/>
        <w:divId w:val="867061980"/>
        <w:rPr>
          <w:rFonts w:eastAsia="Times New Roman"/>
        </w:rPr>
      </w:pPr>
      <w:r>
        <w:rPr>
          <w:rFonts w:eastAsia="Times New Roman"/>
          <w:color w:val="000000"/>
          <w:sz w:val="20"/>
          <w:szCs w:val="20"/>
        </w:rPr>
        <w:t>On December 27, 2020, the President signed into law the Consolidated Appropriations Act, 2021, providing annual funding for the DoD and other government agencies. This bill approp</w:t>
      </w:r>
      <w:r>
        <w:rPr>
          <w:rFonts w:eastAsia="Times New Roman"/>
          <w:color w:val="000000"/>
          <w:sz w:val="20"/>
          <w:szCs w:val="20"/>
        </w:rPr>
        <w:t>riates $635 billion in total DoD base funding and $69 billion in Overseas Contingency Operations (“OCO”) funding. It also appropriates $28 billion for the Department of Energy national security mission and $9 billion for other defense related activities, r</w:t>
      </w:r>
      <w:r>
        <w:rPr>
          <w:rFonts w:eastAsia="Times New Roman"/>
          <w:color w:val="000000"/>
          <w:sz w:val="20"/>
          <w:szCs w:val="20"/>
        </w:rPr>
        <w:t>esulting in total national defense funding of $741 billion for government fiscal year (“GFY”) 2021. (U.S. Government fiscal years begin October 1 and end September 30). In May 2021, President Biden released his GFY 2022 Budget Request. His request includes</w:t>
      </w:r>
      <w:r>
        <w:rPr>
          <w:rFonts w:eastAsia="Times New Roman"/>
          <w:color w:val="000000"/>
          <w:sz w:val="20"/>
          <w:szCs w:val="20"/>
        </w:rPr>
        <w:t xml:space="preserve"> $715 billion in DoD base funding, $28 billion for the Department of Energy and $10 billion for other defense related activities, resulting in total requested national defense funding of $753 billion for GFY 2022.</w:t>
      </w:r>
    </w:p>
    <w:p w:rsidR="00000000" w:rsidRDefault="00AE54EE">
      <w:pPr>
        <w:ind w:firstLine="450"/>
        <w:divId w:val="633483266"/>
        <w:rPr>
          <w:rFonts w:eastAsia="Times New Roman"/>
        </w:rPr>
      </w:pPr>
      <w:r>
        <w:rPr>
          <w:rFonts w:eastAsia="Times New Roman"/>
          <w:b/>
          <w:bCs/>
          <w:i/>
          <w:iCs/>
          <w:color w:val="000000"/>
          <w:sz w:val="20"/>
          <w:szCs w:val="20"/>
        </w:rPr>
        <w:t>Government Oversight and Risk:</w:t>
      </w:r>
      <w:r>
        <w:rPr>
          <w:rFonts w:eastAsia="Times New Roman"/>
          <w:color w:val="000000"/>
          <w:sz w:val="20"/>
          <w:szCs w:val="20"/>
        </w:rPr>
        <w:t> As a U.S. Government contractor, we are subject to U.S. Government oversight. The U.S. Government may investigate our business practices and audit our compliance with applicable rules and regulations. Depending on the results</w:t>
      </w:r>
      <w:r>
        <w:rPr>
          <w:rFonts w:eastAsia="Times New Roman"/>
          <w:color w:val="000000"/>
          <w:sz w:val="20"/>
          <w:szCs w:val="20"/>
        </w:rPr>
        <w:t xml:space="preserve"> of those investigations and audits, the U.S. Government could make claims against us. Under U.S. Government </w:t>
      </w:r>
    </w:p>
    <w:p w:rsidR="00000000" w:rsidRDefault="00AE54EE">
      <w:pPr>
        <w:ind w:firstLine="450"/>
        <w:jc w:val="center"/>
        <w:divId w:val="1113398453"/>
        <w:rPr>
          <w:rFonts w:eastAsia="Times New Roman"/>
        </w:rPr>
      </w:pPr>
      <w:r>
        <w:rPr>
          <w:rFonts w:eastAsia="Times New Roman"/>
          <w:color w:val="000000"/>
          <w:sz w:val="20"/>
          <w:szCs w:val="20"/>
        </w:rPr>
        <w:t>35</w:t>
      </w:r>
    </w:p>
    <w:p w:rsidR="00000000" w:rsidRDefault="00AE54EE">
      <w:pPr>
        <w:rPr>
          <w:rFonts w:eastAsia="Times New Roman"/>
        </w:rPr>
      </w:pPr>
      <w:r>
        <w:rPr>
          <w:rFonts w:eastAsia="Times New Roman"/>
        </w:rPr>
        <w:pict>
          <v:rect id="_x0000_i1063" style="width:0;height:1.5pt" o:hralign="center" o:hrstd="t" o:hr="t" fillcolor="#a0a0a0" stroked="f"/>
        </w:pict>
      </w:r>
    </w:p>
    <w:p w:rsidR="00000000" w:rsidRDefault="00AE54EE">
      <w:pPr>
        <w:ind w:firstLine="450"/>
        <w:divId w:val="1057779845"/>
        <w:rPr>
          <w:rFonts w:eastAsia="Times New Roman"/>
        </w:rPr>
      </w:pPr>
    </w:p>
    <w:p w:rsidR="00000000" w:rsidRDefault="00AE54EE">
      <w:pPr>
        <w:divId w:val="1506361744"/>
        <w:rPr>
          <w:rFonts w:eastAsia="Times New Roman"/>
        </w:rPr>
      </w:pPr>
      <w:r>
        <w:rPr>
          <w:rFonts w:eastAsia="Times New Roman"/>
          <w:color w:val="000000"/>
          <w:sz w:val="20"/>
          <w:szCs w:val="20"/>
        </w:rPr>
        <w:t>procurement regulations and practices, an indictment or conviction of a government contractor could resu</w:t>
      </w:r>
      <w:r>
        <w:rPr>
          <w:rFonts w:eastAsia="Times New Roman"/>
          <w:color w:val="000000"/>
          <w:sz w:val="20"/>
          <w:szCs w:val="20"/>
        </w:rPr>
        <w:t xml:space="preserve">lt in that contractor being fined and/or suspended from being able to bid on, or from being awarded, new U.S. Government contracts for a period of time determined by the U.S. Government. Similar government oversight exists in most other countries where we </w:t>
      </w:r>
      <w:r>
        <w:rPr>
          <w:rFonts w:eastAsia="Times New Roman"/>
          <w:color w:val="000000"/>
          <w:sz w:val="20"/>
          <w:szCs w:val="20"/>
        </w:rPr>
        <w:t>conduct business.</w:t>
      </w:r>
    </w:p>
    <w:p w:rsidR="00000000" w:rsidRDefault="00AE54EE">
      <w:pPr>
        <w:ind w:firstLine="450"/>
        <w:divId w:val="1352031602"/>
        <w:rPr>
          <w:rFonts w:eastAsia="Times New Roman"/>
        </w:rPr>
      </w:pPr>
      <w:r>
        <w:rPr>
          <w:rFonts w:eastAsia="Times New Roman"/>
          <w:color w:val="000000"/>
          <w:sz w:val="20"/>
          <w:szCs w:val="20"/>
        </w:rPr>
        <w:t>For a discussion of risks relating to U.S. Government contracts and subcontracts, see “Item 1. Business — Principal Customers; Government Contracts” and “Item 1A. Risk Factors” of this Report. We are also subject to other risks associated</w:t>
      </w:r>
      <w:r>
        <w:rPr>
          <w:rFonts w:eastAsia="Times New Roman"/>
          <w:color w:val="000000"/>
          <w:sz w:val="20"/>
          <w:szCs w:val="20"/>
        </w:rPr>
        <w:t xml:space="preserve"> with U.S. Government business, including technological uncertainties, dependence on annual appropriations and allotment of funds, extensive regulations and other risks, which are discussed in “Item 1A. Risk Factors” and “Item 3. Legal Proceedings” of this</w:t>
      </w:r>
      <w:r>
        <w:rPr>
          <w:rFonts w:eastAsia="Times New Roman"/>
          <w:color w:val="000000"/>
          <w:sz w:val="20"/>
          <w:szCs w:val="20"/>
        </w:rPr>
        <w:t xml:space="preserve"> Report.</w:t>
      </w:r>
    </w:p>
    <w:p w:rsidR="00000000" w:rsidRDefault="00AE54EE">
      <w:pPr>
        <w:ind w:firstLine="495"/>
        <w:divId w:val="936717"/>
        <w:rPr>
          <w:rFonts w:eastAsia="Times New Roman"/>
        </w:rPr>
      </w:pPr>
      <w:r>
        <w:rPr>
          <w:rFonts w:eastAsia="Times New Roman"/>
          <w:b/>
          <w:bCs/>
          <w:i/>
          <w:iCs/>
          <w:color w:val="000000"/>
          <w:sz w:val="20"/>
          <w:szCs w:val="20"/>
        </w:rPr>
        <w:t>State and Local:</w:t>
      </w:r>
      <w:r>
        <w:rPr>
          <w:rFonts w:eastAsia="Times New Roman"/>
          <w:color w:val="000000"/>
          <w:sz w:val="20"/>
          <w:szCs w:val="20"/>
        </w:rPr>
        <w:t> We also provide products to state and local government agencies that are committed to protecting our homeland and public safety. The public safety market was highly competitive and dependent on state and local government budgets d</w:t>
      </w:r>
      <w:r>
        <w:rPr>
          <w:rFonts w:eastAsia="Times New Roman"/>
          <w:color w:val="000000"/>
          <w:sz w:val="20"/>
          <w:szCs w:val="20"/>
        </w:rPr>
        <w:t>uring fiscal 2020 and fiscal 2021. Revenue in our Public Safety business sector in fiscal 2020 and the first half of fiscal 2021 was adversely impacted by COVID-related pressures on state and local government customers; however, revenue improved in the sec</w:t>
      </w:r>
      <w:r>
        <w:rPr>
          <w:rFonts w:eastAsia="Times New Roman"/>
          <w:color w:val="000000"/>
          <w:sz w:val="20"/>
          <w:szCs w:val="20"/>
        </w:rPr>
        <w:t>ond half of fiscal 2021. Future market opportunities include upgrading aging analog infrastructure to new digital standards, as well as opportunities associated with next-generation Long-Term Evolution (“LTE”) solutions for high data-rate applications.</w:t>
      </w:r>
    </w:p>
    <w:p w:rsidR="00000000" w:rsidRDefault="00AE54EE">
      <w:pPr>
        <w:ind w:firstLine="495"/>
        <w:divId w:val="1579436130"/>
        <w:rPr>
          <w:rFonts w:eastAsia="Times New Roman"/>
        </w:rPr>
      </w:pPr>
      <w:r>
        <w:rPr>
          <w:rFonts w:eastAsia="Times New Roman"/>
          <w:b/>
          <w:bCs/>
          <w:i/>
          <w:iCs/>
          <w:color w:val="000000"/>
          <w:sz w:val="20"/>
          <w:szCs w:val="20"/>
        </w:rPr>
        <w:t>Int</w:t>
      </w:r>
      <w:r>
        <w:rPr>
          <w:rFonts w:eastAsia="Times New Roman"/>
          <w:b/>
          <w:bCs/>
          <w:i/>
          <w:iCs/>
          <w:color w:val="000000"/>
          <w:sz w:val="20"/>
          <w:szCs w:val="20"/>
        </w:rPr>
        <w:t>ernational:</w:t>
      </w:r>
      <w:r>
        <w:rPr>
          <w:rFonts w:eastAsia="Times New Roman"/>
          <w:color w:val="000000"/>
          <w:sz w:val="20"/>
          <w:szCs w:val="20"/>
        </w:rPr>
        <w:t> We believe there is continuing international demand from military and government customers for tactical radios, electronic warfare equipment, products and systems for maritime platforms, air traffic management, release systems and ISR. We belie</w:t>
      </w:r>
      <w:r>
        <w:rPr>
          <w:rFonts w:eastAsia="Times New Roman"/>
          <w:color w:val="000000"/>
          <w:sz w:val="20"/>
          <w:szCs w:val="20"/>
        </w:rPr>
        <w:t>ve we can leverage our domain expertise and proven technology provided in the U.S. to further expand our international business.</w:t>
      </w:r>
    </w:p>
    <w:p w:rsidR="00000000" w:rsidRDefault="00AE54EE">
      <w:pPr>
        <w:ind w:firstLine="450"/>
        <w:divId w:val="1746417809"/>
        <w:rPr>
          <w:rFonts w:eastAsia="Times New Roman"/>
        </w:rPr>
      </w:pPr>
      <w:r>
        <w:rPr>
          <w:rFonts w:eastAsia="Times New Roman"/>
          <w:color w:val="000000"/>
          <w:sz w:val="20"/>
          <w:szCs w:val="20"/>
        </w:rPr>
        <w:t xml:space="preserve">We believe that our experience, technologies and capabilities are well aligned with the demand and requirements of the markets </w:t>
      </w:r>
      <w:r>
        <w:rPr>
          <w:rFonts w:eastAsia="Times New Roman"/>
          <w:color w:val="000000"/>
          <w:sz w:val="20"/>
          <w:szCs w:val="20"/>
        </w:rPr>
        <w:t>noted above in this Report. However, we remain subject to the spending levels, pace and priorities of the U.S. Government, as well as international governments and commercial customers, and to general economic conditions that could adversely affect us, our</w:t>
      </w:r>
      <w:r>
        <w:rPr>
          <w:rFonts w:eastAsia="Times New Roman"/>
          <w:color w:val="000000"/>
          <w:sz w:val="20"/>
          <w:szCs w:val="20"/>
        </w:rPr>
        <w:t xml:space="preserve"> customers and our suppliers. We also remain subject to other risks associated with these markets, including technological uncertainties, adoption of our new products and other risks that are discussed below in this Report under “Forward-Looking Statements</w:t>
      </w:r>
      <w:r>
        <w:rPr>
          <w:rFonts w:eastAsia="Times New Roman"/>
          <w:color w:val="000000"/>
          <w:sz w:val="20"/>
          <w:szCs w:val="20"/>
        </w:rPr>
        <w:t xml:space="preserve"> and Factors that May Affect Future Results” and in “Item 1A. Risk Factors” of this Report.</w:t>
      </w:r>
    </w:p>
    <w:p w:rsidR="00000000" w:rsidRDefault="00AE54EE">
      <w:pPr>
        <w:ind w:firstLine="450"/>
        <w:jc w:val="center"/>
        <w:divId w:val="521281334"/>
        <w:rPr>
          <w:rFonts w:eastAsia="Times New Roman"/>
        </w:rPr>
      </w:pPr>
      <w:r>
        <w:rPr>
          <w:rFonts w:eastAsia="Times New Roman"/>
          <w:color w:val="000000"/>
          <w:sz w:val="20"/>
          <w:szCs w:val="20"/>
        </w:rPr>
        <w:t>36</w:t>
      </w:r>
    </w:p>
    <w:p w:rsidR="00000000" w:rsidRDefault="00AE54EE">
      <w:pPr>
        <w:rPr>
          <w:rFonts w:eastAsia="Times New Roman"/>
        </w:rPr>
      </w:pPr>
      <w:r>
        <w:rPr>
          <w:rFonts w:eastAsia="Times New Roman"/>
        </w:rPr>
        <w:pict>
          <v:rect id="_x0000_i1064" style="width:0;height:1.5pt" o:hralign="center" o:hrstd="t" o:hr="t" fillcolor="#a0a0a0" stroked="f"/>
        </w:pict>
      </w:r>
    </w:p>
    <w:p w:rsidR="00000000" w:rsidRDefault="00AE54EE">
      <w:pPr>
        <w:ind w:firstLine="450"/>
        <w:divId w:val="497885061"/>
        <w:rPr>
          <w:rFonts w:eastAsia="Times New Roman"/>
        </w:rPr>
      </w:pPr>
    </w:p>
    <w:p w:rsidR="00000000" w:rsidRDefault="00AE54EE">
      <w:pPr>
        <w:divId w:val="1281064150"/>
        <w:rPr>
          <w:rFonts w:eastAsia="Times New Roman"/>
        </w:rPr>
      </w:pPr>
      <w:r>
        <w:rPr>
          <w:rFonts w:eastAsia="Times New Roman"/>
          <w:b/>
          <w:bCs/>
          <w:color w:val="000000"/>
          <w:sz w:val="20"/>
          <w:szCs w:val="20"/>
        </w:rPr>
        <w:t>OPERATIONS REVIEW</w:t>
      </w:r>
    </w:p>
    <w:p w:rsidR="00000000" w:rsidRDefault="00AE54EE">
      <w:pPr>
        <w:divId w:val="1280137587"/>
        <w:rPr>
          <w:rFonts w:eastAsia="Times New Roman"/>
        </w:rPr>
      </w:pPr>
      <w:r>
        <w:rPr>
          <w:rFonts w:eastAsia="Times New Roman"/>
          <w:b/>
          <w:bCs/>
          <w:i/>
          <w:iCs/>
          <w:color w:val="000000"/>
          <w:sz w:val="20"/>
          <w:szCs w:val="20"/>
        </w:rPr>
        <w:t>Consolidated Results of Operations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556"/>
        <w:gridCol w:w="39"/>
        <w:gridCol w:w="121"/>
        <w:gridCol w:w="627"/>
        <w:gridCol w:w="187"/>
        <w:gridCol w:w="36"/>
        <w:gridCol w:w="36"/>
        <w:gridCol w:w="36"/>
        <w:gridCol w:w="121"/>
        <w:gridCol w:w="627"/>
        <w:gridCol w:w="187"/>
        <w:gridCol w:w="36"/>
        <w:gridCol w:w="36"/>
        <w:gridCol w:w="36"/>
        <w:gridCol w:w="109"/>
        <w:gridCol w:w="552"/>
        <w:gridCol w:w="187"/>
        <w:gridCol w:w="36"/>
        <w:gridCol w:w="36"/>
        <w:gridCol w:w="36"/>
        <w:gridCol w:w="121"/>
        <w:gridCol w:w="763"/>
        <w:gridCol w:w="188"/>
        <w:gridCol w:w="36"/>
        <w:gridCol w:w="36"/>
        <w:gridCol w:w="36"/>
        <w:gridCol w:w="109"/>
        <w:gridCol w:w="552"/>
        <w:gridCol w:w="187"/>
        <w:gridCol w:w="36"/>
        <w:gridCol w:w="36"/>
        <w:gridCol w:w="36"/>
        <w:gridCol w:w="36"/>
        <w:gridCol w:w="36"/>
        <w:gridCol w:w="121"/>
        <w:gridCol w:w="627"/>
        <w:gridCol w:w="187"/>
        <w:gridCol w:w="36"/>
        <w:gridCol w:w="36"/>
        <w:gridCol w:w="36"/>
        <w:gridCol w:w="109"/>
        <w:gridCol w:w="552"/>
        <w:gridCol w:w="187"/>
      </w:tblGrid>
      <w:tr w:rsidR="00000000">
        <w:trPr>
          <w:divId w:val="1876191083"/>
          <w:jc w:val="center"/>
        </w:trPr>
        <w:tc>
          <w:tcPr>
            <w:tcW w:w="50" w:type="pct"/>
            <w:vAlign w:val="center"/>
            <w:hideMark/>
          </w:tcPr>
          <w:p w:rsidR="00000000" w:rsidRDefault="00AE54EE">
            <w:pPr>
              <w:rPr>
                <w:rFonts w:eastAsia="Times New Roman"/>
              </w:rPr>
            </w:pPr>
          </w:p>
        </w:tc>
        <w:tc>
          <w:tcPr>
            <w:tcW w:w="197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0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0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5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0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5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0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5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876191083"/>
          <w:jc w:val="center"/>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17"/>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Four Quarters Ended</w:t>
            </w: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876191083"/>
          <w:jc w:val="center"/>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trPr>
          <w:divId w:val="1876191083"/>
          <w:jc w:val="center"/>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(Dollars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76191083"/>
          <w:jc w:val="center"/>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76191083"/>
          <w:jc w:val="center"/>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76191083"/>
          <w:jc w:val="center"/>
        </w:trPr>
        <w:tc>
          <w:tcPr>
            <w:tcW w:w="0" w:type="auto"/>
            <w:gridSpan w:val="3"/>
            <w:shd w:val="clear" w:color="auto" w:fill="FFFFFF"/>
            <w:tcMar>
              <w:top w:w="30" w:type="dxa"/>
              <w:left w:w="29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5,839 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5,538 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2,783 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5,360 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CCEEFF"/>
            <w:tcMar>
              <w:top w:w="30" w:type="dxa"/>
              <w:left w:w="29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5,093 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4,946 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4,352 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4,689 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FFFFFF"/>
            <w:tcMar>
              <w:top w:w="30" w:type="dxa"/>
              <w:left w:w="29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Communi</w:t>
            </w:r>
            <w:r>
              <w:rPr>
                <w:rFonts w:eastAsia="Times New Roman"/>
                <w:color w:val="000000"/>
                <w:sz w:val="20"/>
                <w:szCs w:val="20"/>
              </w:rPr>
              <w:t>cation Systems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4,287 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4,443 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3,340 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4,278 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CCEEFF"/>
            <w:tcMar>
              <w:top w:w="30" w:type="dxa"/>
              <w:left w:w="29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2,783 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3,917 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FFFFFF"/>
            <w:tcMar>
              <w:top w:w="30" w:type="dxa"/>
              <w:left w:w="29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CCEEFF"/>
            <w:tcMar>
              <w:top w:w="30" w:type="dxa"/>
              <w:left w:w="29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Corporate eliminations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17,814 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18,194 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cost of product sales and services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(12,438)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(12,886)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(9,088)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(12,907)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76191083"/>
          <w:jc w:val="center"/>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76191083"/>
          <w:jc w:val="center"/>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(3,280)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(3,315)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(2,540)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(3,588)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76191083"/>
          <w:jc w:val="center"/>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FFFF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 xml:space="preserve">Non-operating income </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FFFF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interest expense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CCEEFF"/>
            <w:tcMar>
              <w:top w:w="30" w:type="dxa"/>
              <w:left w:w="20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FFFF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Effective tax rate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76191083"/>
          <w:jc w:val="center"/>
        </w:trPr>
        <w:tc>
          <w:tcPr>
            <w:tcW w:w="0" w:type="auto"/>
            <w:gridSpan w:val="3"/>
            <w:shd w:val="clear" w:color="auto" w:fill="FFFF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FFFFFF"/>
            <w:tcMar>
              <w:top w:w="30" w:type="dxa"/>
              <w:left w:w="20" w:type="dxa"/>
              <w:bottom w:w="30" w:type="dxa"/>
              <w:right w:w="20" w:type="dxa"/>
            </w:tcMar>
            <w:hideMark/>
          </w:tcPr>
          <w:p w:rsidR="00000000" w:rsidRDefault="00AE54EE">
            <w:pPr>
              <w:spacing w:after="100"/>
              <w:ind w:hanging="180"/>
              <w:divId w:val="1069226445"/>
              <w:rPr>
                <w:rFonts w:eastAsia="Times New Roman"/>
              </w:rPr>
            </w:pPr>
            <w:r>
              <w:rPr>
                <w:rFonts w:eastAsia="Times New Roman"/>
                <w:color w:val="000000"/>
                <w:sz w:val="20"/>
                <w:szCs w:val="20"/>
              </w:rPr>
              <w:t>Income from continuing operations attributable to L3Harris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876191083"/>
          <w:jc w:val="center"/>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76191083"/>
          <w:jc w:val="center"/>
        </w:trPr>
        <w:tc>
          <w:tcPr>
            <w:tcW w:w="0" w:type="auto"/>
            <w:gridSpan w:val="3"/>
            <w:shd w:val="clear" w:color="auto" w:fill="FFFFFF"/>
            <w:tcMar>
              <w:top w:w="30" w:type="dxa"/>
              <w:left w:w="20" w:type="dxa"/>
              <w:bottom w:w="30" w:type="dxa"/>
              <w:right w:w="20" w:type="dxa"/>
            </w:tcMar>
            <w:hideMark/>
          </w:tcPr>
          <w:p w:rsidR="00000000" w:rsidRDefault="00AE54EE">
            <w:pPr>
              <w:spacing w:after="100"/>
              <w:ind w:hanging="180"/>
              <w:divId w:val="1631401474"/>
              <w:rPr>
                <w:rFonts w:eastAsia="Times New Roman"/>
              </w:rPr>
            </w:pPr>
            <w:r>
              <w:rPr>
                <w:rFonts w:eastAsia="Times New Roman"/>
                <w:color w:val="000000"/>
                <w:sz w:val="20"/>
                <w:szCs w:val="20"/>
              </w:rPr>
              <w:t>Income from continuing operations per diluted common share attributable to L3Harris common shareholders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7.90 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7.25 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bl>
    <w:p w:rsidR="00000000" w:rsidRDefault="00AE54EE">
      <w:pPr>
        <w:divId w:val="764155906"/>
        <w:rPr>
          <w:rFonts w:eastAsia="Times New Roman"/>
        </w:rPr>
      </w:pPr>
      <w:r>
        <w:rPr>
          <w:rFonts w:eastAsia="Times New Roman"/>
          <w:color w:val="000000"/>
          <w:sz w:val="16"/>
          <w:szCs w:val="16"/>
        </w:rPr>
        <w:t>_________________</w:t>
      </w:r>
    </w:p>
    <w:p w:rsidR="00000000" w:rsidRDefault="00AE54EE">
      <w:pPr>
        <w:ind w:hanging="360"/>
        <w:divId w:val="186021926"/>
        <w:rPr>
          <w:rFonts w:eastAsia="Times New Roman"/>
        </w:rPr>
      </w:pPr>
      <w:r>
        <w:rPr>
          <w:rFonts w:eastAsia="Times New Roman"/>
          <w:color w:val="000000"/>
          <w:sz w:val="16"/>
          <w:szCs w:val="16"/>
        </w:rPr>
        <w:t>*Not meaningful</w:t>
      </w:r>
    </w:p>
    <w:p w:rsidR="00000000" w:rsidRDefault="00AE54EE">
      <w:pPr>
        <w:ind w:firstLine="450"/>
        <w:divId w:val="2107382242"/>
        <w:rPr>
          <w:rFonts w:eastAsia="Times New Roman"/>
        </w:rPr>
      </w:pPr>
      <w:r>
        <w:rPr>
          <w:rFonts w:eastAsia="Times New Roman"/>
          <w:color w:val="000000"/>
          <w:sz w:val="20"/>
          <w:szCs w:val="20"/>
        </w:rPr>
        <w:t xml:space="preserve">Because of the L3Harris Merger, fiscal 2020 reflects the results of the combined Company, while the four quarters ended January 3, 2020 reflect the results of only Harris operating businesses for the two quarters </w:t>
      </w:r>
      <w:r>
        <w:rPr>
          <w:rFonts w:eastAsia="Times New Roman"/>
          <w:color w:val="000000"/>
          <w:sz w:val="20"/>
          <w:szCs w:val="20"/>
        </w:rPr>
        <w:t xml:space="preserve">ended June 28, 2019 and the results of the combined Company for the two quarters ended January 3, 2020. Due to the significance of the L3 operating businesses included in the combined Company results following the L3Harris Merger, the reported results for </w:t>
      </w:r>
      <w:r>
        <w:rPr>
          <w:rFonts w:eastAsia="Times New Roman"/>
          <w:color w:val="000000"/>
          <w:sz w:val="20"/>
          <w:szCs w:val="20"/>
        </w:rPr>
        <w:t>fiscal 2020 and four quarters ended January 3, 2020 generally are not comparable. Therefore, to assist with a discussion of the consolidated results of operations for fiscal 2020 and four quarters ended January 3, 2020 on a more comparable basis, certain s</w:t>
      </w:r>
      <w:r>
        <w:rPr>
          <w:rFonts w:eastAsia="Times New Roman"/>
          <w:color w:val="000000"/>
          <w:sz w:val="20"/>
          <w:szCs w:val="20"/>
        </w:rPr>
        <w:t>upplemental unaudited pro forma condensed combined income statement information, prepared in accordance with the requirements of Article 11 of Regulation S-X (referred to in this MD&amp;A as “pro forma”), also is provided (see “Supplemental Unaudited Pro Forma</w:t>
      </w:r>
      <w:r>
        <w:rPr>
          <w:rFonts w:eastAsia="Times New Roman"/>
          <w:color w:val="000000"/>
          <w:sz w:val="20"/>
          <w:szCs w:val="20"/>
        </w:rPr>
        <w:t xml:space="preserve"> Condensed Combined Income Statement Information” below in this MD&amp;A).</w:t>
      </w:r>
    </w:p>
    <w:p w:rsidR="00000000" w:rsidRDefault="00AE54EE">
      <w:pPr>
        <w:ind w:firstLine="450"/>
        <w:jc w:val="center"/>
        <w:divId w:val="2120448569"/>
        <w:rPr>
          <w:rFonts w:eastAsia="Times New Roman"/>
        </w:rPr>
      </w:pPr>
      <w:r>
        <w:rPr>
          <w:rFonts w:eastAsia="Times New Roman"/>
          <w:color w:val="000000"/>
          <w:sz w:val="20"/>
          <w:szCs w:val="20"/>
        </w:rPr>
        <w:t>37</w:t>
      </w:r>
    </w:p>
    <w:p w:rsidR="00000000" w:rsidRDefault="00AE54EE">
      <w:pPr>
        <w:rPr>
          <w:rFonts w:eastAsia="Times New Roman"/>
        </w:rPr>
      </w:pPr>
      <w:r>
        <w:rPr>
          <w:rFonts w:eastAsia="Times New Roman"/>
        </w:rPr>
        <w:pict>
          <v:rect id="_x0000_i1065" style="width:0;height:1.5pt" o:hralign="center" o:hrstd="t" o:hr="t" fillcolor="#a0a0a0" stroked="f"/>
        </w:pict>
      </w:r>
    </w:p>
    <w:p w:rsidR="00000000" w:rsidRDefault="00AE54EE">
      <w:pPr>
        <w:ind w:firstLine="450"/>
        <w:divId w:val="1986466487"/>
        <w:rPr>
          <w:rFonts w:eastAsia="Times New Roman"/>
        </w:rPr>
      </w:pPr>
    </w:p>
    <w:p w:rsidR="00000000" w:rsidRDefault="00AE54EE">
      <w:pPr>
        <w:jc w:val="both"/>
        <w:divId w:val="1111320624"/>
        <w:rPr>
          <w:rFonts w:eastAsia="Times New Roman"/>
        </w:rPr>
      </w:pPr>
      <w:r>
        <w:rPr>
          <w:rFonts w:eastAsia="Times New Roman"/>
          <w:b/>
          <w:bCs/>
          <w:i/>
          <w:iCs/>
          <w:color w:val="000000"/>
          <w:sz w:val="20"/>
          <w:szCs w:val="20"/>
        </w:rPr>
        <w:t>Revenue</w:t>
      </w:r>
    </w:p>
    <w:p w:rsidR="00000000" w:rsidRDefault="00AE54EE">
      <w:pPr>
        <w:ind w:firstLine="450"/>
        <w:divId w:val="413940309"/>
        <w:rPr>
          <w:rFonts w:eastAsia="Times New Roman"/>
        </w:rPr>
      </w:pPr>
      <w:r>
        <w:rPr>
          <w:rFonts w:eastAsia="Times New Roman"/>
          <w:i/>
          <w:iCs/>
          <w:color w:val="000000"/>
          <w:sz w:val="20"/>
          <w:szCs w:val="20"/>
        </w:rPr>
        <w:t xml:space="preserve">Fiscal 2021 Compared With Fiscal 2020: </w:t>
      </w:r>
      <w:r>
        <w:rPr>
          <w:rFonts w:eastAsia="Times New Roman"/>
          <w:color w:val="000000"/>
          <w:sz w:val="20"/>
          <w:szCs w:val="20"/>
        </w:rPr>
        <w:t>The decrease in revenue in fiscal 2021 compared with fiscal 2020 was primarily due to divestiture</w:t>
      </w:r>
      <w:r>
        <w:rPr>
          <w:rFonts w:eastAsia="Times New Roman"/>
          <w:color w:val="000000"/>
          <w:sz w:val="20"/>
          <w:szCs w:val="20"/>
        </w:rPr>
        <w:t xml:space="preserve">s within Aviation Systems and supply chain-related constraints within Communication Systems. </w:t>
      </w:r>
    </w:p>
    <w:p w:rsidR="00000000" w:rsidRDefault="00AE54EE">
      <w:pPr>
        <w:ind w:firstLine="450"/>
        <w:divId w:val="1436943705"/>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 The increase in revenue in fiscal 2020 compared with the four quarters ended January 3, 2020 was p</w:t>
      </w:r>
      <w:r>
        <w:rPr>
          <w:rFonts w:eastAsia="Times New Roman"/>
          <w:color w:val="000000"/>
          <w:sz w:val="20"/>
          <w:szCs w:val="20"/>
        </w:rPr>
        <w:t>rimarily due to the inclusion of $5.5 billion of revenue (net of intercompany sales eliminations) from L3 operations in operating results for the two quarters ended July 3, 2020 (but not for the comparable prior-year two quarters preceding the L3Harris Mer</w:t>
      </w:r>
      <w:r>
        <w:rPr>
          <w:rFonts w:eastAsia="Times New Roman"/>
          <w:color w:val="000000"/>
          <w:sz w:val="20"/>
          <w:szCs w:val="20"/>
        </w:rPr>
        <w:t xml:space="preserve">ger) and organic revenue growth in our Space &amp; Airborne Systems, Integrated Mission Systems and Communication Systems. The increase was partially offset by the impact of divestitures and the COVID-related downturn in the commercial aviation market and its </w:t>
      </w:r>
      <w:r>
        <w:rPr>
          <w:rFonts w:eastAsia="Times New Roman"/>
          <w:color w:val="000000"/>
          <w:sz w:val="20"/>
          <w:szCs w:val="20"/>
        </w:rPr>
        <w:t xml:space="preserve">impact on customer operations in fiscal 2020. </w:t>
      </w:r>
    </w:p>
    <w:p w:rsidR="00000000" w:rsidRDefault="00AE54EE">
      <w:pPr>
        <w:ind w:firstLine="450"/>
        <w:divId w:val="960038919"/>
        <w:rPr>
          <w:rFonts w:eastAsia="Times New Roman"/>
        </w:rPr>
      </w:pPr>
      <w:r>
        <w:rPr>
          <w:rFonts w:eastAsia="Times New Roman"/>
          <w:color w:val="000000"/>
          <w:sz w:val="20"/>
          <w:szCs w:val="20"/>
        </w:rPr>
        <w:t>See the “Discussion of Business Segment Results of Operations” discussion below in this MD&amp;A for further information.</w:t>
      </w:r>
    </w:p>
    <w:p w:rsidR="00000000" w:rsidRDefault="00AE54EE">
      <w:pPr>
        <w:divId w:val="2029482764"/>
        <w:rPr>
          <w:rFonts w:eastAsia="Times New Roman"/>
        </w:rPr>
      </w:pPr>
      <w:r>
        <w:rPr>
          <w:rFonts w:eastAsia="Times New Roman"/>
          <w:b/>
          <w:bCs/>
          <w:i/>
          <w:iCs/>
          <w:color w:val="000000"/>
          <w:sz w:val="20"/>
          <w:szCs w:val="20"/>
        </w:rPr>
        <w:t>Gross Margin</w:t>
      </w:r>
    </w:p>
    <w:p w:rsidR="00000000" w:rsidRDefault="00AE54EE">
      <w:pPr>
        <w:ind w:firstLine="450"/>
        <w:divId w:val="1240212219"/>
        <w:rPr>
          <w:rFonts w:eastAsia="Times New Roman"/>
        </w:rPr>
      </w:pPr>
      <w:r>
        <w:rPr>
          <w:rFonts w:eastAsia="Times New Roman"/>
          <w:i/>
          <w:iCs/>
          <w:color w:val="000000"/>
          <w:sz w:val="20"/>
          <w:szCs w:val="20"/>
        </w:rPr>
        <w:t xml:space="preserve">Fiscal 2021 Compared With Fiscal 2020: </w:t>
      </w:r>
      <w:r>
        <w:rPr>
          <w:rFonts w:eastAsia="Times New Roman"/>
          <w:color w:val="000000"/>
          <w:sz w:val="20"/>
          <w:szCs w:val="20"/>
        </w:rPr>
        <w:t>Gross margin and gross margin as a perc</w:t>
      </w:r>
      <w:r>
        <w:rPr>
          <w:rFonts w:eastAsia="Times New Roman"/>
          <w:color w:val="000000"/>
          <w:sz w:val="20"/>
          <w:szCs w:val="20"/>
        </w:rPr>
        <w:t>entage of revenue (“gross margin percentage”) for fiscal 2021 increased compared to fiscal 2020, primarily due to integration benefits and operational excellence,$31 million of lower cost of sales related to the fair value step-up in inventory sold and $12</w:t>
      </w:r>
      <w:r>
        <w:rPr>
          <w:rFonts w:eastAsia="Times New Roman"/>
          <w:color w:val="000000"/>
          <w:sz w:val="20"/>
          <w:szCs w:val="20"/>
        </w:rPr>
        <w:t> million of lower amortization of identifiable intangible assets acquired as a result of the L3Harris Merger, partially offset by a mix of program revenue and product sales with relatively lower gross margin percentage.</w:t>
      </w:r>
    </w:p>
    <w:p w:rsidR="00000000" w:rsidRDefault="00AE54EE">
      <w:pPr>
        <w:ind w:firstLine="450"/>
        <w:divId w:val="2134596137"/>
        <w:rPr>
          <w:rFonts w:eastAsia="Times New Roman"/>
        </w:rPr>
      </w:pPr>
      <w:r>
        <w:rPr>
          <w:rFonts w:eastAsia="Times New Roman"/>
          <w:i/>
          <w:iCs/>
          <w:color w:val="000000"/>
          <w:sz w:val="20"/>
          <w:szCs w:val="20"/>
        </w:rPr>
        <w:t>Fiscal 2020 Compared With Four Quart</w:t>
      </w:r>
      <w:r>
        <w:rPr>
          <w:rFonts w:eastAsia="Times New Roman"/>
          <w:i/>
          <w:iCs/>
          <w:color w:val="000000"/>
          <w:sz w:val="20"/>
          <w:szCs w:val="20"/>
        </w:rPr>
        <w:t xml:space="preserve">ers Ended January 3, 2020: </w:t>
      </w:r>
      <w:r>
        <w:rPr>
          <w:rFonts w:eastAsia="Times New Roman"/>
          <w:color w:val="000000"/>
          <w:sz w:val="20"/>
          <w:szCs w:val="20"/>
        </w:rPr>
        <w:t> Gross margin increased in fiscal 2020 compared with the four quarters ended January 3, 2020 primarily due to the inclusion of L3 operations in operating results for the two quarters ended July 3, 2020 (but not for the comparable</w:t>
      </w:r>
      <w:r>
        <w:rPr>
          <w:rFonts w:eastAsia="Times New Roman"/>
          <w:color w:val="000000"/>
          <w:sz w:val="20"/>
          <w:szCs w:val="20"/>
        </w:rPr>
        <w:t xml:space="preserve"> prior-year two quarters preceding the L3Harris Merger). Gross margin percentage for fiscal 2020 was comparable with the four quarters ended January 3, 2020 reflecting integration benefits and operational excellence, and $111 million of lower cost of sales</w:t>
      </w:r>
      <w:r>
        <w:rPr>
          <w:rFonts w:eastAsia="Times New Roman"/>
          <w:color w:val="000000"/>
          <w:sz w:val="20"/>
          <w:szCs w:val="20"/>
        </w:rPr>
        <w:t xml:space="preserve"> related to the fair value step-up in inventory sold, offset by a mix of program revenue and product sales with relatively lower gross margin percentage and $37 million of higher amortization of identifiable intangible assets acquired as a result of the L3</w:t>
      </w:r>
      <w:r>
        <w:rPr>
          <w:rFonts w:eastAsia="Times New Roman"/>
          <w:color w:val="000000"/>
          <w:sz w:val="20"/>
          <w:szCs w:val="20"/>
        </w:rPr>
        <w:t>Harris Merger.</w:t>
      </w:r>
    </w:p>
    <w:p w:rsidR="00000000" w:rsidRDefault="00AE54EE">
      <w:pPr>
        <w:ind w:firstLine="450"/>
        <w:divId w:val="2146729726"/>
        <w:rPr>
          <w:rFonts w:eastAsia="Times New Roman"/>
        </w:rPr>
      </w:pPr>
      <w:r>
        <w:rPr>
          <w:rFonts w:eastAsia="Times New Roman"/>
          <w:color w:val="000000"/>
          <w:sz w:val="20"/>
          <w:szCs w:val="20"/>
        </w:rPr>
        <w:t>See the “Discussion of Business Segment Results of Operations” discussion below in this MD&amp;A for further information.</w:t>
      </w:r>
    </w:p>
    <w:p w:rsidR="00000000" w:rsidRDefault="00AE54EE">
      <w:pPr>
        <w:divId w:val="88745413"/>
        <w:rPr>
          <w:rFonts w:eastAsia="Times New Roman"/>
        </w:rPr>
      </w:pPr>
      <w:r>
        <w:rPr>
          <w:rFonts w:eastAsia="Times New Roman"/>
          <w:b/>
          <w:bCs/>
          <w:i/>
          <w:iCs/>
          <w:color w:val="000000"/>
          <w:sz w:val="20"/>
          <w:szCs w:val="20"/>
        </w:rPr>
        <w:t>Engineering, Selling and Administrative Expenses</w:t>
      </w:r>
    </w:p>
    <w:p w:rsidR="00000000" w:rsidRDefault="00AE54EE">
      <w:pPr>
        <w:ind w:firstLine="450"/>
        <w:divId w:val="2110811168"/>
        <w:rPr>
          <w:rFonts w:eastAsia="Times New Roman"/>
        </w:rPr>
      </w:pPr>
      <w:r>
        <w:rPr>
          <w:rFonts w:eastAsia="Times New Roman"/>
          <w:i/>
          <w:iCs/>
          <w:color w:val="000000"/>
          <w:sz w:val="20"/>
          <w:szCs w:val="20"/>
        </w:rPr>
        <w:t>Fiscal 2021 Compared With Fiscal 2020:</w:t>
      </w:r>
      <w:r>
        <w:rPr>
          <w:rFonts w:eastAsia="Times New Roman"/>
          <w:color w:val="000000"/>
          <w:sz w:val="20"/>
          <w:szCs w:val="20"/>
        </w:rPr>
        <w:t>  The decrease in engineering, selli</w:t>
      </w:r>
      <w:r>
        <w:rPr>
          <w:rFonts w:eastAsia="Times New Roman"/>
          <w:color w:val="000000"/>
          <w:sz w:val="20"/>
          <w:szCs w:val="20"/>
        </w:rPr>
        <w:t>ng and administrative (“ESA”) expenses in fiscal 2021 was primarily due to $70 million of lower amortization of identifiable intangible assets acquired as a result of the L3Harris Merger, $27 million of lower L3Harris Merger-related transaction, integratio</w:t>
      </w:r>
      <w:r>
        <w:rPr>
          <w:rFonts w:eastAsia="Times New Roman"/>
          <w:color w:val="000000"/>
          <w:sz w:val="20"/>
          <w:szCs w:val="20"/>
        </w:rPr>
        <w:t>n and restructuring expenses and the absence in fiscal 2021 of COVID-related restructuring charges and exit costs recorded in fiscal 2020, partially offset by $53 million of higher divestiture-related expenses and the absence in fiscal 2021 of a $22 millio</w:t>
      </w:r>
      <w:r>
        <w:rPr>
          <w:rFonts w:eastAsia="Times New Roman"/>
          <w:color w:val="000000"/>
          <w:sz w:val="20"/>
          <w:szCs w:val="20"/>
        </w:rPr>
        <w:t>n gain on the sale of property, plant and equipment recorded in fiscal 2020. ESA expense as a percentage of revenue (“ESA percentage”) in fiscal 2021 was comparable to fiscal 2020.</w:t>
      </w:r>
    </w:p>
    <w:p w:rsidR="00000000" w:rsidRDefault="00AE54EE">
      <w:pPr>
        <w:ind w:firstLine="450"/>
        <w:divId w:val="1104035814"/>
        <w:rPr>
          <w:rFonts w:eastAsia="Times New Roman"/>
        </w:rPr>
      </w:pPr>
      <w:r>
        <w:rPr>
          <w:rFonts w:eastAsia="Times New Roman"/>
          <w:color w:val="000000"/>
          <w:sz w:val="20"/>
          <w:szCs w:val="20"/>
        </w:rPr>
        <w:t>Overall Company-sponsored R&amp;D costs were $692 million in fiscal 2021 compar</w:t>
      </w:r>
      <w:r>
        <w:rPr>
          <w:rFonts w:eastAsia="Times New Roman"/>
          <w:color w:val="000000"/>
          <w:sz w:val="20"/>
          <w:szCs w:val="20"/>
        </w:rPr>
        <w:t xml:space="preserve">ed with $684 million in fiscal 2020. </w:t>
      </w:r>
    </w:p>
    <w:p w:rsidR="00000000" w:rsidRDefault="00AE54EE">
      <w:pPr>
        <w:ind w:firstLine="450"/>
        <w:divId w:val="2012488057"/>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 The increase in ESA expenses in fiscal 2020 compared with the four quarters ended January 3, 2020 was primarily due to the inclusion of L3 operations in o</w:t>
      </w:r>
      <w:r>
        <w:rPr>
          <w:rFonts w:eastAsia="Times New Roman"/>
          <w:color w:val="000000"/>
          <w:sz w:val="20"/>
          <w:szCs w:val="20"/>
        </w:rPr>
        <w:t xml:space="preserve">perating results for the two quarters ended July 3, 2020 (but not for the comparable prior-year two quarters preceding the L3Harris Merger), $333 million of higher amortization of identifiable intangible assets acquired as a result of the L3Harris Merger, </w:t>
      </w:r>
      <w:r>
        <w:rPr>
          <w:rFonts w:eastAsia="Times New Roman"/>
          <w:color w:val="000000"/>
          <w:sz w:val="20"/>
          <w:szCs w:val="20"/>
        </w:rPr>
        <w:t>$16 million of COVID-related restructuring expenses and other costs and $13 million of higher divestiture-related expenses, partially offset by $254 million of lower L3Harris Merger-related transaction, integration and restructuring expenses and a $22 mill</w:t>
      </w:r>
      <w:r>
        <w:rPr>
          <w:rFonts w:eastAsia="Times New Roman"/>
          <w:color w:val="000000"/>
          <w:sz w:val="20"/>
          <w:szCs w:val="20"/>
        </w:rPr>
        <w:t xml:space="preserve">ion gain on sale of property, plant and equipment. </w:t>
      </w:r>
    </w:p>
    <w:p w:rsidR="00000000" w:rsidRDefault="00AE54EE">
      <w:pPr>
        <w:ind w:firstLine="450"/>
        <w:divId w:val="664358169"/>
        <w:rPr>
          <w:rFonts w:eastAsia="Times New Roman"/>
        </w:rPr>
      </w:pPr>
      <w:r>
        <w:rPr>
          <w:rFonts w:eastAsia="Times New Roman"/>
          <w:color w:val="000000"/>
          <w:sz w:val="20"/>
          <w:szCs w:val="20"/>
        </w:rPr>
        <w:t xml:space="preserve">The decrease in ESA percentage in fiscal 2020 compared with the four quarters ended January 3, 2020 was primarily driven by cost management, operational excellence, integration benefits, as well as lower </w:t>
      </w:r>
      <w:r>
        <w:rPr>
          <w:rFonts w:eastAsia="Times New Roman"/>
          <w:color w:val="000000"/>
          <w:sz w:val="20"/>
          <w:szCs w:val="20"/>
        </w:rPr>
        <w:t>L3Harris Merger-related transaction, integration and restructuring expenses and a gain on sale of property, plant and equipment, partially offset by higher amortization of identifiable intangible assets acquired as a result of the L3Harris Merger, COVID-re</w:t>
      </w:r>
      <w:r>
        <w:rPr>
          <w:rFonts w:eastAsia="Times New Roman"/>
          <w:color w:val="000000"/>
          <w:sz w:val="20"/>
          <w:szCs w:val="20"/>
        </w:rPr>
        <w:t xml:space="preserve">lated restructuring expenses and other items and divestiture-related expenses, as discussed above. </w:t>
      </w:r>
    </w:p>
    <w:p w:rsidR="00000000" w:rsidRDefault="00AE54EE">
      <w:pPr>
        <w:ind w:firstLine="450"/>
        <w:divId w:val="1769958740"/>
        <w:rPr>
          <w:rFonts w:eastAsia="Times New Roman"/>
        </w:rPr>
      </w:pPr>
      <w:r>
        <w:rPr>
          <w:rFonts w:eastAsia="Times New Roman"/>
          <w:color w:val="000000"/>
          <w:sz w:val="20"/>
          <w:szCs w:val="20"/>
        </w:rPr>
        <w:t xml:space="preserve">Overall Company-sponsored R&amp;D costs were $684 million in fiscal 2020 compared with $504 million in the four quarters ended January 3, 2020. </w:t>
      </w:r>
    </w:p>
    <w:p w:rsidR="00000000" w:rsidRDefault="00AE54EE">
      <w:pPr>
        <w:ind w:firstLine="450"/>
        <w:divId w:val="1166478228"/>
        <w:rPr>
          <w:rFonts w:eastAsia="Times New Roman"/>
        </w:rPr>
      </w:pPr>
      <w:r>
        <w:rPr>
          <w:rFonts w:eastAsia="Times New Roman"/>
          <w:color w:val="000000"/>
          <w:sz w:val="20"/>
          <w:szCs w:val="20"/>
        </w:rPr>
        <w:t>See the “Discus</w:t>
      </w:r>
      <w:r>
        <w:rPr>
          <w:rFonts w:eastAsia="Times New Roman"/>
          <w:color w:val="000000"/>
          <w:sz w:val="20"/>
          <w:szCs w:val="20"/>
        </w:rPr>
        <w:t>sion of Business Segment Results of Operations” discussion below in this MD&amp;A for further information.</w:t>
      </w:r>
    </w:p>
    <w:p w:rsidR="00000000" w:rsidRDefault="00AE54EE">
      <w:pPr>
        <w:ind w:firstLine="450"/>
        <w:jc w:val="center"/>
        <w:divId w:val="886724382"/>
        <w:rPr>
          <w:rFonts w:eastAsia="Times New Roman"/>
        </w:rPr>
      </w:pPr>
      <w:r>
        <w:rPr>
          <w:rFonts w:eastAsia="Times New Roman"/>
          <w:color w:val="000000"/>
          <w:sz w:val="20"/>
          <w:szCs w:val="20"/>
        </w:rPr>
        <w:t>38</w:t>
      </w:r>
    </w:p>
    <w:p w:rsidR="00000000" w:rsidRDefault="00AE54EE">
      <w:pPr>
        <w:rPr>
          <w:rFonts w:eastAsia="Times New Roman"/>
        </w:rPr>
      </w:pPr>
      <w:r>
        <w:rPr>
          <w:rFonts w:eastAsia="Times New Roman"/>
        </w:rPr>
        <w:pict>
          <v:rect id="_x0000_i1066" style="width:0;height:1.5pt" o:hralign="center" o:hrstd="t" o:hr="t" fillcolor="#a0a0a0" stroked="f"/>
        </w:pict>
      </w:r>
    </w:p>
    <w:p w:rsidR="00000000" w:rsidRDefault="00AE54EE">
      <w:pPr>
        <w:ind w:firstLine="450"/>
        <w:divId w:val="633025365"/>
        <w:rPr>
          <w:rFonts w:eastAsia="Times New Roman"/>
        </w:rPr>
      </w:pPr>
    </w:p>
    <w:p w:rsidR="00000000" w:rsidRDefault="00AE54EE">
      <w:pPr>
        <w:divId w:val="772819718"/>
        <w:rPr>
          <w:rFonts w:eastAsia="Times New Roman"/>
        </w:rPr>
      </w:pPr>
      <w:r>
        <w:rPr>
          <w:rFonts w:eastAsia="Times New Roman"/>
          <w:b/>
          <w:bCs/>
          <w:i/>
          <w:iCs/>
          <w:color w:val="000000"/>
          <w:sz w:val="20"/>
          <w:szCs w:val="20"/>
        </w:rPr>
        <w:t>Business Divestiture-Related Gains (Losses)</w:t>
      </w:r>
    </w:p>
    <w:p w:rsidR="00000000" w:rsidRDefault="00AE54EE">
      <w:pPr>
        <w:ind w:firstLine="450"/>
        <w:divId w:val="1037505064"/>
        <w:rPr>
          <w:rFonts w:eastAsia="Times New Roman"/>
        </w:rPr>
      </w:pPr>
      <w:r>
        <w:rPr>
          <w:rFonts w:eastAsia="Times New Roman"/>
          <w:color w:val="000000"/>
          <w:sz w:val="20"/>
          <w:szCs w:val="20"/>
        </w:rPr>
        <w:t>The “Business divestiture-related gains (losses)” line item is comprised of the following pre-tax gains (losses) associated with businesses divested:</w:t>
      </w:r>
      <w:r>
        <w:rPr>
          <w:rFonts w:eastAsia="Times New Roman"/>
          <w:i/>
          <w:i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5781"/>
        <w:gridCol w:w="38"/>
        <w:gridCol w:w="121"/>
        <w:gridCol w:w="1024"/>
        <w:gridCol w:w="36"/>
        <w:gridCol w:w="36"/>
        <w:gridCol w:w="36"/>
        <w:gridCol w:w="36"/>
        <w:gridCol w:w="121"/>
        <w:gridCol w:w="929"/>
        <w:gridCol w:w="37"/>
        <w:gridCol w:w="36"/>
        <w:gridCol w:w="36"/>
      </w:tblGrid>
      <w:tr w:rsidR="00000000">
        <w:trPr>
          <w:divId w:val="200948173"/>
        </w:trPr>
        <w:tc>
          <w:tcPr>
            <w:tcW w:w="50" w:type="pct"/>
            <w:vAlign w:val="center"/>
            <w:hideMark/>
          </w:tcPr>
          <w:p w:rsidR="00000000" w:rsidRDefault="00AE54EE">
            <w:pPr>
              <w:ind w:firstLine="450"/>
              <w:rPr>
                <w:rFonts w:eastAsia="Times New Roman"/>
              </w:rPr>
            </w:pPr>
          </w:p>
        </w:tc>
        <w:tc>
          <w:tcPr>
            <w:tcW w:w="355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5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9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Narda-MITEQ business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ESSCO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Electron Devices business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VSE disposal group</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CPS business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Military training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EOTech</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Airport security and automation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51142417"/>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Business divestiture-related gain (losses)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094817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divId w:val="283735939"/>
        <w:rPr>
          <w:rFonts w:eastAsia="Times New Roman"/>
        </w:rPr>
      </w:pPr>
      <w:r>
        <w:rPr>
          <w:rFonts w:eastAsia="Times New Roman"/>
          <w:color w:val="000000"/>
          <w:sz w:val="16"/>
          <w:szCs w:val="16"/>
        </w:rPr>
        <w:t>_________________</w:t>
      </w:r>
    </w:p>
    <w:p w:rsidR="00000000" w:rsidRDefault="00AE54EE">
      <w:pPr>
        <w:ind w:hanging="360"/>
        <w:divId w:val="2090467566"/>
        <w:rPr>
          <w:rFonts w:eastAsia="Times New Roman"/>
        </w:rPr>
      </w:pPr>
      <w:r>
        <w:rPr>
          <w:rFonts w:eastAsia="Times New Roman"/>
          <w:color w:val="000000"/>
          <w:sz w:val="16"/>
          <w:szCs w:val="16"/>
        </w:rPr>
        <w:t>(1)</w:t>
      </w:r>
      <w:r>
        <w:rPr>
          <w:rFonts w:eastAsia="Times New Roman"/>
          <w:color w:val="000000"/>
          <w:sz w:val="16"/>
          <w:szCs w:val="16"/>
        </w:rPr>
        <w:t>Reflects adjustments to the gains (losses) on completed divestitures not shown above, including for fiscal 2020, $12 million for finalization of purchase price adjustments and recognition of a non-cash adjustment related to working capital, which decreased</w:t>
      </w:r>
      <w:r>
        <w:rPr>
          <w:rFonts w:eastAsia="Times New Roman"/>
          <w:color w:val="000000"/>
          <w:sz w:val="16"/>
          <w:szCs w:val="16"/>
        </w:rPr>
        <w:t xml:space="preserve"> the $229 million gain initially recognized on the sale of the Harris Night Vision business divested on September 13, 2019.</w:t>
      </w:r>
    </w:p>
    <w:p w:rsidR="00000000" w:rsidRDefault="00AE54EE">
      <w:pPr>
        <w:ind w:firstLine="450"/>
        <w:divId w:val="1135758534"/>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3: Business Divestitures and Asset Sales </w:t>
      </w:r>
      <w:r>
        <w:rPr>
          <w:rFonts w:eastAsia="Times New Roman"/>
          <w:color w:val="000000"/>
          <w:sz w:val="20"/>
          <w:szCs w:val="20"/>
        </w:rPr>
        <w:t>in the Notes for further information.</w:t>
      </w:r>
    </w:p>
    <w:p w:rsidR="00000000" w:rsidRDefault="00AE54EE">
      <w:pPr>
        <w:divId w:val="1421487400"/>
        <w:rPr>
          <w:rFonts w:eastAsia="Times New Roman"/>
        </w:rPr>
      </w:pPr>
      <w:r>
        <w:rPr>
          <w:rFonts w:eastAsia="Times New Roman"/>
          <w:b/>
          <w:bCs/>
          <w:i/>
          <w:iCs/>
          <w:color w:val="000000"/>
          <w:sz w:val="20"/>
          <w:szCs w:val="20"/>
        </w:rPr>
        <w:t>Impairment of Goodwill and Other Assets</w:t>
      </w:r>
    </w:p>
    <w:p w:rsidR="00000000" w:rsidRDefault="00AE54EE">
      <w:pPr>
        <w:ind w:firstLine="450"/>
        <w:divId w:val="1794326004"/>
        <w:rPr>
          <w:rFonts w:eastAsia="Times New Roman"/>
        </w:rPr>
      </w:pPr>
      <w:r>
        <w:rPr>
          <w:rFonts w:eastAsia="Times New Roman"/>
          <w:i/>
          <w:iCs/>
          <w:color w:val="000000"/>
          <w:sz w:val="20"/>
          <w:szCs w:val="20"/>
        </w:rPr>
        <w:t>Fisc</w:t>
      </w:r>
      <w:r>
        <w:rPr>
          <w:rFonts w:eastAsia="Times New Roman"/>
          <w:i/>
          <w:iCs/>
          <w:color w:val="000000"/>
          <w:sz w:val="20"/>
          <w:szCs w:val="20"/>
        </w:rPr>
        <w:t xml:space="preserve">al 2021 Compared With Fiscal 2020: </w:t>
      </w:r>
      <w:r>
        <w:rPr>
          <w:rFonts w:eastAsia="Times New Roman"/>
          <w:color w:val="000000"/>
          <w:sz w:val="20"/>
          <w:szCs w:val="20"/>
        </w:rPr>
        <w:t>Impairment of goodwill and other assets for fiscal 2021 reflects $62 million of non-cash charges for the impairment of goodwill and other assets associated with the divestiture of the CPS business and $145 million of non-</w:t>
      </w:r>
      <w:r>
        <w:rPr>
          <w:rFonts w:eastAsia="Times New Roman"/>
          <w:color w:val="000000"/>
          <w:sz w:val="20"/>
          <w:szCs w:val="20"/>
        </w:rPr>
        <w:t>cash charges for impairment of identifiable intangible and other long-lived assets related to our CTS reporting unit. Impairment of goodwill and other assets for fiscal 2020 included $748 million of non-cash charges for the impairment of goodwill and other</w:t>
      </w:r>
      <w:r>
        <w:rPr>
          <w:rFonts w:eastAsia="Times New Roman"/>
          <w:color w:val="000000"/>
          <w:sz w:val="20"/>
          <w:szCs w:val="20"/>
        </w:rPr>
        <w:t xml:space="preserve"> assets associated with the COVID-related downturn in the commercial aviation market and its impact on customer operations, a $14 million non-cash charge for impairment of goodwill recorded in connection with the then-potential divestiture of the VSE dispo</w:t>
      </w:r>
      <w:r>
        <w:rPr>
          <w:rFonts w:eastAsia="Times New Roman"/>
          <w:color w:val="000000"/>
          <w:sz w:val="20"/>
          <w:szCs w:val="20"/>
        </w:rPr>
        <w:t>sal group and a $5 million non-cash charge for impairment of goodwill recorded in connection with the divestiture of our Applied Kilovolts business.</w:t>
      </w:r>
    </w:p>
    <w:p w:rsidR="00000000" w:rsidRDefault="00AE54EE">
      <w:pPr>
        <w:ind w:firstLine="450"/>
        <w:divId w:val="1179583456"/>
        <w:rPr>
          <w:rFonts w:eastAsia="Times New Roman"/>
        </w:rPr>
      </w:pPr>
      <w:r>
        <w:rPr>
          <w:rFonts w:eastAsia="Times New Roman"/>
          <w:i/>
          <w:iCs/>
          <w:color w:val="000000"/>
          <w:sz w:val="20"/>
          <w:szCs w:val="20"/>
        </w:rPr>
        <w:t>Fiscal 2020 Compared With Four Quarters Ended January 3, 2020:</w:t>
      </w:r>
      <w:r>
        <w:rPr>
          <w:rFonts w:eastAsia="Times New Roman"/>
          <w:color w:val="000000"/>
          <w:sz w:val="20"/>
          <w:szCs w:val="20"/>
        </w:rPr>
        <w:t>  Impairment of goodwill and other assets for</w:t>
      </w:r>
      <w:r>
        <w:rPr>
          <w:rFonts w:eastAsia="Times New Roman"/>
          <w:color w:val="000000"/>
          <w:sz w:val="20"/>
          <w:szCs w:val="20"/>
        </w:rPr>
        <w:t xml:space="preserve"> fiscal 2020 reflects $748 million of non-cash charges for the impairment of goodwill and other assets associated with the COVID-related downturn in the commercial aviation market and its impact on customer operations, a $14 million non-cash charge for imp</w:t>
      </w:r>
      <w:r>
        <w:rPr>
          <w:rFonts w:eastAsia="Times New Roman"/>
          <w:color w:val="000000"/>
          <w:sz w:val="20"/>
          <w:szCs w:val="20"/>
        </w:rPr>
        <w:t>airment of goodwill recorded in the quarter ended July 3, 2020 in connection with a then-potential divestiture of the VSE disposal group and a $5 million non-cash charge for impairment of goodwill recorded in the quarter ended April 3, 2020 in connection w</w:t>
      </w:r>
      <w:r>
        <w:rPr>
          <w:rFonts w:eastAsia="Times New Roman"/>
          <w:color w:val="000000"/>
          <w:sz w:val="20"/>
          <w:szCs w:val="20"/>
        </w:rPr>
        <w:t xml:space="preserve">ith the then-pending divestiture of our Applied Kilovolts business. </w:t>
      </w:r>
    </w:p>
    <w:p w:rsidR="00000000" w:rsidRDefault="00AE54EE">
      <w:pPr>
        <w:ind w:firstLine="450"/>
        <w:divId w:val="875308832"/>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3: Business Divestitures and Asset Sales </w:t>
      </w:r>
      <w:r>
        <w:rPr>
          <w:rFonts w:eastAsia="Times New Roman"/>
          <w:color w:val="000000"/>
          <w:sz w:val="20"/>
          <w:szCs w:val="20"/>
        </w:rPr>
        <w:t xml:space="preserve">and </w:t>
      </w:r>
      <w:r>
        <w:rPr>
          <w:rFonts w:eastAsia="Times New Roman"/>
          <w:i/>
          <w:iCs/>
          <w:color w:val="000000"/>
          <w:sz w:val="20"/>
          <w:szCs w:val="20"/>
        </w:rPr>
        <w:t>Note 9: Goodwill</w:t>
      </w:r>
      <w:r>
        <w:rPr>
          <w:rFonts w:eastAsia="Times New Roman"/>
          <w:color w:val="000000"/>
          <w:sz w:val="20"/>
          <w:szCs w:val="20"/>
        </w:rPr>
        <w:t xml:space="preserve"> in the Notes for further information.</w:t>
      </w:r>
    </w:p>
    <w:p w:rsidR="00000000" w:rsidRDefault="00AE54EE">
      <w:pPr>
        <w:divId w:val="393509099"/>
        <w:rPr>
          <w:rFonts w:eastAsia="Times New Roman"/>
        </w:rPr>
      </w:pPr>
      <w:r>
        <w:rPr>
          <w:rFonts w:eastAsia="Times New Roman"/>
          <w:b/>
          <w:bCs/>
          <w:i/>
          <w:iCs/>
          <w:color w:val="000000"/>
          <w:sz w:val="20"/>
          <w:szCs w:val="20"/>
        </w:rPr>
        <w:t xml:space="preserve">Non-Operating Income </w:t>
      </w:r>
    </w:p>
    <w:p w:rsidR="00000000" w:rsidRDefault="00AE54EE">
      <w:pPr>
        <w:ind w:firstLine="450"/>
        <w:divId w:val="2038577196"/>
        <w:rPr>
          <w:rFonts w:eastAsia="Times New Roman"/>
        </w:rPr>
      </w:pPr>
      <w:r>
        <w:rPr>
          <w:rFonts w:eastAsia="Times New Roman"/>
          <w:i/>
          <w:iCs/>
          <w:color w:val="000000"/>
          <w:sz w:val="20"/>
          <w:szCs w:val="20"/>
        </w:rPr>
        <w:t xml:space="preserve">Fiscal 2021 Compared With Fiscal 2020: </w:t>
      </w:r>
      <w:r>
        <w:rPr>
          <w:rFonts w:eastAsia="Times New Roman"/>
          <w:color w:val="000000"/>
          <w:sz w:val="20"/>
          <w:szCs w:val="20"/>
        </w:rPr>
        <w:t>The increase in n</w:t>
      </w:r>
      <w:r>
        <w:rPr>
          <w:rFonts w:eastAsia="Times New Roman"/>
          <w:color w:val="000000"/>
          <w:sz w:val="20"/>
          <w:szCs w:val="20"/>
        </w:rPr>
        <w:t>on-operating income in fiscal 2021 compared with fiscal 2020 was primarily due to an increase in the non-service cost components of pension and other postretirement benefit plan income partially offset by a $35 million charge for impairment of our equity i</w:t>
      </w:r>
      <w:r>
        <w:rPr>
          <w:rFonts w:eastAsia="Times New Roman"/>
          <w:color w:val="000000"/>
          <w:sz w:val="20"/>
          <w:szCs w:val="20"/>
        </w:rPr>
        <w:t xml:space="preserve">nvestment in a nonconsolidated affiliate recorded in the quarter ended July 2, 2021. </w:t>
      </w:r>
    </w:p>
    <w:p w:rsidR="00000000" w:rsidRDefault="00AE54EE">
      <w:pPr>
        <w:ind w:firstLine="450"/>
        <w:divId w:val="2042590103"/>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 xml:space="preserve"> The increase in non-operating income in fiscal 2020 compared with the four quarters ended January 3, 2020 </w:t>
      </w:r>
      <w:r>
        <w:rPr>
          <w:rFonts w:eastAsia="Times New Roman"/>
          <w:color w:val="000000"/>
          <w:sz w:val="20"/>
          <w:szCs w:val="20"/>
        </w:rPr>
        <w:t>was primarily due to an increase in the non-service cost components of pension and other postretirement benefit plan income, reflecting the inclusion of income from benefit plans assumed in connection with the L3Harris Merger.</w:t>
      </w:r>
    </w:p>
    <w:p w:rsidR="00000000" w:rsidRDefault="00AE54EE">
      <w:pPr>
        <w:ind w:firstLine="450"/>
        <w:divId w:val="403915465"/>
        <w:rPr>
          <w:rFonts w:eastAsia="Times New Roman"/>
        </w:rPr>
      </w:pPr>
      <w:r>
        <w:rPr>
          <w:rFonts w:eastAsia="Times New Roman"/>
          <w:color w:val="000000"/>
          <w:sz w:val="20"/>
          <w:szCs w:val="20"/>
        </w:rPr>
        <w:t xml:space="preserve">See </w:t>
      </w:r>
      <w:r>
        <w:rPr>
          <w:rFonts w:eastAsia="Times New Roman"/>
          <w:i/>
          <w:iCs/>
          <w:color w:val="000000"/>
          <w:sz w:val="20"/>
          <w:szCs w:val="20"/>
        </w:rPr>
        <w:t>Note 20: Non-Operating In</w:t>
      </w:r>
      <w:r>
        <w:rPr>
          <w:rFonts w:eastAsia="Times New Roman"/>
          <w:i/>
          <w:iCs/>
          <w:color w:val="000000"/>
          <w:sz w:val="20"/>
          <w:szCs w:val="20"/>
        </w:rPr>
        <w:t>come</w:t>
      </w:r>
      <w:r>
        <w:rPr>
          <w:rFonts w:eastAsia="Times New Roman"/>
          <w:color w:val="000000"/>
          <w:sz w:val="20"/>
          <w:szCs w:val="20"/>
        </w:rPr>
        <w:t xml:space="preserve"> in the Notes for further information.</w:t>
      </w:r>
    </w:p>
    <w:p w:rsidR="00000000" w:rsidRDefault="00AE54EE">
      <w:pPr>
        <w:divId w:val="820317853"/>
        <w:rPr>
          <w:rFonts w:eastAsia="Times New Roman"/>
        </w:rPr>
      </w:pPr>
      <w:r>
        <w:rPr>
          <w:rFonts w:eastAsia="Times New Roman"/>
          <w:b/>
          <w:bCs/>
          <w:i/>
          <w:iCs/>
          <w:color w:val="000000"/>
          <w:sz w:val="20"/>
          <w:szCs w:val="20"/>
        </w:rPr>
        <w:t>Net Interest Expense</w:t>
      </w:r>
    </w:p>
    <w:p w:rsidR="00000000" w:rsidRDefault="00AE54EE">
      <w:pPr>
        <w:ind w:firstLine="450"/>
        <w:divId w:val="429861654"/>
        <w:rPr>
          <w:rFonts w:eastAsia="Times New Roman"/>
        </w:rPr>
      </w:pPr>
      <w:r>
        <w:rPr>
          <w:rFonts w:eastAsia="Times New Roman"/>
          <w:i/>
          <w:iCs/>
          <w:color w:val="000000"/>
          <w:sz w:val="20"/>
          <w:szCs w:val="20"/>
        </w:rPr>
        <w:t xml:space="preserve">Fiscal 2021 Compared With Fiscal 2020: </w:t>
      </w:r>
      <w:r>
        <w:rPr>
          <w:rFonts w:eastAsia="Times New Roman"/>
          <w:color w:val="000000"/>
          <w:sz w:val="20"/>
          <w:szCs w:val="20"/>
        </w:rPr>
        <w:t> Our net interest expense increased in fiscal 2021 compared with fiscal 2020 primarily due to lower interest income in fiscal 2021, reflecting lower sale</w:t>
      </w:r>
      <w:r>
        <w:rPr>
          <w:rFonts w:eastAsia="Times New Roman"/>
          <w:color w:val="000000"/>
          <w:sz w:val="20"/>
          <w:szCs w:val="20"/>
        </w:rPr>
        <w:t xml:space="preserve">s-type lease receivables due to the divestiture of the military training business on July 2, 2021. </w:t>
      </w:r>
    </w:p>
    <w:p w:rsidR="00000000" w:rsidRDefault="00AE54EE">
      <w:pPr>
        <w:ind w:firstLine="450"/>
        <w:jc w:val="center"/>
        <w:divId w:val="267661890"/>
        <w:rPr>
          <w:rFonts w:eastAsia="Times New Roman"/>
        </w:rPr>
      </w:pPr>
      <w:r>
        <w:rPr>
          <w:rFonts w:eastAsia="Times New Roman"/>
          <w:color w:val="000000"/>
          <w:sz w:val="20"/>
          <w:szCs w:val="20"/>
        </w:rPr>
        <w:t>39</w:t>
      </w:r>
    </w:p>
    <w:p w:rsidR="00000000" w:rsidRDefault="00AE54EE">
      <w:pPr>
        <w:rPr>
          <w:rFonts w:eastAsia="Times New Roman"/>
        </w:rPr>
      </w:pPr>
      <w:r>
        <w:rPr>
          <w:rFonts w:eastAsia="Times New Roman"/>
        </w:rPr>
        <w:pict>
          <v:rect id="_x0000_i1067" style="width:0;height:1.5pt" o:hralign="center" o:hrstd="t" o:hr="t" fillcolor="#a0a0a0" stroked="f"/>
        </w:pict>
      </w:r>
    </w:p>
    <w:p w:rsidR="00000000" w:rsidRDefault="00AE54EE">
      <w:pPr>
        <w:ind w:firstLine="450"/>
        <w:divId w:val="464541757"/>
        <w:rPr>
          <w:rFonts w:eastAsia="Times New Roman"/>
        </w:rPr>
      </w:pPr>
    </w:p>
    <w:p w:rsidR="00000000" w:rsidRDefault="00AE54EE">
      <w:pPr>
        <w:ind w:firstLine="450"/>
        <w:divId w:val="254361351"/>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 xml:space="preserve"> Our net interest expense increased in fiscal 2020 </w:t>
      </w:r>
      <w:r>
        <w:rPr>
          <w:rFonts w:eastAsia="Times New Roman"/>
          <w:color w:val="000000"/>
          <w:sz w:val="20"/>
          <w:szCs w:val="20"/>
        </w:rPr>
        <w:t xml:space="preserve">compared with the four quarters ended January 3, 2020 primarily due to higher average debt levels as a result of the assumption of $3.5 billion of debt in connection with the L3Harris Merger. </w:t>
      </w:r>
    </w:p>
    <w:p w:rsidR="00000000" w:rsidRDefault="00AE54EE">
      <w:pPr>
        <w:ind w:firstLine="450"/>
        <w:divId w:val="218171606"/>
        <w:rPr>
          <w:rFonts w:eastAsia="Times New Roman"/>
        </w:rPr>
      </w:pPr>
      <w:r>
        <w:rPr>
          <w:rFonts w:eastAsia="Times New Roman"/>
          <w:color w:val="000000"/>
          <w:sz w:val="20"/>
          <w:szCs w:val="20"/>
        </w:rPr>
        <w:t xml:space="preserve">See </w:t>
      </w:r>
      <w:r>
        <w:rPr>
          <w:rFonts w:eastAsia="Times New Roman"/>
          <w:i/>
          <w:iCs/>
          <w:color w:val="000000"/>
          <w:sz w:val="20"/>
          <w:szCs w:val="20"/>
        </w:rPr>
        <w:t>Note 13: Debt</w:t>
      </w:r>
      <w:r>
        <w:rPr>
          <w:rFonts w:eastAsia="Times New Roman"/>
          <w:color w:val="000000"/>
          <w:sz w:val="20"/>
          <w:szCs w:val="20"/>
        </w:rPr>
        <w:t xml:space="preserve"> </w:t>
      </w:r>
      <w:r>
        <w:rPr>
          <w:rFonts w:eastAsia="Times New Roman"/>
          <w:color w:val="000000"/>
          <w:sz w:val="20"/>
          <w:szCs w:val="20"/>
        </w:rPr>
        <w:t>in the Notes for further information.</w:t>
      </w:r>
    </w:p>
    <w:p w:rsidR="00000000" w:rsidRDefault="00AE54EE">
      <w:pPr>
        <w:divId w:val="43138332"/>
        <w:rPr>
          <w:rFonts w:eastAsia="Times New Roman"/>
        </w:rPr>
      </w:pPr>
      <w:r>
        <w:rPr>
          <w:rFonts w:eastAsia="Times New Roman"/>
          <w:b/>
          <w:bCs/>
          <w:i/>
          <w:iCs/>
          <w:color w:val="000000"/>
          <w:sz w:val="20"/>
          <w:szCs w:val="20"/>
        </w:rPr>
        <w:t>Income Taxes</w:t>
      </w:r>
    </w:p>
    <w:p w:rsidR="00000000" w:rsidRDefault="00AE54EE">
      <w:pPr>
        <w:ind w:firstLine="450"/>
        <w:divId w:val="38821577"/>
        <w:rPr>
          <w:rFonts w:eastAsia="Times New Roman"/>
        </w:rPr>
      </w:pPr>
      <w:r>
        <w:rPr>
          <w:rFonts w:eastAsia="Times New Roman"/>
          <w:i/>
          <w:iCs/>
          <w:color w:val="000000"/>
          <w:sz w:val="20"/>
          <w:szCs w:val="20"/>
        </w:rPr>
        <w:t xml:space="preserve">Fiscal 2021 Compared With Fiscal 2020: </w:t>
      </w:r>
      <w:r>
        <w:rPr>
          <w:rFonts w:eastAsia="Times New Roman"/>
          <w:color w:val="000000"/>
          <w:sz w:val="20"/>
          <w:szCs w:val="20"/>
        </w:rPr>
        <w:t> Our effective tax rate (income taxes as a percentage of income from continuing operations before income taxes) was 19 percent in fiscal 2021 compared with 18 percent</w:t>
      </w:r>
      <w:r>
        <w:rPr>
          <w:rFonts w:eastAsia="Times New Roman"/>
          <w:color w:val="000000"/>
          <w:sz w:val="20"/>
          <w:szCs w:val="20"/>
        </w:rPr>
        <w:t xml:space="preserve"> in fiscal 2020. During fiscal 2021, we benefited from the net favorable impact of:</w:t>
      </w:r>
    </w:p>
    <w:p w:rsidR="00000000" w:rsidRDefault="00AE54EE">
      <w:pPr>
        <w:ind w:hanging="360"/>
        <w:divId w:val="1725716421"/>
        <w:rPr>
          <w:rFonts w:eastAsia="Times New Roman"/>
        </w:rPr>
      </w:pPr>
      <w:r>
        <w:rPr>
          <w:rFonts w:eastAsia="Times New Roman"/>
          <w:color w:val="000000"/>
          <w:sz w:val="20"/>
          <w:szCs w:val="20"/>
        </w:rPr>
        <w:t xml:space="preserve">•Favorable impact of R&amp;D credits; </w:t>
      </w:r>
    </w:p>
    <w:p w:rsidR="00000000" w:rsidRDefault="00AE54EE">
      <w:pPr>
        <w:ind w:hanging="360"/>
        <w:divId w:val="1214123770"/>
        <w:rPr>
          <w:rFonts w:eastAsia="Times New Roman"/>
        </w:rPr>
      </w:pPr>
      <w:r>
        <w:rPr>
          <w:rFonts w:eastAsia="Times New Roman"/>
          <w:color w:val="000000"/>
          <w:sz w:val="20"/>
          <w:szCs w:val="20"/>
        </w:rPr>
        <w:t>•</w:t>
      </w:r>
      <w:r>
        <w:rPr>
          <w:rFonts w:eastAsia="Times New Roman"/>
          <w:color w:val="000000"/>
          <w:sz w:val="20"/>
          <w:szCs w:val="20"/>
        </w:rPr>
        <w:t>Favorable adjustments upon the resolution of certain audit uncertainties; and</w:t>
      </w:r>
    </w:p>
    <w:p w:rsidR="00000000" w:rsidRDefault="00AE54EE">
      <w:pPr>
        <w:ind w:hanging="360"/>
        <w:divId w:val="215046496"/>
        <w:rPr>
          <w:rFonts w:eastAsia="Times New Roman"/>
        </w:rPr>
      </w:pPr>
      <w:r>
        <w:rPr>
          <w:rFonts w:eastAsia="Times New Roman"/>
          <w:color w:val="000000"/>
          <w:sz w:val="20"/>
          <w:szCs w:val="20"/>
        </w:rPr>
        <w:t>•Excess tax benefits related to equity-based compensation; partially offset by</w:t>
      </w:r>
    </w:p>
    <w:p w:rsidR="00000000" w:rsidRDefault="00AE54EE">
      <w:pPr>
        <w:ind w:hanging="360"/>
        <w:divId w:val="1789347802"/>
        <w:rPr>
          <w:rFonts w:eastAsia="Times New Roman"/>
        </w:rPr>
      </w:pPr>
      <w:r>
        <w:rPr>
          <w:rFonts w:eastAsia="Times New Roman"/>
          <w:color w:val="000000"/>
          <w:sz w:val="20"/>
          <w:szCs w:val="20"/>
        </w:rPr>
        <w:t>•Unfavorable impact from completed business divestitures.</w:t>
      </w:r>
    </w:p>
    <w:p w:rsidR="00000000" w:rsidRDefault="00AE54EE">
      <w:pPr>
        <w:ind w:firstLine="450"/>
        <w:divId w:val="637883118"/>
        <w:rPr>
          <w:rFonts w:eastAsia="Times New Roman"/>
        </w:rPr>
      </w:pPr>
      <w:r>
        <w:rPr>
          <w:rFonts w:eastAsia="Times New Roman"/>
          <w:color w:val="000000"/>
          <w:sz w:val="20"/>
          <w:szCs w:val="20"/>
        </w:rPr>
        <w:t>In fiscal 2020, our effective tax rate be</w:t>
      </w:r>
      <w:r>
        <w:rPr>
          <w:rFonts w:eastAsia="Times New Roman"/>
          <w:color w:val="000000"/>
          <w:sz w:val="20"/>
          <w:szCs w:val="20"/>
        </w:rPr>
        <w:t>nefited from the net favorable impact of:</w:t>
      </w:r>
    </w:p>
    <w:p w:rsidR="00000000" w:rsidRDefault="00AE54EE">
      <w:pPr>
        <w:ind w:hanging="360"/>
        <w:divId w:val="181288868"/>
        <w:rPr>
          <w:rFonts w:eastAsia="Times New Roman"/>
        </w:rPr>
      </w:pPr>
      <w:r>
        <w:rPr>
          <w:rFonts w:eastAsia="Times New Roman"/>
          <w:color w:val="000000"/>
          <w:sz w:val="20"/>
          <w:szCs w:val="20"/>
        </w:rPr>
        <w:t>•Favorable adjustments upon the finalization of our Federal tax returns, primarily due to recently released tax regulations and the resolution of audit uncertainties;</w:t>
      </w:r>
    </w:p>
    <w:p w:rsidR="00000000" w:rsidRDefault="00AE54EE">
      <w:pPr>
        <w:ind w:hanging="360"/>
        <w:divId w:val="24602461"/>
        <w:rPr>
          <w:rFonts w:eastAsia="Times New Roman"/>
        </w:rPr>
      </w:pPr>
      <w:r>
        <w:rPr>
          <w:rFonts w:eastAsia="Times New Roman"/>
          <w:color w:val="000000"/>
          <w:sz w:val="20"/>
          <w:szCs w:val="20"/>
        </w:rPr>
        <w:t>•Favorable impact of R&amp;D credits; and</w:t>
      </w:r>
    </w:p>
    <w:p w:rsidR="00000000" w:rsidRDefault="00AE54EE">
      <w:pPr>
        <w:ind w:hanging="360"/>
        <w:divId w:val="2046439509"/>
        <w:rPr>
          <w:rFonts w:eastAsia="Times New Roman"/>
        </w:rPr>
      </w:pPr>
      <w:r>
        <w:rPr>
          <w:rFonts w:eastAsia="Times New Roman"/>
          <w:color w:val="000000"/>
          <w:sz w:val="20"/>
          <w:szCs w:val="20"/>
        </w:rPr>
        <w:t>•Excess t</w:t>
      </w:r>
      <w:r>
        <w:rPr>
          <w:rFonts w:eastAsia="Times New Roman"/>
          <w:color w:val="000000"/>
          <w:sz w:val="20"/>
          <w:szCs w:val="20"/>
        </w:rPr>
        <w:t>ax benefits related to equity-based compensation; partially offset by</w:t>
      </w:r>
    </w:p>
    <w:p w:rsidR="00000000" w:rsidRDefault="00AE54EE">
      <w:pPr>
        <w:ind w:hanging="360"/>
        <w:divId w:val="876813790"/>
        <w:rPr>
          <w:rFonts w:eastAsia="Times New Roman"/>
        </w:rPr>
      </w:pPr>
      <w:r>
        <w:rPr>
          <w:rFonts w:eastAsia="Times New Roman"/>
          <w:color w:val="000000"/>
          <w:sz w:val="20"/>
          <w:szCs w:val="20"/>
        </w:rPr>
        <w:t>•Unfavorable impact of non-deductible goodwill impairment charges.</w:t>
      </w:r>
    </w:p>
    <w:p w:rsidR="00000000" w:rsidRDefault="00AE54EE">
      <w:pPr>
        <w:ind w:firstLine="450"/>
        <w:divId w:val="1324119137"/>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 Our effective tax rate was 18 percent in fiscal 2020 co</w:t>
      </w:r>
      <w:r>
        <w:rPr>
          <w:rFonts w:eastAsia="Times New Roman"/>
          <w:color w:val="000000"/>
          <w:sz w:val="20"/>
          <w:szCs w:val="20"/>
        </w:rPr>
        <w:t>mpared with 10 percent in the four quarters ended January 3, 2020. During fiscal 2020, our effective tax rate benefited from the net favorable impact of the reasons stated above in the fiscal 2021 comparison with the fiscal 2020 effective tax rate.</w:t>
      </w:r>
    </w:p>
    <w:p w:rsidR="00000000" w:rsidRDefault="00AE54EE">
      <w:pPr>
        <w:ind w:firstLine="450"/>
        <w:divId w:val="1704818464"/>
        <w:rPr>
          <w:rFonts w:eastAsia="Times New Roman"/>
        </w:rPr>
      </w:pPr>
      <w:r>
        <w:rPr>
          <w:rFonts w:eastAsia="Times New Roman"/>
          <w:color w:val="000000"/>
          <w:sz w:val="20"/>
          <w:szCs w:val="20"/>
        </w:rPr>
        <w:t xml:space="preserve">In the </w:t>
      </w:r>
      <w:r>
        <w:rPr>
          <w:rFonts w:eastAsia="Times New Roman"/>
          <w:color w:val="000000"/>
          <w:sz w:val="20"/>
          <w:szCs w:val="20"/>
        </w:rPr>
        <w:t>four quarters ended January 3, 2020, our effective tax rate benefited from the net favorable impact of:</w:t>
      </w:r>
    </w:p>
    <w:p w:rsidR="00000000" w:rsidRDefault="00AE54EE">
      <w:pPr>
        <w:ind w:hanging="360"/>
        <w:divId w:val="1012143557"/>
        <w:rPr>
          <w:rFonts w:eastAsia="Times New Roman"/>
        </w:rPr>
      </w:pPr>
      <w:r>
        <w:rPr>
          <w:rFonts w:eastAsia="Times New Roman"/>
          <w:color w:val="000000"/>
          <w:sz w:val="20"/>
          <w:szCs w:val="20"/>
        </w:rPr>
        <w:t xml:space="preserve">•Excess tax benefits related to equity-based compensation; </w:t>
      </w:r>
    </w:p>
    <w:p w:rsidR="00000000" w:rsidRDefault="00AE54EE">
      <w:pPr>
        <w:ind w:hanging="360"/>
        <w:divId w:val="1057633730"/>
        <w:rPr>
          <w:rFonts w:eastAsia="Times New Roman"/>
        </w:rPr>
      </w:pPr>
      <w:r>
        <w:rPr>
          <w:rFonts w:eastAsia="Times New Roman"/>
          <w:color w:val="000000"/>
          <w:sz w:val="20"/>
          <w:szCs w:val="20"/>
        </w:rPr>
        <w:t>•The ability to utilize capital loss carryforwards with a full valuation allowance against c</w:t>
      </w:r>
      <w:r>
        <w:rPr>
          <w:rFonts w:eastAsia="Times New Roman"/>
          <w:color w:val="000000"/>
          <w:sz w:val="20"/>
          <w:szCs w:val="20"/>
        </w:rPr>
        <w:t xml:space="preserve">apital gains generated from the Harris Night Vision business divestiture; </w:t>
      </w:r>
    </w:p>
    <w:p w:rsidR="00000000" w:rsidRDefault="00AE54EE">
      <w:pPr>
        <w:ind w:hanging="360"/>
        <w:divId w:val="1771924075"/>
        <w:rPr>
          <w:rFonts w:eastAsia="Times New Roman"/>
        </w:rPr>
      </w:pPr>
      <w:r>
        <w:rPr>
          <w:rFonts w:eastAsia="Times New Roman"/>
          <w:color w:val="000000"/>
          <w:sz w:val="20"/>
          <w:szCs w:val="20"/>
        </w:rPr>
        <w:t>•The release of reserves for uncertain tax positions due to statute of limitations expirations;</w:t>
      </w:r>
    </w:p>
    <w:p w:rsidR="00000000" w:rsidRDefault="00AE54EE">
      <w:pPr>
        <w:ind w:hanging="360"/>
        <w:divId w:val="1086850223"/>
        <w:rPr>
          <w:rFonts w:eastAsia="Times New Roman"/>
        </w:rPr>
      </w:pPr>
      <w:r>
        <w:rPr>
          <w:rFonts w:eastAsia="Times New Roman"/>
          <w:color w:val="000000"/>
          <w:sz w:val="20"/>
          <w:szCs w:val="20"/>
        </w:rPr>
        <w:t>•Additional research credits claimed on our prior year tax returns; and</w:t>
      </w:r>
    </w:p>
    <w:p w:rsidR="00000000" w:rsidRDefault="00AE54EE">
      <w:pPr>
        <w:ind w:hanging="360"/>
        <w:divId w:val="954946131"/>
        <w:rPr>
          <w:rFonts w:eastAsia="Times New Roman"/>
        </w:rPr>
      </w:pPr>
      <w:r>
        <w:rPr>
          <w:rFonts w:eastAsia="Times New Roman"/>
          <w:color w:val="000000"/>
          <w:sz w:val="20"/>
          <w:szCs w:val="20"/>
        </w:rPr>
        <w:t>•Favorable ad</w:t>
      </w:r>
      <w:r>
        <w:rPr>
          <w:rFonts w:eastAsia="Times New Roman"/>
          <w:color w:val="000000"/>
          <w:sz w:val="20"/>
          <w:szCs w:val="20"/>
        </w:rPr>
        <w:t>justments recorded upon the filing of our Federal tax returns.</w:t>
      </w:r>
    </w:p>
    <w:p w:rsidR="00000000" w:rsidRDefault="00AE54EE">
      <w:pPr>
        <w:divId w:val="1377848289"/>
        <w:rPr>
          <w:rFonts w:eastAsia="Times New Roman"/>
        </w:rPr>
      </w:pPr>
      <w:r>
        <w:rPr>
          <w:rFonts w:eastAsia="Times New Roman"/>
          <w:color w:val="000000"/>
          <w:sz w:val="20"/>
          <w:szCs w:val="20"/>
        </w:rPr>
        <w:t xml:space="preserve">See </w:t>
      </w:r>
      <w:r>
        <w:rPr>
          <w:rFonts w:eastAsia="Times New Roman"/>
          <w:i/>
          <w:iCs/>
          <w:color w:val="000000"/>
          <w:sz w:val="20"/>
          <w:szCs w:val="20"/>
        </w:rPr>
        <w:t>Note 22: Income Taxes</w:t>
      </w:r>
      <w:r>
        <w:rPr>
          <w:rFonts w:eastAsia="Times New Roman"/>
          <w:color w:val="000000"/>
          <w:sz w:val="20"/>
          <w:szCs w:val="20"/>
        </w:rPr>
        <w:t xml:space="preserve"> in the Notes for further information.</w:t>
      </w:r>
    </w:p>
    <w:p w:rsidR="00000000" w:rsidRDefault="00AE54EE">
      <w:pPr>
        <w:divId w:val="361707490"/>
        <w:rPr>
          <w:rFonts w:eastAsia="Times New Roman"/>
        </w:rPr>
      </w:pPr>
      <w:r>
        <w:rPr>
          <w:rFonts w:eastAsia="Times New Roman"/>
          <w:b/>
          <w:bCs/>
          <w:i/>
          <w:iCs/>
          <w:color w:val="000000"/>
          <w:sz w:val="20"/>
          <w:szCs w:val="20"/>
        </w:rPr>
        <w:t>Income From Continuing Operations</w:t>
      </w:r>
    </w:p>
    <w:p w:rsidR="00000000" w:rsidRDefault="00AE54EE">
      <w:pPr>
        <w:ind w:firstLine="450"/>
        <w:divId w:val="1805657701"/>
        <w:rPr>
          <w:rFonts w:eastAsia="Times New Roman"/>
        </w:rPr>
      </w:pPr>
      <w:r>
        <w:rPr>
          <w:rFonts w:eastAsia="Times New Roman"/>
          <w:i/>
          <w:iCs/>
          <w:color w:val="000000"/>
          <w:sz w:val="20"/>
          <w:szCs w:val="20"/>
        </w:rPr>
        <w:t xml:space="preserve">Fiscal 2021 Compared With Fiscal 2020: </w:t>
      </w:r>
      <w:r>
        <w:rPr>
          <w:rFonts w:eastAsia="Times New Roman"/>
          <w:color w:val="000000"/>
          <w:sz w:val="20"/>
          <w:szCs w:val="20"/>
        </w:rPr>
        <w:t>The increase in income from continuing operations in fis</w:t>
      </w:r>
      <w:r>
        <w:rPr>
          <w:rFonts w:eastAsia="Times New Roman"/>
          <w:color w:val="000000"/>
          <w:sz w:val="20"/>
          <w:szCs w:val="20"/>
        </w:rPr>
        <w:t>cal 2021 compared with fiscal 2020 was primarily due to the combined effects of the reasons noted in the sections above regarding fiscal 2021 and 2020.</w:t>
      </w:r>
    </w:p>
    <w:p w:rsidR="00000000" w:rsidRDefault="00AE54EE">
      <w:pPr>
        <w:ind w:firstLine="450"/>
        <w:divId w:val="1910847431"/>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The decrease in income from continuing op</w:t>
      </w:r>
      <w:r>
        <w:rPr>
          <w:rFonts w:eastAsia="Times New Roman"/>
          <w:color w:val="000000"/>
          <w:sz w:val="20"/>
          <w:szCs w:val="20"/>
        </w:rPr>
        <w:t>erations in fiscal 2020 compared with the four quarters ended January 3, 2020 was primarily due to the combined effects of the reasons in the sections noted above regarding fiscal 2020 and the four quarters ended January 3, 2020.</w:t>
      </w:r>
    </w:p>
    <w:p w:rsidR="00000000" w:rsidRDefault="00AE54EE">
      <w:pPr>
        <w:divId w:val="1403260325"/>
        <w:rPr>
          <w:rFonts w:eastAsia="Times New Roman"/>
        </w:rPr>
      </w:pPr>
      <w:r>
        <w:rPr>
          <w:rFonts w:eastAsia="Times New Roman"/>
          <w:b/>
          <w:bCs/>
          <w:i/>
          <w:iCs/>
          <w:color w:val="000000"/>
          <w:sz w:val="20"/>
          <w:szCs w:val="20"/>
        </w:rPr>
        <w:t>Income From Continuing Ope</w:t>
      </w:r>
      <w:r>
        <w:rPr>
          <w:rFonts w:eastAsia="Times New Roman"/>
          <w:b/>
          <w:bCs/>
          <w:i/>
          <w:iCs/>
          <w:color w:val="000000"/>
          <w:sz w:val="20"/>
          <w:szCs w:val="20"/>
        </w:rPr>
        <w:t>rations Per Diluted Common Share Attributable to L3Harris Common Shareholders</w:t>
      </w:r>
    </w:p>
    <w:p w:rsidR="00000000" w:rsidRDefault="00AE54EE">
      <w:pPr>
        <w:ind w:firstLine="450"/>
        <w:divId w:val="1975401877"/>
        <w:rPr>
          <w:rFonts w:eastAsia="Times New Roman"/>
        </w:rPr>
      </w:pPr>
      <w:r>
        <w:rPr>
          <w:rFonts w:eastAsia="Times New Roman"/>
          <w:i/>
          <w:iCs/>
          <w:color w:val="000000"/>
          <w:sz w:val="20"/>
          <w:szCs w:val="20"/>
        </w:rPr>
        <w:t>Fiscal 2021 Compared With Fiscal 2020:  </w:t>
      </w:r>
      <w:r>
        <w:rPr>
          <w:rFonts w:eastAsia="Times New Roman"/>
          <w:color w:val="000000"/>
          <w:sz w:val="20"/>
          <w:szCs w:val="20"/>
        </w:rPr>
        <w:t>The increase in income from continuing operations per diluted common share attributable to L3Harris common shareholders in fiscal 2021 com</w:t>
      </w:r>
      <w:r>
        <w:rPr>
          <w:rFonts w:eastAsia="Times New Roman"/>
          <w:color w:val="000000"/>
          <w:sz w:val="20"/>
          <w:szCs w:val="20"/>
        </w:rPr>
        <w:t xml:space="preserve">pared with fiscal 2020 was primarily due to higher income from continuing operations and fewer diluted weighted average common shares outstanding, reflecting the repurchases of shares of our common stock under our repurchase program in fiscal 2021. </w:t>
      </w:r>
    </w:p>
    <w:p w:rsidR="00000000" w:rsidRDefault="00AE54EE">
      <w:pPr>
        <w:ind w:firstLine="450"/>
        <w:divId w:val="418065485"/>
        <w:rPr>
          <w:rFonts w:eastAsia="Times New Roman"/>
        </w:rPr>
      </w:pPr>
      <w:r>
        <w:rPr>
          <w:rFonts w:eastAsia="Times New Roman"/>
          <w:i/>
          <w:iCs/>
          <w:color w:val="000000"/>
          <w:sz w:val="20"/>
          <w:szCs w:val="20"/>
        </w:rPr>
        <w:t>Fiscal</w:t>
      </w:r>
      <w:r>
        <w:rPr>
          <w:rFonts w:eastAsia="Times New Roman"/>
          <w:i/>
          <w:iCs/>
          <w:color w:val="000000"/>
          <w:sz w:val="20"/>
          <w:szCs w:val="20"/>
        </w:rPr>
        <w:t xml:space="preserve"> 2020 Compared With Four Quarters Ended January 3, 2020:  </w:t>
      </w:r>
      <w:r>
        <w:rPr>
          <w:rFonts w:eastAsia="Times New Roman"/>
          <w:color w:val="000000"/>
          <w:sz w:val="20"/>
          <w:szCs w:val="20"/>
        </w:rPr>
        <w:t>The decrease in income from continuing operations per diluted common share attributable to L3Harris common shareholders in fiscal 2020 compared with the four quarters ended January 3, 2020 was prima</w:t>
      </w:r>
      <w:r>
        <w:rPr>
          <w:rFonts w:eastAsia="Times New Roman"/>
          <w:color w:val="000000"/>
          <w:sz w:val="20"/>
          <w:szCs w:val="20"/>
        </w:rPr>
        <w:t xml:space="preserve">rily due to the combined effects of the reasons in the sections noted above regarding fiscal 2020 and the four quarters ended January 3, 2020, particularly the non-cash charges for impairment of goodwill and other assets and other COVID-related impacts in </w:t>
      </w:r>
      <w:r>
        <w:rPr>
          <w:rFonts w:eastAsia="Times New Roman"/>
          <w:color w:val="000000"/>
          <w:sz w:val="20"/>
          <w:szCs w:val="20"/>
        </w:rPr>
        <w:t>our Commercial Aviation Solutions reporting unit associated with the downturn in the commercial aviation market and its impact on customer operations, the absence of a prior-year benefit from the gain on the sale of the Harris Night Vision business and div</w:t>
      </w:r>
      <w:r>
        <w:rPr>
          <w:rFonts w:eastAsia="Times New Roman"/>
          <w:color w:val="000000"/>
          <w:sz w:val="20"/>
          <w:szCs w:val="20"/>
        </w:rPr>
        <w:t xml:space="preserve">estitures in fiscal 2020, as well as higher diluted weighted average common shares outstanding as a result of 104 million shares issued in connection with the L3Harris Merger, partially offset by share repurchases during fiscal 2020. </w:t>
      </w:r>
    </w:p>
    <w:p w:rsidR="00000000" w:rsidRDefault="00AE54EE">
      <w:pPr>
        <w:ind w:firstLine="450"/>
        <w:divId w:val="473913929"/>
        <w:rPr>
          <w:rFonts w:eastAsia="Times New Roman"/>
        </w:rPr>
      </w:pPr>
      <w:r>
        <w:rPr>
          <w:rFonts w:eastAsia="Times New Roman"/>
          <w:color w:val="000000"/>
          <w:sz w:val="20"/>
          <w:szCs w:val="20"/>
        </w:rPr>
        <w:t>See the “Common Stock</w:t>
      </w:r>
      <w:r>
        <w:rPr>
          <w:rFonts w:eastAsia="Times New Roman"/>
          <w:color w:val="000000"/>
          <w:sz w:val="20"/>
          <w:szCs w:val="20"/>
        </w:rPr>
        <w:t xml:space="preserve"> Repurchases” discussion below in this MD&amp;A for further information.</w:t>
      </w:r>
    </w:p>
    <w:p w:rsidR="00000000" w:rsidRDefault="00AE54EE">
      <w:pPr>
        <w:ind w:firstLine="450"/>
        <w:jc w:val="center"/>
        <w:divId w:val="846212322"/>
        <w:rPr>
          <w:rFonts w:eastAsia="Times New Roman"/>
        </w:rPr>
      </w:pPr>
      <w:r>
        <w:rPr>
          <w:rFonts w:eastAsia="Times New Roman"/>
          <w:color w:val="000000"/>
          <w:sz w:val="20"/>
          <w:szCs w:val="20"/>
        </w:rPr>
        <w:t>40</w:t>
      </w:r>
    </w:p>
    <w:p w:rsidR="00000000" w:rsidRDefault="00AE54EE">
      <w:pPr>
        <w:rPr>
          <w:rFonts w:eastAsia="Times New Roman"/>
        </w:rPr>
      </w:pPr>
      <w:r>
        <w:rPr>
          <w:rFonts w:eastAsia="Times New Roman"/>
        </w:rPr>
        <w:pict>
          <v:rect id="_x0000_i1068" style="width:0;height:1.5pt" o:hralign="center" o:hrstd="t" o:hr="t" fillcolor="#a0a0a0" stroked="f"/>
        </w:pict>
      </w:r>
    </w:p>
    <w:p w:rsidR="00000000" w:rsidRDefault="00AE54EE">
      <w:pPr>
        <w:ind w:firstLine="450"/>
        <w:divId w:val="1496873540"/>
        <w:rPr>
          <w:rFonts w:eastAsia="Times New Roman"/>
        </w:rPr>
      </w:pPr>
    </w:p>
    <w:p w:rsidR="00000000" w:rsidRDefault="00AE54EE">
      <w:pPr>
        <w:divId w:val="797576403"/>
        <w:rPr>
          <w:rFonts w:eastAsia="Times New Roman"/>
        </w:rPr>
      </w:pPr>
      <w:r>
        <w:rPr>
          <w:rFonts w:eastAsia="Times New Roman"/>
          <w:b/>
          <w:bCs/>
          <w:color w:val="000000"/>
          <w:sz w:val="20"/>
          <w:szCs w:val="20"/>
        </w:rPr>
        <w:t>Pro Forma Basis Discussion for Fiscal 2020 Compared With the Four Quarters Ended January 3, 2020</w:t>
      </w:r>
    </w:p>
    <w:p w:rsidR="00000000" w:rsidRDefault="00AE54EE">
      <w:pPr>
        <w:divId w:val="399715980"/>
        <w:rPr>
          <w:rFonts w:eastAsia="Times New Roman"/>
        </w:rPr>
      </w:pPr>
      <w:r>
        <w:rPr>
          <w:rFonts w:eastAsia="Times New Roman"/>
          <w:b/>
          <w:bCs/>
          <w:i/>
          <w:iCs/>
          <w:color w:val="000000"/>
          <w:sz w:val="20"/>
          <w:szCs w:val="20"/>
        </w:rPr>
        <w:t>Revenue</w:t>
      </w:r>
    </w:p>
    <w:p w:rsidR="00000000" w:rsidRDefault="00AE54EE">
      <w:pPr>
        <w:ind w:firstLine="450"/>
        <w:divId w:val="1344090906"/>
        <w:rPr>
          <w:rFonts w:eastAsia="Times New Roman"/>
        </w:rPr>
      </w:pPr>
      <w:r>
        <w:rPr>
          <w:rFonts w:eastAsia="Times New Roman"/>
          <w:color w:val="000000"/>
          <w:sz w:val="20"/>
          <w:szCs w:val="20"/>
        </w:rPr>
        <w:t>The increase in revenue for fiscal 2020 compared with pro forma revenue for the four quarters ended January 3, 2020 was primarily due to growth in core</w:t>
      </w:r>
      <w:r>
        <w:rPr>
          <w:rFonts w:eastAsia="Times New Roman"/>
          <w:color w:val="000000"/>
          <w:sz w:val="20"/>
          <w:szCs w:val="20"/>
        </w:rPr>
        <w:t xml:space="preserve"> U.S. and international businesses, excluding commercial aviation and public safety markets, which more than offset the COVID-related decline. Revenue growth was driven by $257 million of higher revenue in our Space &amp; Airborne Systems segment, $178 million</w:t>
      </w:r>
      <w:r>
        <w:rPr>
          <w:rFonts w:eastAsia="Times New Roman"/>
          <w:color w:val="000000"/>
          <w:sz w:val="20"/>
          <w:szCs w:val="20"/>
        </w:rPr>
        <w:t xml:space="preserve"> of higher revenue in our Integrated Mission Systems segment and $165 million of higher revenue in our Communication Systems segment, partially offset by a decline in our Aviation Systems segment, due to the divestiture of the airport security and automati</w:t>
      </w:r>
      <w:r>
        <w:rPr>
          <w:rFonts w:eastAsia="Times New Roman"/>
          <w:color w:val="000000"/>
          <w:sz w:val="20"/>
          <w:szCs w:val="20"/>
        </w:rPr>
        <w:t xml:space="preserve">on business and COVID-related impacts. </w:t>
      </w:r>
    </w:p>
    <w:p w:rsidR="00000000" w:rsidRDefault="00AE54EE">
      <w:pPr>
        <w:divId w:val="80180143"/>
        <w:rPr>
          <w:rFonts w:eastAsia="Times New Roman"/>
        </w:rPr>
      </w:pPr>
      <w:r>
        <w:rPr>
          <w:rFonts w:eastAsia="Times New Roman"/>
          <w:b/>
          <w:bCs/>
          <w:i/>
          <w:iCs/>
          <w:color w:val="000000"/>
          <w:sz w:val="20"/>
          <w:szCs w:val="20"/>
        </w:rPr>
        <w:t>Gross Margin</w:t>
      </w:r>
    </w:p>
    <w:p w:rsidR="00000000" w:rsidRDefault="00AE54EE">
      <w:pPr>
        <w:ind w:firstLine="450"/>
        <w:divId w:val="756558502"/>
        <w:rPr>
          <w:rFonts w:eastAsia="Times New Roman"/>
        </w:rPr>
      </w:pPr>
      <w:r>
        <w:rPr>
          <w:rFonts w:eastAsia="Times New Roman"/>
          <w:color w:val="000000"/>
          <w:sz w:val="20"/>
          <w:szCs w:val="20"/>
        </w:rPr>
        <w:t>The increase in gross margin and comparability of gross margin percentage for fiscal 2020 compared with pro forma gross margin and gross margin percentage for the four quarters ended January 3, 2020 reflects integration benefits, higher volume, operational</w:t>
      </w:r>
      <w:r>
        <w:rPr>
          <w:rFonts w:eastAsia="Times New Roman"/>
          <w:color w:val="000000"/>
          <w:sz w:val="20"/>
          <w:szCs w:val="20"/>
        </w:rPr>
        <w:t xml:space="preserve"> excellence and $111 million of lower cost of sales related to the fair value step-up in inventory sold in the L3Harris Merger, partially offset by a mix of program revenue and product sales with relatively lower gross margin percentage in fiscal 2020.</w:t>
      </w:r>
    </w:p>
    <w:p w:rsidR="00000000" w:rsidRDefault="00AE54EE">
      <w:pPr>
        <w:divId w:val="864056260"/>
        <w:rPr>
          <w:rFonts w:eastAsia="Times New Roman"/>
        </w:rPr>
      </w:pPr>
      <w:r>
        <w:rPr>
          <w:rFonts w:eastAsia="Times New Roman"/>
          <w:b/>
          <w:bCs/>
          <w:i/>
          <w:iCs/>
          <w:color w:val="000000"/>
          <w:sz w:val="20"/>
          <w:szCs w:val="20"/>
        </w:rPr>
        <w:t>Eng</w:t>
      </w:r>
      <w:r>
        <w:rPr>
          <w:rFonts w:eastAsia="Times New Roman"/>
          <w:b/>
          <w:bCs/>
          <w:i/>
          <w:iCs/>
          <w:color w:val="000000"/>
          <w:sz w:val="20"/>
          <w:szCs w:val="20"/>
        </w:rPr>
        <w:t>ineering, Selling and Administrative Expenses</w:t>
      </w:r>
    </w:p>
    <w:p w:rsidR="00000000" w:rsidRDefault="00AE54EE">
      <w:pPr>
        <w:ind w:firstLine="450"/>
        <w:divId w:val="1313365719"/>
        <w:rPr>
          <w:rFonts w:eastAsia="Times New Roman"/>
        </w:rPr>
      </w:pPr>
      <w:r>
        <w:rPr>
          <w:rFonts w:eastAsia="Times New Roman"/>
          <w:color w:val="000000"/>
          <w:sz w:val="20"/>
          <w:szCs w:val="20"/>
        </w:rPr>
        <w:t>The decreases in ESA expenses and ESA percentage for fiscal 2020 compared with pro forma ESA expenses and ESA percentage for the four quarters ended January 3, 2020 were primarily due to $262 million of lower L</w:t>
      </w:r>
      <w:r>
        <w:rPr>
          <w:rFonts w:eastAsia="Times New Roman"/>
          <w:color w:val="000000"/>
          <w:sz w:val="20"/>
          <w:szCs w:val="20"/>
        </w:rPr>
        <w:t>3Harris Merger-related transaction, integration and restructuring expenses, a $22 million gain on sale of property, plant and equipment and integration savings, partially offset by $105 million of higher amortization of identifiable intangible assets acqui</w:t>
      </w:r>
      <w:r>
        <w:rPr>
          <w:rFonts w:eastAsia="Times New Roman"/>
          <w:color w:val="000000"/>
          <w:sz w:val="20"/>
          <w:szCs w:val="20"/>
        </w:rPr>
        <w:t>red as a result of the L3Harris Merger, $16 million of COVID-related restructuring expenses and other costs and $13 million of higher divestiture-related expenses in fiscal 2020.</w:t>
      </w:r>
    </w:p>
    <w:p w:rsidR="00000000" w:rsidRDefault="00AE54EE">
      <w:pPr>
        <w:divId w:val="7679320"/>
        <w:rPr>
          <w:rFonts w:eastAsia="Times New Roman"/>
        </w:rPr>
      </w:pPr>
      <w:r>
        <w:rPr>
          <w:rFonts w:eastAsia="Times New Roman"/>
          <w:b/>
          <w:bCs/>
          <w:i/>
          <w:iCs/>
          <w:color w:val="000000"/>
          <w:sz w:val="20"/>
          <w:szCs w:val="20"/>
        </w:rPr>
        <w:t xml:space="preserve">Business Divestiture-Related Gains (Losses) </w:t>
      </w:r>
    </w:p>
    <w:p w:rsidR="00000000" w:rsidRDefault="00AE54EE">
      <w:pPr>
        <w:ind w:firstLine="450"/>
        <w:divId w:val="226036340"/>
        <w:rPr>
          <w:rFonts w:eastAsia="Times New Roman"/>
        </w:rPr>
      </w:pPr>
      <w:r>
        <w:rPr>
          <w:rFonts w:eastAsia="Times New Roman"/>
          <w:color w:val="000000"/>
          <w:sz w:val="20"/>
          <w:szCs w:val="20"/>
        </w:rPr>
        <w:t>Business divestiture-related gai</w:t>
      </w:r>
      <w:r>
        <w:rPr>
          <w:rFonts w:eastAsia="Times New Roman"/>
          <w:color w:val="000000"/>
          <w:sz w:val="20"/>
          <w:szCs w:val="20"/>
        </w:rPr>
        <w:t>ns (losses) for fiscal 2020 and the four quarters ended January 3, 2020 on a pro forma basis included the same items as noted above for fiscal 2020 and the four quarters ended January 3, 2020 on an as reported basis.</w:t>
      </w:r>
    </w:p>
    <w:p w:rsidR="00000000" w:rsidRDefault="00AE54EE">
      <w:pPr>
        <w:ind w:firstLine="450"/>
        <w:divId w:val="560560448"/>
        <w:rPr>
          <w:rFonts w:eastAsia="Times New Roman"/>
        </w:rPr>
      </w:pPr>
      <w:r>
        <w:rPr>
          <w:rFonts w:eastAsia="Times New Roman"/>
          <w:color w:val="000000"/>
          <w:sz w:val="20"/>
          <w:szCs w:val="20"/>
        </w:rPr>
        <w:t xml:space="preserve">See </w:t>
      </w:r>
      <w:r>
        <w:rPr>
          <w:rFonts w:eastAsia="Times New Roman"/>
          <w:i/>
          <w:iCs/>
          <w:color w:val="000000"/>
          <w:sz w:val="20"/>
          <w:szCs w:val="20"/>
        </w:rPr>
        <w:t>Note 3: Business Divestitures and A</w:t>
      </w:r>
      <w:r>
        <w:rPr>
          <w:rFonts w:eastAsia="Times New Roman"/>
          <w:i/>
          <w:iCs/>
          <w:color w:val="000000"/>
          <w:sz w:val="20"/>
          <w:szCs w:val="20"/>
        </w:rPr>
        <w:t xml:space="preserve">sset Sales </w:t>
      </w:r>
      <w:r>
        <w:rPr>
          <w:rFonts w:eastAsia="Times New Roman"/>
          <w:color w:val="000000"/>
          <w:sz w:val="20"/>
          <w:szCs w:val="20"/>
        </w:rPr>
        <w:t>in the Notes for further information.</w:t>
      </w:r>
    </w:p>
    <w:p w:rsidR="00000000" w:rsidRDefault="00AE54EE">
      <w:pPr>
        <w:divId w:val="831722190"/>
        <w:rPr>
          <w:rFonts w:eastAsia="Times New Roman"/>
        </w:rPr>
      </w:pPr>
      <w:r>
        <w:rPr>
          <w:rFonts w:eastAsia="Times New Roman"/>
          <w:b/>
          <w:bCs/>
          <w:i/>
          <w:iCs/>
          <w:color w:val="000000"/>
          <w:sz w:val="20"/>
          <w:szCs w:val="20"/>
        </w:rPr>
        <w:t>Impairment of Goodwill and Other Assets</w:t>
      </w:r>
      <w:r>
        <w:rPr>
          <w:rFonts w:eastAsia="Times New Roman"/>
          <w:i/>
          <w:iCs/>
          <w:color w:val="000000"/>
          <w:sz w:val="20"/>
          <w:szCs w:val="20"/>
        </w:rPr>
        <w:t xml:space="preserve"> </w:t>
      </w:r>
    </w:p>
    <w:p w:rsidR="00000000" w:rsidRDefault="00AE54EE">
      <w:pPr>
        <w:ind w:firstLine="450"/>
        <w:divId w:val="1950310949"/>
        <w:rPr>
          <w:rFonts w:eastAsia="Times New Roman"/>
        </w:rPr>
      </w:pPr>
      <w:r>
        <w:rPr>
          <w:rFonts w:eastAsia="Times New Roman"/>
          <w:color w:val="000000"/>
          <w:sz w:val="20"/>
          <w:szCs w:val="20"/>
        </w:rPr>
        <w:t xml:space="preserve">Impairment of goodwill and other assets for fiscal 2020 and the four quarters ended January 3, 2020 on a pro forma basis reflects the same charges as noted above for </w:t>
      </w:r>
      <w:r>
        <w:rPr>
          <w:rFonts w:eastAsia="Times New Roman"/>
          <w:color w:val="000000"/>
          <w:sz w:val="20"/>
          <w:szCs w:val="20"/>
        </w:rPr>
        <w:t>fiscal 2020 and the four quarters ended January 3, 2020 on an as reported basis.</w:t>
      </w:r>
    </w:p>
    <w:p w:rsidR="00000000" w:rsidRDefault="00AE54EE">
      <w:pPr>
        <w:ind w:firstLine="450"/>
        <w:divId w:val="1155491847"/>
        <w:rPr>
          <w:rFonts w:eastAsia="Times New Roman"/>
        </w:rPr>
      </w:pPr>
      <w:r>
        <w:rPr>
          <w:rFonts w:eastAsia="Times New Roman"/>
          <w:color w:val="000000"/>
          <w:sz w:val="20"/>
          <w:szCs w:val="20"/>
        </w:rPr>
        <w:t xml:space="preserve">See </w:t>
      </w:r>
      <w:r>
        <w:rPr>
          <w:rFonts w:eastAsia="Times New Roman"/>
          <w:i/>
          <w:iCs/>
          <w:color w:val="000000"/>
          <w:sz w:val="20"/>
          <w:szCs w:val="20"/>
        </w:rPr>
        <w:t>Note 3: Business Divestitures and Asset Sales</w:t>
      </w:r>
      <w:r>
        <w:rPr>
          <w:rFonts w:eastAsia="Times New Roman"/>
          <w:color w:val="000000"/>
          <w:sz w:val="20"/>
          <w:szCs w:val="20"/>
        </w:rPr>
        <w:t xml:space="preserve"> and </w:t>
      </w:r>
      <w:r>
        <w:rPr>
          <w:rFonts w:eastAsia="Times New Roman"/>
          <w:i/>
          <w:iCs/>
          <w:color w:val="000000"/>
          <w:sz w:val="20"/>
          <w:szCs w:val="20"/>
        </w:rPr>
        <w:t>Note 9: Goodwill</w:t>
      </w:r>
      <w:r>
        <w:rPr>
          <w:rFonts w:eastAsia="Times New Roman"/>
          <w:color w:val="000000"/>
          <w:sz w:val="20"/>
          <w:szCs w:val="20"/>
        </w:rPr>
        <w:t xml:space="preserve"> in the Notes for further information.</w:t>
      </w:r>
    </w:p>
    <w:p w:rsidR="00000000" w:rsidRDefault="00AE54EE">
      <w:pPr>
        <w:divId w:val="2003508289"/>
        <w:rPr>
          <w:rFonts w:eastAsia="Times New Roman"/>
        </w:rPr>
      </w:pPr>
      <w:r>
        <w:rPr>
          <w:rFonts w:eastAsia="Times New Roman"/>
          <w:b/>
          <w:bCs/>
          <w:i/>
          <w:iCs/>
          <w:color w:val="000000"/>
          <w:sz w:val="20"/>
          <w:szCs w:val="20"/>
        </w:rPr>
        <w:t xml:space="preserve">Non-Operating Income </w:t>
      </w:r>
    </w:p>
    <w:p w:rsidR="00000000" w:rsidRDefault="00AE54EE">
      <w:pPr>
        <w:ind w:firstLine="450"/>
        <w:divId w:val="36322559"/>
        <w:rPr>
          <w:rFonts w:eastAsia="Times New Roman"/>
        </w:rPr>
      </w:pPr>
      <w:r>
        <w:rPr>
          <w:rFonts w:eastAsia="Times New Roman"/>
          <w:color w:val="000000"/>
          <w:sz w:val="20"/>
          <w:szCs w:val="20"/>
        </w:rPr>
        <w:t>The increase in non-operating income for fis</w:t>
      </w:r>
      <w:r>
        <w:rPr>
          <w:rFonts w:eastAsia="Times New Roman"/>
          <w:color w:val="000000"/>
          <w:sz w:val="20"/>
          <w:szCs w:val="20"/>
        </w:rPr>
        <w:t>cal 2020 compared with pro forma non-operating income for the four quarters ended January 3, 2020 was primarily due to an increase in the non-service cost components of pension and other postretirement benefit plan income, partially offset by a $23 million</w:t>
      </w:r>
      <w:r>
        <w:rPr>
          <w:rFonts w:eastAsia="Times New Roman"/>
          <w:color w:val="000000"/>
          <w:sz w:val="20"/>
          <w:szCs w:val="20"/>
        </w:rPr>
        <w:t xml:space="preserve"> gain on a pension plan curtailment in the four quarters ended January 3, 2020.</w:t>
      </w:r>
    </w:p>
    <w:p w:rsidR="00000000" w:rsidRDefault="00AE54EE">
      <w:pPr>
        <w:divId w:val="471794504"/>
        <w:rPr>
          <w:rFonts w:eastAsia="Times New Roman"/>
        </w:rPr>
      </w:pPr>
      <w:r>
        <w:rPr>
          <w:rFonts w:eastAsia="Times New Roman"/>
          <w:b/>
          <w:bCs/>
          <w:i/>
          <w:iCs/>
          <w:color w:val="000000"/>
          <w:sz w:val="20"/>
          <w:szCs w:val="20"/>
        </w:rPr>
        <w:t>Net Interest Expense</w:t>
      </w:r>
    </w:p>
    <w:p w:rsidR="00000000" w:rsidRDefault="00AE54EE">
      <w:pPr>
        <w:ind w:firstLine="450"/>
        <w:divId w:val="1790009023"/>
        <w:rPr>
          <w:rFonts w:eastAsia="Times New Roman"/>
        </w:rPr>
      </w:pPr>
      <w:r>
        <w:rPr>
          <w:rFonts w:eastAsia="Times New Roman"/>
          <w:color w:val="000000"/>
          <w:sz w:val="20"/>
          <w:szCs w:val="20"/>
        </w:rPr>
        <w:t>Net interest expense for fiscal 2020 was largely unchanged compared with pro forma net interest expense for the four quarters ended January 3, 2020.</w:t>
      </w:r>
    </w:p>
    <w:p w:rsidR="00000000" w:rsidRDefault="00AE54EE">
      <w:pPr>
        <w:divId w:val="1572034156"/>
        <w:rPr>
          <w:rFonts w:eastAsia="Times New Roman"/>
        </w:rPr>
      </w:pPr>
      <w:r>
        <w:rPr>
          <w:rFonts w:eastAsia="Times New Roman"/>
          <w:b/>
          <w:bCs/>
          <w:i/>
          <w:iCs/>
          <w:color w:val="000000"/>
          <w:sz w:val="20"/>
          <w:szCs w:val="20"/>
        </w:rPr>
        <w:t>Income</w:t>
      </w:r>
      <w:r>
        <w:rPr>
          <w:rFonts w:eastAsia="Times New Roman"/>
          <w:b/>
          <w:bCs/>
          <w:i/>
          <w:iCs/>
          <w:color w:val="000000"/>
          <w:sz w:val="20"/>
          <w:szCs w:val="20"/>
        </w:rPr>
        <w:t xml:space="preserve"> Taxes</w:t>
      </w:r>
    </w:p>
    <w:p w:rsidR="00000000" w:rsidRDefault="00AE54EE">
      <w:pPr>
        <w:ind w:firstLine="450"/>
        <w:divId w:val="219677986"/>
        <w:rPr>
          <w:rFonts w:eastAsia="Times New Roman"/>
        </w:rPr>
      </w:pPr>
      <w:r>
        <w:rPr>
          <w:rFonts w:eastAsia="Times New Roman"/>
          <w:color w:val="000000"/>
          <w:sz w:val="20"/>
          <w:szCs w:val="20"/>
        </w:rPr>
        <w:t>Our effective tax rate was 18 percent in fiscal 2020 compared with a 10 percent pro forma effective tax rate for the four quarters ended January 3, 2020. Our effective tax rate for fiscal 2020 was impacted by the same items as noted above for fiscal</w:t>
      </w:r>
      <w:r>
        <w:rPr>
          <w:rFonts w:eastAsia="Times New Roman"/>
          <w:color w:val="000000"/>
          <w:sz w:val="20"/>
          <w:szCs w:val="20"/>
        </w:rPr>
        <w:t xml:space="preserve"> 2020 on an as reported basis.</w:t>
      </w:r>
    </w:p>
    <w:p w:rsidR="00000000" w:rsidRDefault="00AE54EE">
      <w:pPr>
        <w:ind w:firstLine="450"/>
        <w:divId w:val="1942300917"/>
        <w:rPr>
          <w:rFonts w:eastAsia="Times New Roman"/>
        </w:rPr>
      </w:pPr>
      <w:r>
        <w:rPr>
          <w:rFonts w:eastAsia="Times New Roman"/>
          <w:color w:val="000000"/>
          <w:sz w:val="20"/>
          <w:szCs w:val="20"/>
        </w:rPr>
        <w:t>See “Supplemental Unaudited Pro Forma Condensed Combined Income Statement Information” below in this MD&amp;A for information regarding our pro forma effective tax rate for the four quarters ended January 3, 2020.</w:t>
      </w:r>
    </w:p>
    <w:p w:rsidR="00000000" w:rsidRDefault="00AE54EE">
      <w:pPr>
        <w:divId w:val="1164125760"/>
        <w:rPr>
          <w:rFonts w:eastAsia="Times New Roman"/>
        </w:rPr>
      </w:pPr>
      <w:r>
        <w:rPr>
          <w:rFonts w:eastAsia="Times New Roman"/>
          <w:b/>
          <w:bCs/>
          <w:i/>
          <w:iCs/>
          <w:color w:val="000000"/>
          <w:sz w:val="20"/>
          <w:szCs w:val="20"/>
        </w:rPr>
        <w:t>Income From Con</w:t>
      </w:r>
      <w:r>
        <w:rPr>
          <w:rFonts w:eastAsia="Times New Roman"/>
          <w:b/>
          <w:bCs/>
          <w:i/>
          <w:iCs/>
          <w:color w:val="000000"/>
          <w:sz w:val="20"/>
          <w:szCs w:val="20"/>
        </w:rPr>
        <w:t>tinuing Operations</w:t>
      </w:r>
    </w:p>
    <w:p w:rsidR="00000000" w:rsidRDefault="00AE54EE">
      <w:pPr>
        <w:ind w:firstLine="495"/>
        <w:divId w:val="149101421"/>
        <w:rPr>
          <w:rFonts w:eastAsia="Times New Roman"/>
        </w:rPr>
      </w:pPr>
      <w:r>
        <w:rPr>
          <w:rFonts w:eastAsia="Times New Roman"/>
          <w:color w:val="000000"/>
          <w:sz w:val="20"/>
          <w:szCs w:val="20"/>
        </w:rPr>
        <w:t xml:space="preserve">The decrease in income from continuing operations for fiscal 2020 compared with pro forma income from continuing operations for the four quarters ended January 3, 2020 was primarily due to the combined effects of the reasons noted above </w:t>
      </w:r>
      <w:r>
        <w:rPr>
          <w:rFonts w:eastAsia="Times New Roman"/>
          <w:color w:val="000000"/>
          <w:sz w:val="20"/>
          <w:szCs w:val="20"/>
        </w:rPr>
        <w:t>in this “Pro Forma” discussion, particularly the non-cash charges for impairment of goodwill and other assets in our Commercial Aviation Solutions reporting unit associated with the COVID-related downturn in the commercial aviation market and its impact on</w:t>
      </w:r>
      <w:r>
        <w:rPr>
          <w:rFonts w:eastAsia="Times New Roman"/>
          <w:color w:val="000000"/>
          <w:sz w:val="20"/>
          <w:szCs w:val="20"/>
        </w:rPr>
        <w:t xml:space="preserve"> customer operations, the absence of a prior-year benefit from the gain on the sale of the Harris Night Vision business, and divestitures in fiscal 2020.</w:t>
      </w:r>
    </w:p>
    <w:p w:rsidR="00000000" w:rsidRDefault="00AE54EE">
      <w:pPr>
        <w:ind w:firstLine="450"/>
        <w:jc w:val="center"/>
        <w:divId w:val="893662539"/>
        <w:rPr>
          <w:rFonts w:eastAsia="Times New Roman"/>
        </w:rPr>
      </w:pPr>
      <w:r>
        <w:rPr>
          <w:rFonts w:eastAsia="Times New Roman"/>
          <w:color w:val="000000"/>
          <w:sz w:val="20"/>
          <w:szCs w:val="20"/>
        </w:rPr>
        <w:t>41</w:t>
      </w:r>
    </w:p>
    <w:p w:rsidR="00000000" w:rsidRDefault="00AE54EE">
      <w:pPr>
        <w:rPr>
          <w:rFonts w:eastAsia="Times New Roman"/>
        </w:rPr>
      </w:pPr>
      <w:r>
        <w:rPr>
          <w:rFonts w:eastAsia="Times New Roman"/>
        </w:rPr>
        <w:pict>
          <v:rect id="_x0000_i1069" style="width:0;height:1.5pt" o:hralign="center" o:hrstd="t" o:hr="t" fillcolor="#a0a0a0" stroked="f"/>
        </w:pict>
      </w:r>
    </w:p>
    <w:p w:rsidR="00000000" w:rsidRDefault="00AE54EE">
      <w:pPr>
        <w:ind w:firstLine="450"/>
        <w:divId w:val="761418952"/>
        <w:rPr>
          <w:rFonts w:eastAsia="Times New Roman"/>
        </w:rPr>
      </w:pPr>
    </w:p>
    <w:p w:rsidR="00000000" w:rsidRDefault="00AE54EE">
      <w:pPr>
        <w:divId w:val="706835148"/>
        <w:rPr>
          <w:rFonts w:eastAsia="Times New Roman"/>
        </w:rPr>
      </w:pPr>
      <w:r>
        <w:rPr>
          <w:rFonts w:eastAsia="Times New Roman"/>
          <w:b/>
          <w:bCs/>
          <w:i/>
          <w:iCs/>
          <w:color w:val="000000"/>
          <w:sz w:val="20"/>
          <w:szCs w:val="20"/>
        </w:rPr>
        <w:t>Income From Continuing Operations Per Diluted Common Share A</w:t>
      </w:r>
      <w:r>
        <w:rPr>
          <w:rFonts w:eastAsia="Times New Roman"/>
          <w:b/>
          <w:bCs/>
          <w:i/>
          <w:iCs/>
          <w:color w:val="000000"/>
          <w:sz w:val="20"/>
          <w:szCs w:val="20"/>
        </w:rPr>
        <w:t>ttributable to L3Harris Common Shareholders</w:t>
      </w:r>
    </w:p>
    <w:p w:rsidR="00000000" w:rsidRDefault="00AE54EE">
      <w:pPr>
        <w:ind w:firstLine="450"/>
        <w:divId w:val="792089807"/>
        <w:rPr>
          <w:rFonts w:eastAsia="Times New Roman"/>
        </w:rPr>
      </w:pPr>
      <w:r>
        <w:rPr>
          <w:rFonts w:eastAsia="Times New Roman"/>
          <w:color w:val="000000"/>
          <w:sz w:val="20"/>
          <w:szCs w:val="20"/>
        </w:rPr>
        <w:t>The decrease in income from continuing operations per diluted common share attributable to L3Harris common shareholders for fiscal 2020 compared with pro forma income from continuing operations per diluted common</w:t>
      </w:r>
      <w:r>
        <w:rPr>
          <w:rFonts w:eastAsia="Times New Roman"/>
          <w:color w:val="000000"/>
          <w:sz w:val="20"/>
          <w:szCs w:val="20"/>
        </w:rPr>
        <w:t xml:space="preserve"> share attributable to L3Harris common shareholders for the four quarters ended January 3, 2020 was primarily due to lower income from continuing operations, as discussed above, partially offset by a decrease in our diluted weighted average common shares o</w:t>
      </w:r>
      <w:r>
        <w:rPr>
          <w:rFonts w:eastAsia="Times New Roman"/>
          <w:color w:val="000000"/>
          <w:sz w:val="20"/>
          <w:szCs w:val="20"/>
        </w:rPr>
        <w:t xml:space="preserve">utstanding from shares of our common stock repurchased under our repurchase program during fiscal 2020. </w:t>
      </w:r>
    </w:p>
    <w:p w:rsidR="00000000" w:rsidRDefault="00AE54EE">
      <w:pPr>
        <w:ind w:firstLine="450"/>
        <w:divId w:val="433668913"/>
        <w:rPr>
          <w:rFonts w:eastAsia="Times New Roman"/>
        </w:rPr>
      </w:pPr>
      <w:r>
        <w:rPr>
          <w:rFonts w:eastAsia="Times New Roman"/>
          <w:color w:val="000000"/>
          <w:sz w:val="20"/>
          <w:szCs w:val="20"/>
        </w:rPr>
        <w:t>See the “Common Stock Repurchases” discussion below in this MD&amp;A for further information.</w:t>
      </w:r>
    </w:p>
    <w:p w:rsidR="00000000" w:rsidRDefault="00AE54EE">
      <w:pPr>
        <w:divId w:val="1348170865"/>
        <w:rPr>
          <w:rFonts w:eastAsia="Times New Roman"/>
        </w:rPr>
      </w:pPr>
      <w:r>
        <w:rPr>
          <w:rFonts w:eastAsia="Times New Roman"/>
          <w:b/>
          <w:bCs/>
          <w:color w:val="000000"/>
          <w:sz w:val="20"/>
          <w:szCs w:val="20"/>
        </w:rPr>
        <w:t xml:space="preserve">Supplemental Unaudited Pro Forma Condensed Combined Income Statement Information </w:t>
      </w:r>
    </w:p>
    <w:p w:rsidR="00000000" w:rsidRDefault="00AE54EE">
      <w:pPr>
        <w:ind w:firstLine="450"/>
        <w:divId w:val="1243874563"/>
        <w:rPr>
          <w:rFonts w:eastAsia="Times New Roman"/>
        </w:rPr>
      </w:pPr>
      <w:r>
        <w:rPr>
          <w:rFonts w:eastAsia="Times New Roman"/>
          <w:color w:val="000000"/>
          <w:sz w:val="20"/>
          <w:szCs w:val="20"/>
        </w:rPr>
        <w:t>The following supplemental unaudited pro forma condensed combined income statement information prepared in accordance with the requirements of Article 11 of Regulation S-X pr</w:t>
      </w:r>
      <w:r>
        <w:rPr>
          <w:rFonts w:eastAsia="Times New Roman"/>
          <w:color w:val="000000"/>
          <w:sz w:val="20"/>
          <w:szCs w:val="20"/>
        </w:rPr>
        <w:t>ovides further information supporting the preparation of the supplemental unaudited pro forma condensed combined financial information for the four quarters ended January 3, 2020 provided above in the “Consolidated Results of Operations” discussion in this</w:t>
      </w:r>
      <w:r>
        <w:rPr>
          <w:rFonts w:eastAsia="Times New Roman"/>
          <w:color w:val="000000"/>
          <w:sz w:val="20"/>
          <w:szCs w:val="20"/>
        </w:rPr>
        <w:t xml:space="preserve"> MD&amp;A and has been prepared to give effect to the L3Harris Merger under the acquisition method of accounting. It combines the historical results of operations of Harris and L3 and reflects the L3Harris Merger as if it closed on June 30, 2018, the first day</w:t>
      </w:r>
      <w:r>
        <w:rPr>
          <w:rFonts w:eastAsia="Times New Roman"/>
          <w:color w:val="000000"/>
          <w:sz w:val="20"/>
          <w:szCs w:val="20"/>
        </w:rPr>
        <w:t xml:space="preserve"> of Harris’ fiscal 2019, and gives effect to pro forma events that are (a) directly attributable to the L3Harris Merger, (b) factually supportable and (c) expected to have a continuing impact on our results of operations. The adjustments include adjustment</w:t>
      </w:r>
      <w:r>
        <w:rPr>
          <w:rFonts w:eastAsia="Times New Roman"/>
          <w:color w:val="000000"/>
          <w:sz w:val="20"/>
          <w:szCs w:val="20"/>
        </w:rPr>
        <w:t>s to reflect the sale of the Harris Night Vision business, which is directly attributable to the L3Harris Merger, but do not include any adjustments for the use of proceeds from such sale, because the use is not directly attributable to the L3Harris Merger</w:t>
      </w:r>
      <w:r>
        <w:rPr>
          <w:rFonts w:eastAsia="Times New Roman"/>
          <w:color w:val="000000"/>
          <w:sz w:val="20"/>
          <w:szCs w:val="20"/>
        </w:rPr>
        <w:t xml:space="preserve">. The pro forma condensed combined income statement information is provided for informational and supplemental purposes only, and does not purport to indicate what L3Harris’ results of operations would have been, or L3Harris’ future results of operations, </w:t>
      </w:r>
      <w:r>
        <w:rPr>
          <w:rFonts w:eastAsia="Times New Roman"/>
          <w:color w:val="000000"/>
          <w:sz w:val="20"/>
          <w:szCs w:val="20"/>
        </w:rPr>
        <w:t>had the L3Harris Merger actually occurred on June 30, 2018. The supplemental unaudited pro forma condensed combined income statement information should be read in conjunction with other sections of this MD&amp;A, our Consolidated Financial Statements and the N</w:t>
      </w:r>
      <w:r>
        <w:rPr>
          <w:rFonts w:eastAsia="Times New Roman"/>
          <w:color w:val="000000"/>
          <w:sz w:val="20"/>
          <w:szCs w:val="20"/>
        </w:rPr>
        <w:t xml:space="preserve">otes appearing elsewhere in this Report. </w:t>
      </w:r>
    </w:p>
    <w:p w:rsidR="00000000" w:rsidRDefault="00AE54EE">
      <w:pPr>
        <w:ind w:firstLine="450"/>
        <w:jc w:val="center"/>
        <w:divId w:val="1096830290"/>
        <w:rPr>
          <w:rFonts w:eastAsia="Times New Roman"/>
        </w:rPr>
      </w:pPr>
      <w:r>
        <w:rPr>
          <w:rFonts w:eastAsia="Times New Roman"/>
          <w:color w:val="000000"/>
          <w:sz w:val="20"/>
          <w:szCs w:val="20"/>
        </w:rPr>
        <w:t>42</w:t>
      </w:r>
    </w:p>
    <w:p w:rsidR="00000000" w:rsidRDefault="00AE54EE">
      <w:pPr>
        <w:rPr>
          <w:rFonts w:eastAsia="Times New Roman"/>
        </w:rPr>
      </w:pPr>
      <w:r>
        <w:rPr>
          <w:rFonts w:eastAsia="Times New Roman"/>
        </w:rPr>
        <w:pict>
          <v:rect id="_x0000_i1070" style="width:0;height:1.5pt" o:hralign="center" o:hrstd="t" o:hr="t" fillcolor="#a0a0a0" stroked="f"/>
        </w:pict>
      </w:r>
    </w:p>
    <w:p w:rsidR="00000000" w:rsidRDefault="00AE54EE">
      <w:pPr>
        <w:ind w:firstLine="450"/>
        <w:divId w:val="189912978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526"/>
        <w:gridCol w:w="37"/>
        <w:gridCol w:w="121"/>
        <w:gridCol w:w="612"/>
        <w:gridCol w:w="37"/>
        <w:gridCol w:w="36"/>
        <w:gridCol w:w="36"/>
        <w:gridCol w:w="36"/>
        <w:gridCol w:w="121"/>
        <w:gridCol w:w="618"/>
        <w:gridCol w:w="37"/>
        <w:gridCol w:w="36"/>
        <w:gridCol w:w="36"/>
        <w:gridCol w:w="36"/>
        <w:gridCol w:w="121"/>
        <w:gridCol w:w="809"/>
        <w:gridCol w:w="36"/>
        <w:gridCol w:w="36"/>
        <w:gridCol w:w="36"/>
        <w:gridCol w:w="36"/>
        <w:gridCol w:w="82"/>
        <w:gridCol w:w="270"/>
        <w:gridCol w:w="36"/>
        <w:gridCol w:w="36"/>
        <w:gridCol w:w="36"/>
        <w:gridCol w:w="36"/>
        <w:gridCol w:w="120"/>
        <w:gridCol w:w="500"/>
        <w:gridCol w:w="36"/>
        <w:gridCol w:w="36"/>
        <w:gridCol w:w="36"/>
        <w:gridCol w:w="36"/>
        <w:gridCol w:w="121"/>
        <w:gridCol w:w="587"/>
        <w:gridCol w:w="37"/>
        <w:gridCol w:w="36"/>
        <w:gridCol w:w="36"/>
        <w:gridCol w:w="36"/>
        <w:gridCol w:w="120"/>
        <w:gridCol w:w="600"/>
        <w:gridCol w:w="36"/>
      </w:tblGrid>
      <w:tr w:rsidR="00000000">
        <w:trPr>
          <w:divId w:val="1054086511"/>
        </w:trPr>
        <w:tc>
          <w:tcPr>
            <w:tcW w:w="50" w:type="pct"/>
            <w:vAlign w:val="center"/>
            <w:hideMark/>
          </w:tcPr>
          <w:p w:rsidR="00000000" w:rsidRDefault="00AE54EE">
            <w:pPr>
              <w:ind w:firstLine="450"/>
              <w:rPr>
                <w:rFonts w:eastAsia="Times New Roman"/>
              </w:rPr>
            </w:pPr>
          </w:p>
        </w:tc>
        <w:tc>
          <w:tcPr>
            <w:tcW w:w="189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4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6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7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054086511"/>
        </w:trPr>
        <w:tc>
          <w:tcPr>
            <w:tcW w:w="0" w:type="auto"/>
            <w:gridSpan w:val="42"/>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20"/>
                <w:szCs w:val="20"/>
              </w:rPr>
              <w:t>Unaudited Pro Forma Condensed Combined Statement of Income</w:t>
            </w:r>
          </w:p>
        </w:tc>
      </w:tr>
      <w:tr w:rsidR="00000000">
        <w:trPr>
          <w:divId w:val="1054086511"/>
        </w:trPr>
        <w:tc>
          <w:tcPr>
            <w:tcW w:w="0" w:type="auto"/>
            <w:gridSpan w:val="42"/>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20"/>
                <w:szCs w:val="20"/>
              </w:rPr>
              <w:t>For the Four Quarters Ended January 3, 2020</w:t>
            </w:r>
          </w:p>
        </w:tc>
      </w:tr>
      <w:tr w:rsidR="00000000">
        <w:trPr>
          <w:divId w:val="1054086511"/>
          <w:trHeight w:val="10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 June 28, 2019</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 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Four Quarters Ended January 3, 2020</w:t>
            </w:r>
          </w:p>
        </w:tc>
      </w:tr>
      <w:tr w:rsidR="00000000">
        <w:trPr>
          <w:divId w:val="1054086511"/>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 xml:space="preserve">Historical </w:t>
            </w:r>
            <w:r>
              <w:rPr>
                <w:rFonts w:eastAsia="Times New Roman"/>
                <w:b/>
                <w:bCs/>
                <w:color w:val="000000"/>
                <w:sz w:val="16"/>
                <w:szCs w:val="16"/>
              </w:rPr>
              <w:br/>
              <w:t>Harris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 xml:space="preserve">Historical </w:t>
            </w:r>
            <w:r>
              <w:rPr>
                <w:rFonts w:eastAsia="Times New Roman"/>
                <w:b/>
                <w:bCs/>
                <w:color w:val="000000"/>
                <w:sz w:val="16"/>
                <w:szCs w:val="16"/>
              </w:rPr>
              <w:br/>
              <w:t xml:space="preserve">L3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 xml:space="preserve">Pro Forma </w:t>
            </w:r>
            <w:r>
              <w:rPr>
                <w:rFonts w:eastAsia="Times New Roman"/>
                <w:b/>
                <w:bCs/>
                <w:color w:val="000000"/>
                <w:sz w:val="16"/>
                <w:szCs w:val="16"/>
              </w:rPr>
              <w:br/>
              <w:t>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 xml:space="preserve">Note </w:t>
            </w:r>
            <w:r>
              <w:rPr>
                <w:rFonts w:eastAsia="Times New Roman"/>
                <w:b/>
                <w:bCs/>
                <w:color w:val="000000"/>
                <w:sz w:val="16"/>
                <w:szCs w:val="16"/>
              </w:rPr>
              <w:br/>
              <w:t>Ref</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L3Harris 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Pro Forma</w:t>
            </w:r>
          </w:p>
        </w:tc>
      </w:tr>
      <w:tr w:rsidR="00000000">
        <w:trPr>
          <w:divId w:val="1054086511"/>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AE54EE">
        <w:trPr>
          <w:divId w:val="1054086511"/>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hanging="180"/>
              <w:divId w:val="1971008466"/>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3,593 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8,834 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9,263 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18,097 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Cost of product sales and services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(2,362)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(3,875)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(6,181)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(6,726)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(12,907)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c</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(1,707)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(3,588)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c</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d</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e</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f</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Business divestiture-related gains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Impairment of right-of-use asset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hanging="180"/>
              <w:divId w:val="543255919"/>
              <w:rPr>
                <w:rFonts w:eastAsia="Times New Roman"/>
              </w:rPr>
            </w:pPr>
            <w:r>
              <w:rPr>
                <w:rFonts w:eastAsia="Times New Roman"/>
                <w:color w:val="000000"/>
                <w:sz w:val="20"/>
                <w:szCs w:val="20"/>
              </w:rPr>
              <w:t xml:space="preserve">Merger, acquisition and divestiture related expenses </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hanging="180"/>
              <w:divId w:val="1849981812"/>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Interest and other income, net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g</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Debt retirement charges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h</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i</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FFFFFF"/>
            <w:tcMar>
              <w:top w:w="30" w:type="dxa"/>
              <w:left w:w="200" w:type="dxa"/>
              <w:bottom w:w="30" w:type="dxa"/>
              <w:right w:w="20" w:type="dxa"/>
            </w:tcMar>
            <w:vAlign w:val="bottom"/>
            <w:hideMark/>
          </w:tcPr>
          <w:p w:rsidR="00000000" w:rsidRDefault="00AE54EE">
            <w:pPr>
              <w:spacing w:after="100"/>
              <w:ind w:hanging="18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k</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hanging="180"/>
              <w:divId w:val="1275403621"/>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AE54EE">
        <w:trPr>
          <w:divId w:val="1054086511"/>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hanging="180"/>
              <w:divId w:val="845747648"/>
              <w:rPr>
                <w:rFonts w:eastAsia="Times New Roman"/>
              </w:rPr>
            </w:pPr>
            <w:r>
              <w:rPr>
                <w:rFonts w:eastAsia="Times New Roman"/>
                <w:color w:val="000000"/>
                <w:sz w:val="20"/>
                <w:szCs w:val="20"/>
              </w:rPr>
              <w:t>Income from continuing operations attributable to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Height w:val="16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54086511"/>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hanging="180"/>
              <w:divId w:val="1932274993"/>
              <w:rPr>
                <w:rFonts w:eastAsia="Times New Roman"/>
              </w:rPr>
            </w:pPr>
            <w:r>
              <w:rPr>
                <w:rFonts w:eastAsia="Times New Roman"/>
                <w:color w:val="000000"/>
                <w:sz w:val="20"/>
                <w:szCs w:val="20"/>
              </w:rPr>
              <w:t>Income from continuing operations per basic common share attributable to common shareholders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hanging="180"/>
              <w:divId w:val="1297488452"/>
              <w:rPr>
                <w:rFonts w:eastAsia="Times New Roman"/>
              </w:rPr>
            </w:pPr>
            <w:r>
              <w:rPr>
                <w:rFonts w:eastAsia="Times New Roman"/>
                <w:color w:val="000000"/>
                <w:sz w:val="20"/>
                <w:szCs w:val="20"/>
              </w:rPr>
              <w:t>Income from continuing operations per diluted common share attributable to common shareholders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hanging="180"/>
              <w:divId w:val="818032689"/>
              <w:rPr>
                <w:rFonts w:eastAsia="Times New Roman"/>
              </w:rPr>
            </w:pPr>
            <w:r>
              <w:rPr>
                <w:rFonts w:eastAsia="Times New Roman"/>
                <w:color w:val="000000"/>
                <w:sz w:val="20"/>
                <w:szCs w:val="20"/>
              </w:rPr>
              <w:t>Basic weighted average common shares outstanding</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118.1 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104.1 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l</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222.2 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221.2 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54086511"/>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hanging="180"/>
              <w:divId w:val="1278483671"/>
              <w:rPr>
                <w:rFonts w:eastAsia="Times New Roman"/>
              </w:rPr>
            </w:pPr>
            <w:r>
              <w:rPr>
                <w:rFonts w:eastAsia="Times New Roman"/>
                <w:color w:val="000000"/>
                <w:sz w:val="20"/>
                <w:szCs w:val="20"/>
              </w:rPr>
              <w:t>Diluted weighted average common shares outstanding</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120.7 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104.6 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l</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225.3 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223.7 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224.5 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1263220241"/>
        <w:rPr>
          <w:rFonts w:eastAsia="Times New Roman"/>
        </w:rPr>
      </w:pPr>
      <w:r>
        <w:rPr>
          <w:rFonts w:eastAsia="Times New Roman"/>
          <w:color w:val="000000"/>
          <w:sz w:val="20"/>
          <w:szCs w:val="20"/>
        </w:rPr>
        <w:t>Notes:</w:t>
      </w:r>
    </w:p>
    <w:p w:rsidR="00000000" w:rsidRDefault="00AE54EE">
      <w:pPr>
        <w:ind w:hanging="360"/>
        <w:divId w:val="1219708830"/>
        <w:rPr>
          <w:rFonts w:eastAsia="Times New Roman"/>
        </w:rPr>
      </w:pPr>
      <w:r>
        <w:rPr>
          <w:rFonts w:eastAsia="Times New Roman"/>
          <w:color w:val="000000"/>
          <w:sz w:val="20"/>
          <w:szCs w:val="20"/>
        </w:rPr>
        <w:t>a.Reflects the elimination of intercompany balances and transactions between L3 and</w:t>
      </w:r>
      <w:r>
        <w:rPr>
          <w:rFonts w:eastAsia="Times New Roman"/>
          <w:color w:val="000000"/>
          <w:sz w:val="20"/>
          <w:szCs w:val="20"/>
        </w:rPr>
        <w:t xml:space="preserve"> Harris.</w:t>
      </w:r>
    </w:p>
    <w:p w:rsidR="00000000" w:rsidRDefault="00AE54EE">
      <w:pPr>
        <w:ind w:hanging="360"/>
        <w:divId w:val="390155113"/>
        <w:rPr>
          <w:rFonts w:eastAsia="Times New Roman"/>
        </w:rPr>
      </w:pPr>
      <w:r>
        <w:rPr>
          <w:rFonts w:eastAsia="Times New Roman"/>
          <w:color w:val="000000"/>
          <w:sz w:val="20"/>
          <w:szCs w:val="20"/>
        </w:rPr>
        <w:t xml:space="preserve">b.Reflects the sale of the Harris Night Vision business. </w:t>
      </w:r>
    </w:p>
    <w:p w:rsidR="00000000" w:rsidRDefault="00AE54EE">
      <w:pPr>
        <w:ind w:firstLine="450"/>
        <w:jc w:val="center"/>
        <w:divId w:val="565456630"/>
        <w:rPr>
          <w:rFonts w:eastAsia="Times New Roman"/>
        </w:rPr>
      </w:pPr>
      <w:r>
        <w:rPr>
          <w:rFonts w:eastAsia="Times New Roman"/>
          <w:color w:val="000000"/>
          <w:sz w:val="20"/>
          <w:szCs w:val="20"/>
        </w:rPr>
        <w:t>43</w:t>
      </w:r>
    </w:p>
    <w:p w:rsidR="00000000" w:rsidRDefault="00AE54EE">
      <w:pPr>
        <w:rPr>
          <w:rFonts w:eastAsia="Times New Roman"/>
        </w:rPr>
      </w:pPr>
      <w:r>
        <w:rPr>
          <w:rFonts w:eastAsia="Times New Roman"/>
        </w:rPr>
        <w:pict>
          <v:rect id="_x0000_i1071" style="width:0;height:1.5pt" o:hralign="center" o:hrstd="t" o:hr="t" fillcolor="#a0a0a0" stroked="f"/>
        </w:pict>
      </w:r>
    </w:p>
    <w:p w:rsidR="00000000" w:rsidRDefault="00AE54EE">
      <w:pPr>
        <w:ind w:firstLine="450"/>
        <w:divId w:val="127751206"/>
        <w:rPr>
          <w:rFonts w:eastAsia="Times New Roman"/>
        </w:rPr>
      </w:pPr>
    </w:p>
    <w:p w:rsidR="00000000" w:rsidRDefault="00AE54EE">
      <w:pPr>
        <w:ind w:hanging="360"/>
        <w:divId w:val="1940991972"/>
        <w:rPr>
          <w:rFonts w:eastAsia="Times New Roman"/>
        </w:rPr>
      </w:pPr>
      <w:r>
        <w:rPr>
          <w:rFonts w:eastAsia="Times New Roman"/>
          <w:color w:val="000000"/>
          <w:sz w:val="20"/>
          <w:szCs w:val="20"/>
        </w:rPr>
        <w:t>c.Reflects the net increase in amortization expense related to the fair value of acquired finite-lived identifiable intangible assets and the elimin</w:t>
      </w:r>
      <w:r>
        <w:rPr>
          <w:rFonts w:eastAsia="Times New Roman"/>
          <w:color w:val="000000"/>
          <w:sz w:val="20"/>
          <w:szCs w:val="20"/>
        </w:rPr>
        <w:t xml:space="preserve">ation of historical amortization expense recognized by L3 for the two quarters ended June 28, 2019. Assumptions and details are as follows: </w:t>
      </w:r>
    </w:p>
    <w:tbl>
      <w:tblPr>
        <w:tblW w:w="4734" w:type="pct"/>
        <w:tblCellMar>
          <w:top w:w="15" w:type="dxa"/>
          <w:left w:w="15" w:type="dxa"/>
          <w:bottom w:w="15" w:type="dxa"/>
          <w:right w:w="15" w:type="dxa"/>
        </w:tblCellMar>
        <w:tblLook w:val="04A0" w:firstRow="1" w:lastRow="0" w:firstColumn="1" w:lastColumn="0" w:noHBand="0" w:noVBand="1"/>
      </w:tblPr>
      <w:tblGrid>
        <w:gridCol w:w="38"/>
        <w:gridCol w:w="4929"/>
        <w:gridCol w:w="37"/>
        <w:gridCol w:w="88"/>
        <w:gridCol w:w="860"/>
        <w:gridCol w:w="36"/>
        <w:gridCol w:w="36"/>
        <w:gridCol w:w="36"/>
        <w:gridCol w:w="36"/>
        <w:gridCol w:w="120"/>
        <w:gridCol w:w="643"/>
        <w:gridCol w:w="36"/>
        <w:gridCol w:w="36"/>
        <w:gridCol w:w="36"/>
        <w:gridCol w:w="36"/>
        <w:gridCol w:w="121"/>
        <w:gridCol w:w="704"/>
        <w:gridCol w:w="36"/>
      </w:tblGrid>
      <w:tr w:rsidR="00000000">
        <w:trPr>
          <w:divId w:val="1940991972"/>
        </w:trPr>
        <w:tc>
          <w:tcPr>
            <w:tcW w:w="50" w:type="pct"/>
            <w:vAlign w:val="center"/>
            <w:hideMark/>
          </w:tcPr>
          <w:p w:rsidR="00000000" w:rsidRDefault="00AE54EE">
            <w:pPr>
              <w:ind w:hanging="360"/>
              <w:rPr>
                <w:rFonts w:eastAsia="Times New Roman"/>
              </w:rPr>
            </w:pPr>
          </w:p>
        </w:tc>
        <w:tc>
          <w:tcPr>
            <w:tcW w:w="319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9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9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2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940991972"/>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Weighted Average Amortization Period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 June 28, 2019</w:t>
            </w:r>
          </w:p>
        </w:tc>
      </w:tr>
      <w:tr w:rsidR="00000000">
        <w:trPr>
          <w:divId w:val="1940991972"/>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E54EE">
            <w:pPr>
              <w:spacing w:after="100"/>
              <w:jc w:val="center"/>
              <w:rPr>
                <w:rFonts w:eastAsia="Times New Roman"/>
              </w:rPr>
            </w:pPr>
            <w:r>
              <w:rPr>
                <w:rFonts w:eastAsia="Times New Roman"/>
                <w:b/>
                <w:bCs/>
                <w:color w:val="000000"/>
                <w:sz w:val="16"/>
                <w:szCs w:val="16"/>
              </w:rPr>
              <w:t>(In years)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jc w:val="center"/>
              <w:rPr>
                <w:rFonts w:eastAsia="Times New Roman"/>
              </w:rPr>
            </w:pPr>
            <w:r>
              <w:rPr>
                <w:rFonts w:eastAsia="Times New Roman"/>
                <w:b/>
                <w:bCs/>
                <w:color w:val="000000"/>
                <w:sz w:val="16"/>
                <w:szCs w:val="16"/>
              </w:rPr>
              <w:t>(In millions)</w:t>
            </w:r>
          </w:p>
        </w:tc>
      </w:tr>
      <w:tr w:rsidR="00000000">
        <w:trPr>
          <w:divId w:val="1940991972"/>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4099197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Identifiable Intangible Assets Acquired:</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4099197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Customer relationships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15</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4099197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Trade names — Divisions</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9</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4099197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Adjustment to engineering, selling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4099197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Developed technology</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7</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4099197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 xml:space="preserve">Less: L3 historical amortization </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4099197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Adjustment to cost of product sales and services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4099197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net adjustment to amortization expense</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40991972"/>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_________</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4099197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465585461"/>
              <w:rPr>
                <w:rFonts w:eastAsia="Times New Roman"/>
              </w:rPr>
            </w:pPr>
            <w:r>
              <w:rPr>
                <w:rFonts w:eastAsia="Times New Roman"/>
                <w:color w:val="000000"/>
                <w:sz w:val="16"/>
                <w:szCs w:val="16"/>
              </w:rPr>
              <w:t xml:space="preserve">(1) </w:t>
            </w:r>
            <w:r>
              <w:rPr>
                <w:rFonts w:eastAsia="Times New Roman"/>
                <w:color w:val="000000"/>
                <w:sz w:val="16"/>
                <w:szCs w:val="16"/>
              </w:rPr>
              <w:t>As of May 4, 2020, the date of filing our Current Report on Form 8-K.</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bl>
    <w:p w:rsidR="00000000" w:rsidRDefault="00AE54EE">
      <w:pPr>
        <w:ind w:hanging="360"/>
        <w:divId w:val="1325280916"/>
        <w:rPr>
          <w:rFonts w:eastAsia="Times New Roman"/>
        </w:rPr>
      </w:pPr>
      <w:r>
        <w:rPr>
          <w:rFonts w:eastAsia="Times New Roman"/>
          <w:color w:val="000000"/>
          <w:sz w:val="20"/>
          <w:szCs w:val="20"/>
        </w:rPr>
        <w:t>d.Represents the elimination of transaction costs, which were included in merger, acquisition and divestiture related expenses in L3’s historical statement of operations and in engineering, selling and administrative expenses in Harris’ historical statemen</w:t>
      </w:r>
      <w:r>
        <w:rPr>
          <w:rFonts w:eastAsia="Times New Roman"/>
          <w:color w:val="000000"/>
          <w:sz w:val="20"/>
          <w:szCs w:val="20"/>
        </w:rPr>
        <w:t>t of income.</w:t>
      </w:r>
    </w:p>
    <w:p w:rsidR="00000000" w:rsidRDefault="00AE54EE">
      <w:pPr>
        <w:ind w:hanging="360"/>
        <w:divId w:val="1851488774"/>
        <w:rPr>
          <w:rFonts w:eastAsia="Times New Roman"/>
        </w:rPr>
      </w:pPr>
      <w:r>
        <w:rPr>
          <w:rFonts w:eastAsia="Times New Roman"/>
          <w:color w:val="000000"/>
          <w:sz w:val="20"/>
          <w:szCs w:val="20"/>
        </w:rPr>
        <w:t>e.In connection with the L3Harris Merger, on October 12, 2018, each company entered into a letter of agreement with its Chief Executive Officer, to outline the terms of each such person’s role and compensation arrangements following the merger</w:t>
      </w:r>
      <w:r>
        <w:rPr>
          <w:rFonts w:eastAsia="Times New Roman"/>
          <w:color w:val="000000"/>
          <w:sz w:val="20"/>
          <w:szCs w:val="20"/>
        </w:rPr>
        <w:t>. Amounts shown reflect the increase in compensation expense as a result of these modified arrangements.</w:t>
      </w:r>
    </w:p>
    <w:p w:rsidR="00000000" w:rsidRDefault="00AE54EE">
      <w:pPr>
        <w:ind w:hanging="360"/>
        <w:divId w:val="1435981597"/>
        <w:rPr>
          <w:rFonts w:eastAsia="Times New Roman"/>
        </w:rPr>
      </w:pPr>
      <w:r>
        <w:rPr>
          <w:rFonts w:eastAsia="Times New Roman"/>
          <w:color w:val="000000"/>
          <w:sz w:val="20"/>
          <w:szCs w:val="20"/>
        </w:rPr>
        <w:t>f.Reflects the impact of change-in-control payments under certain post-retirement and share-based and deferred compensation arrangements.</w:t>
      </w:r>
    </w:p>
    <w:p w:rsidR="00000000" w:rsidRDefault="00AE54EE">
      <w:pPr>
        <w:ind w:hanging="360"/>
        <w:divId w:val="562066636"/>
        <w:rPr>
          <w:rFonts w:eastAsia="Times New Roman"/>
        </w:rPr>
      </w:pPr>
      <w:r>
        <w:rPr>
          <w:rFonts w:eastAsia="Times New Roman"/>
          <w:color w:val="000000"/>
          <w:sz w:val="20"/>
          <w:szCs w:val="20"/>
        </w:rPr>
        <w:t>g.Reflects th</w:t>
      </w:r>
      <w:r>
        <w:rPr>
          <w:rFonts w:eastAsia="Times New Roman"/>
          <w:color w:val="000000"/>
          <w:sz w:val="20"/>
          <w:szCs w:val="20"/>
        </w:rPr>
        <w:t>e elimination of amortization of net actuarial losses from accumulated comprehensive loss related to L3’s postretirement benefit plans as part of purchase accounting.</w:t>
      </w:r>
    </w:p>
    <w:p w:rsidR="00000000" w:rsidRDefault="00AE54EE">
      <w:pPr>
        <w:ind w:hanging="360"/>
        <w:divId w:val="1611235291"/>
        <w:rPr>
          <w:rFonts w:eastAsia="Times New Roman"/>
        </w:rPr>
      </w:pPr>
      <w:r>
        <w:rPr>
          <w:rFonts w:eastAsia="Times New Roman"/>
          <w:color w:val="000000"/>
          <w:sz w:val="20"/>
          <w:szCs w:val="20"/>
        </w:rPr>
        <w:t>h.</w:t>
      </w:r>
      <w:r>
        <w:rPr>
          <w:rFonts w:eastAsia="Times New Roman"/>
          <w:color w:val="000000"/>
          <w:sz w:val="20"/>
          <w:szCs w:val="20"/>
        </w:rPr>
        <w:t>Reflects the elimination of amortization of deferred debt issuance costs as part of purchase accounting.</w:t>
      </w:r>
    </w:p>
    <w:p w:rsidR="00000000" w:rsidRDefault="00AE54EE">
      <w:pPr>
        <w:ind w:hanging="360"/>
        <w:divId w:val="866138596"/>
        <w:rPr>
          <w:rFonts w:eastAsia="Times New Roman"/>
        </w:rPr>
      </w:pPr>
      <w:r>
        <w:rPr>
          <w:rFonts w:eastAsia="Times New Roman"/>
          <w:color w:val="000000"/>
          <w:sz w:val="20"/>
          <w:szCs w:val="20"/>
        </w:rPr>
        <w:t>i.Reflects amortization of the increase to L3’s long-term debt based on a $172 million fair value adjustment.</w:t>
      </w:r>
    </w:p>
    <w:p w:rsidR="00000000" w:rsidRDefault="00AE54EE">
      <w:pPr>
        <w:ind w:hanging="360"/>
        <w:divId w:val="58745745"/>
        <w:rPr>
          <w:rFonts w:eastAsia="Times New Roman"/>
        </w:rPr>
      </w:pPr>
      <w:r>
        <w:rPr>
          <w:rFonts w:eastAsia="Times New Roman"/>
          <w:color w:val="000000"/>
          <w:sz w:val="20"/>
          <w:szCs w:val="20"/>
        </w:rPr>
        <w:t>j.Certain amounts from L3’s historical st</w:t>
      </w:r>
      <w:r>
        <w:rPr>
          <w:rFonts w:eastAsia="Times New Roman"/>
          <w:color w:val="000000"/>
          <w:sz w:val="20"/>
          <w:szCs w:val="20"/>
        </w:rPr>
        <w:t>atement of operations data were reclassified to conform their presentation to that of Harris. These reclassifications include:</w:t>
      </w:r>
    </w:p>
    <w:p w:rsidR="00000000" w:rsidRDefault="00AE54EE">
      <w:pPr>
        <w:ind w:hanging="360"/>
        <w:divId w:val="1499954965"/>
        <w:rPr>
          <w:rFonts w:eastAsia="Times New Roman"/>
        </w:rPr>
      </w:pPr>
      <w:r>
        <w:rPr>
          <w:rFonts w:eastAsia="Times New Roman"/>
          <w:color w:val="000000"/>
          <w:sz w:val="20"/>
          <w:szCs w:val="20"/>
        </w:rPr>
        <w:t>1.Merger, acquisition and divestiture related expenses were reclassified to engineering, selling and administrative expenses; and</w:t>
      </w:r>
    </w:p>
    <w:p w:rsidR="00000000" w:rsidRDefault="00AE54EE">
      <w:pPr>
        <w:ind w:hanging="360"/>
        <w:divId w:val="1807896677"/>
        <w:rPr>
          <w:rFonts w:eastAsia="Times New Roman"/>
        </w:rPr>
      </w:pPr>
      <w:r>
        <w:rPr>
          <w:rFonts w:eastAsia="Times New Roman"/>
          <w:color w:val="000000"/>
          <w:sz w:val="20"/>
          <w:szCs w:val="20"/>
        </w:rPr>
        <w:t>2.Interest and other income, net which was reclassified to interest income.</w:t>
      </w:r>
    </w:p>
    <w:p w:rsidR="00000000" w:rsidRDefault="00AE54EE">
      <w:pPr>
        <w:ind w:hanging="360"/>
        <w:divId w:val="1192764407"/>
        <w:rPr>
          <w:rFonts w:eastAsia="Times New Roman"/>
        </w:rPr>
      </w:pPr>
      <w:r>
        <w:rPr>
          <w:rFonts w:eastAsia="Times New Roman"/>
          <w:color w:val="000000"/>
          <w:sz w:val="20"/>
          <w:szCs w:val="20"/>
        </w:rPr>
        <w:t>k.Represents the income tax impact of the pro forma adjustments, using the blended worldwide tax rates for L3, in the case of pro forma adjustments to L3’s historical results, and</w:t>
      </w:r>
      <w:r>
        <w:rPr>
          <w:rFonts w:eastAsia="Times New Roman"/>
          <w:color w:val="000000"/>
          <w:sz w:val="20"/>
          <w:szCs w:val="20"/>
        </w:rPr>
        <w:t xml:space="preserve"> the federal and state statutory tax rates for Harris, in the case of pro forma adjustments to Harris’ historical results. As a result, the combined statutory tax rate used to tax-effect the pro forma adjustments was 25 percent for the two quarters ended J</w:t>
      </w:r>
      <w:r>
        <w:rPr>
          <w:rFonts w:eastAsia="Times New Roman"/>
          <w:color w:val="000000"/>
          <w:sz w:val="20"/>
          <w:szCs w:val="20"/>
        </w:rPr>
        <w:t>une 28, 2019. This tax rate does not represent the combined company’s effective tax rate, which will include other tax charges and benefits, and does not take into account any historical or possible future tax events that may impact the combined company fo</w:t>
      </w:r>
      <w:r>
        <w:rPr>
          <w:rFonts w:eastAsia="Times New Roman"/>
          <w:color w:val="000000"/>
          <w:sz w:val="20"/>
          <w:szCs w:val="20"/>
        </w:rPr>
        <w:t>llowing the consummation of the L3Harris Merger.</w:t>
      </w:r>
    </w:p>
    <w:p w:rsidR="00000000" w:rsidRDefault="00AE54EE">
      <w:pPr>
        <w:ind w:hanging="360"/>
        <w:divId w:val="1171065859"/>
        <w:rPr>
          <w:rFonts w:eastAsia="Times New Roman"/>
        </w:rPr>
      </w:pPr>
      <w:r>
        <w:rPr>
          <w:rFonts w:eastAsia="Times New Roman"/>
          <w:color w:val="000000"/>
          <w:sz w:val="20"/>
          <w:szCs w:val="20"/>
        </w:rPr>
        <w:t>l.Increase in common stock due to shares of L3Harris common stock issued for outstanding L3 common stock and in respect of vested L3 restricted stock units and L3 performance stock units. Diluted shares also</w:t>
      </w:r>
      <w:r>
        <w:rPr>
          <w:rFonts w:eastAsia="Times New Roman"/>
          <w:color w:val="000000"/>
          <w:sz w:val="20"/>
          <w:szCs w:val="20"/>
        </w:rPr>
        <w:t xml:space="preserve"> include the dilutive impact of L3Harris stock options issued in replacement of L3 stock options calculated using the treasury stock method.</w:t>
      </w:r>
    </w:p>
    <w:p w:rsidR="00000000" w:rsidRDefault="00AE54EE">
      <w:pPr>
        <w:ind w:firstLine="450"/>
        <w:jc w:val="center"/>
        <w:divId w:val="1544562618"/>
        <w:rPr>
          <w:rFonts w:eastAsia="Times New Roman"/>
        </w:rPr>
      </w:pPr>
      <w:r>
        <w:rPr>
          <w:rFonts w:eastAsia="Times New Roman"/>
          <w:color w:val="000000"/>
          <w:sz w:val="20"/>
          <w:szCs w:val="20"/>
        </w:rPr>
        <w:t>44</w:t>
      </w:r>
    </w:p>
    <w:p w:rsidR="00000000" w:rsidRDefault="00AE54EE">
      <w:pPr>
        <w:rPr>
          <w:rFonts w:eastAsia="Times New Roman"/>
        </w:rPr>
      </w:pPr>
      <w:r>
        <w:rPr>
          <w:rFonts w:eastAsia="Times New Roman"/>
        </w:rPr>
        <w:pict>
          <v:rect id="_x0000_i1072" style="width:0;height:1.5pt" o:hralign="center" o:hrstd="t" o:hr="t" fillcolor="#a0a0a0" stroked="f"/>
        </w:pict>
      </w:r>
    </w:p>
    <w:p w:rsidR="00000000" w:rsidRDefault="00AE54EE">
      <w:pPr>
        <w:ind w:firstLine="450"/>
        <w:divId w:val="2133666231"/>
        <w:rPr>
          <w:rFonts w:eastAsia="Times New Roman"/>
        </w:rPr>
      </w:pPr>
    </w:p>
    <w:p w:rsidR="00000000" w:rsidRDefault="00AE54EE">
      <w:pPr>
        <w:divId w:val="1452433195"/>
        <w:rPr>
          <w:rFonts w:eastAsia="Times New Roman"/>
        </w:rPr>
      </w:pPr>
      <w:r>
        <w:rPr>
          <w:rFonts w:eastAsia="Times New Roman"/>
          <w:b/>
          <w:bCs/>
          <w:i/>
          <w:iCs/>
          <w:color w:val="000000"/>
          <w:sz w:val="20"/>
          <w:szCs w:val="20"/>
        </w:rPr>
        <w:t>Discussion of Business Segment Results of Operations</w:t>
      </w:r>
    </w:p>
    <w:p w:rsidR="00000000" w:rsidRDefault="00AE54EE">
      <w:pPr>
        <w:divId w:val="233007270"/>
        <w:rPr>
          <w:rFonts w:eastAsia="Times New Roman"/>
        </w:rPr>
      </w:pPr>
      <w:r>
        <w:rPr>
          <w:rFonts w:eastAsia="Times New Roman"/>
          <w:b/>
          <w:bCs/>
          <w:color w:val="000000"/>
          <w:sz w:val="20"/>
          <w:szCs w:val="20"/>
        </w:rPr>
        <w:t>Integrated Mission Systems Segment</w:t>
      </w:r>
    </w:p>
    <w:tbl>
      <w:tblPr>
        <w:tblW w:w="4964" w:type="pct"/>
        <w:tblCellMar>
          <w:top w:w="15" w:type="dxa"/>
          <w:left w:w="15" w:type="dxa"/>
          <w:bottom w:w="15" w:type="dxa"/>
          <w:right w:w="15" w:type="dxa"/>
        </w:tblCellMar>
        <w:tblLook w:val="04A0" w:firstRow="1" w:lastRow="0" w:firstColumn="1" w:lastColumn="0" w:noHBand="0" w:noVBand="1"/>
      </w:tblPr>
      <w:tblGrid>
        <w:gridCol w:w="40"/>
        <w:gridCol w:w="1464"/>
        <w:gridCol w:w="39"/>
        <w:gridCol w:w="120"/>
        <w:gridCol w:w="500"/>
        <w:gridCol w:w="187"/>
        <w:gridCol w:w="36"/>
        <w:gridCol w:w="36"/>
        <w:gridCol w:w="36"/>
        <w:gridCol w:w="120"/>
        <w:gridCol w:w="500"/>
        <w:gridCol w:w="187"/>
        <w:gridCol w:w="36"/>
        <w:gridCol w:w="36"/>
        <w:gridCol w:w="36"/>
        <w:gridCol w:w="88"/>
        <w:gridCol w:w="575"/>
        <w:gridCol w:w="187"/>
        <w:gridCol w:w="36"/>
        <w:gridCol w:w="36"/>
        <w:gridCol w:w="36"/>
        <w:gridCol w:w="121"/>
        <w:gridCol w:w="776"/>
        <w:gridCol w:w="187"/>
        <w:gridCol w:w="36"/>
        <w:gridCol w:w="36"/>
        <w:gridCol w:w="36"/>
        <w:gridCol w:w="88"/>
        <w:gridCol w:w="575"/>
        <w:gridCol w:w="187"/>
        <w:gridCol w:w="36"/>
        <w:gridCol w:w="36"/>
        <w:gridCol w:w="36"/>
        <w:gridCol w:w="120"/>
        <w:gridCol w:w="500"/>
        <w:gridCol w:w="187"/>
        <w:gridCol w:w="36"/>
        <w:gridCol w:w="36"/>
        <w:gridCol w:w="36"/>
        <w:gridCol w:w="88"/>
        <w:gridCol w:w="575"/>
        <w:gridCol w:w="187"/>
      </w:tblGrid>
      <w:tr w:rsidR="00000000">
        <w:trPr>
          <w:divId w:val="798037131"/>
        </w:trPr>
        <w:tc>
          <w:tcPr>
            <w:tcW w:w="50" w:type="pct"/>
            <w:vAlign w:val="center"/>
            <w:hideMark/>
          </w:tcPr>
          <w:p w:rsidR="00000000" w:rsidRDefault="00AE54EE">
            <w:pPr>
              <w:rPr>
                <w:rFonts w:eastAsia="Times New Roman"/>
              </w:rPr>
            </w:pPr>
          </w:p>
        </w:tc>
        <w:tc>
          <w:tcPr>
            <w:tcW w:w="147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7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7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7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7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798037131"/>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Four Quarters Ended</w:t>
            </w:r>
          </w:p>
        </w:tc>
      </w:tr>
      <w:tr w:rsidR="00000000">
        <w:trPr>
          <w:divId w:val="798037131"/>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r>
            <w:r>
              <w:rPr>
                <w:rFonts w:eastAsia="Times New Roman"/>
                <w:b/>
                <w:bCs/>
                <w:color w:val="000000"/>
                <w:sz w:val="16"/>
                <w:szCs w:val="16"/>
              </w:rPr>
              <w:t>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trPr>
          <w:divId w:val="798037131"/>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798037131"/>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798037131"/>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5,839 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5,538 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2,783 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5,360 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r>
      <w:tr w:rsidR="00000000">
        <w:trPr>
          <w:divId w:val="798037131"/>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r>
      <w:tr w:rsidR="00000000">
        <w:trPr>
          <w:divId w:val="798037131"/>
        </w:trPr>
        <w:tc>
          <w:tcPr>
            <w:tcW w:w="0" w:type="auto"/>
            <w:gridSpan w:val="3"/>
            <w:shd w:val="clear" w:color="auto" w:fill="CCEEFF"/>
            <w:tcMar>
              <w:top w:w="30" w:type="dxa"/>
              <w:left w:w="245"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bl>
    <w:p w:rsidR="00000000" w:rsidRDefault="00AE54EE">
      <w:pPr>
        <w:divId w:val="574238918"/>
        <w:rPr>
          <w:rFonts w:eastAsia="Times New Roman"/>
        </w:rPr>
      </w:pPr>
      <w:r>
        <w:rPr>
          <w:rFonts w:eastAsia="Times New Roman"/>
          <w:b/>
          <w:bCs/>
          <w:color w:val="000000"/>
          <w:sz w:val="20"/>
          <w:szCs w:val="20"/>
        </w:rPr>
        <w:t>As Reported</w:t>
      </w:r>
    </w:p>
    <w:p w:rsidR="00000000" w:rsidRDefault="00AE54EE">
      <w:pPr>
        <w:ind w:firstLine="450"/>
        <w:divId w:val="727337176"/>
        <w:rPr>
          <w:rFonts w:eastAsia="Times New Roman"/>
        </w:rPr>
      </w:pPr>
      <w:r>
        <w:rPr>
          <w:rFonts w:eastAsia="Times New Roman"/>
          <w:i/>
          <w:iCs/>
          <w:color w:val="000000"/>
          <w:sz w:val="20"/>
          <w:szCs w:val="20"/>
        </w:rPr>
        <w:t>Fiscal 2021 Compared With Fiscal 2020:</w:t>
      </w:r>
      <w:r>
        <w:rPr>
          <w:rFonts w:eastAsia="Times New Roman"/>
          <w:color w:val="000000"/>
          <w:sz w:val="20"/>
          <w:szCs w:val="20"/>
        </w:rPr>
        <w:t>  The increase in segment revenue in fiscal 2021 compar</w:t>
      </w:r>
      <w:r>
        <w:rPr>
          <w:rFonts w:eastAsia="Times New Roman"/>
          <w:color w:val="000000"/>
          <w:sz w:val="20"/>
          <w:szCs w:val="20"/>
        </w:rPr>
        <w:t>ed with fiscal 2020 was primarily due to $210 million of higher revenue in ISR, driven by aircraft missionization on a North Atlantic Treaty Organization program, $53 million of higher revenue in Maritime, reflecting a ramp on key platforms and $19 million</w:t>
      </w:r>
      <w:r>
        <w:rPr>
          <w:rFonts w:eastAsia="Times New Roman"/>
          <w:color w:val="000000"/>
          <w:sz w:val="20"/>
          <w:szCs w:val="20"/>
        </w:rPr>
        <w:t xml:space="preserve"> higher revenue in Electro Optical reflecting higher product deliveries. The funded backlog for this segment was $6.2 billion at December 31, 2021 compared with $6.3 billion at January 1, 2021. </w:t>
      </w:r>
    </w:p>
    <w:p w:rsidR="00000000" w:rsidRDefault="00AE54EE">
      <w:pPr>
        <w:ind w:firstLine="450"/>
        <w:divId w:val="779026839"/>
        <w:rPr>
          <w:rFonts w:eastAsia="Times New Roman"/>
        </w:rPr>
      </w:pPr>
      <w:r>
        <w:rPr>
          <w:rFonts w:eastAsia="Times New Roman"/>
          <w:color w:val="000000"/>
          <w:sz w:val="20"/>
          <w:szCs w:val="20"/>
        </w:rPr>
        <w:t>The increases in segment operating income and operating incom</w:t>
      </w:r>
      <w:r>
        <w:rPr>
          <w:rFonts w:eastAsia="Times New Roman"/>
          <w:color w:val="000000"/>
          <w:sz w:val="20"/>
          <w:szCs w:val="20"/>
        </w:rPr>
        <w:t xml:space="preserve">e as a percentage of revenue (“operating margin percentage”) in fiscal 2021 compared with fiscal 2020 were primarily due to e3 and program performance, expense management and integration benefits. </w:t>
      </w:r>
    </w:p>
    <w:p w:rsidR="00000000" w:rsidRDefault="00AE54EE">
      <w:pPr>
        <w:ind w:firstLine="450"/>
        <w:divId w:val="310255353"/>
        <w:rPr>
          <w:rFonts w:eastAsia="Times New Roman"/>
        </w:rPr>
      </w:pPr>
      <w:r>
        <w:rPr>
          <w:rFonts w:eastAsia="Times New Roman"/>
          <w:color w:val="000000"/>
          <w:sz w:val="20"/>
          <w:szCs w:val="20"/>
        </w:rPr>
        <w:t xml:space="preserve">The percentage of this segment’s revenue that was derived </w:t>
      </w:r>
      <w:r>
        <w:rPr>
          <w:rFonts w:eastAsia="Times New Roman"/>
          <w:color w:val="000000"/>
          <w:sz w:val="20"/>
          <w:szCs w:val="20"/>
        </w:rPr>
        <w:t>from sales to U.S. Government customers, including foreign military sales funded through the U.S. Government, whether directly or through prime contractors, was 70 percent in fiscal 2021.</w:t>
      </w:r>
    </w:p>
    <w:p w:rsidR="00000000" w:rsidRDefault="00AE54EE">
      <w:pPr>
        <w:ind w:firstLine="450"/>
        <w:divId w:val="956063289"/>
        <w:rPr>
          <w:rFonts w:eastAsia="Times New Roman"/>
        </w:rPr>
      </w:pPr>
      <w:r>
        <w:rPr>
          <w:rFonts w:eastAsia="Times New Roman"/>
          <w:i/>
          <w:iCs/>
          <w:color w:val="000000"/>
          <w:sz w:val="20"/>
          <w:szCs w:val="20"/>
        </w:rPr>
        <w:t>Fiscal 2020 Compared With Four Quarters Ended January 3, 2020:</w:t>
      </w:r>
      <w:r>
        <w:rPr>
          <w:rFonts w:eastAsia="Times New Roman"/>
          <w:color w:val="000000"/>
          <w:sz w:val="20"/>
          <w:szCs w:val="20"/>
        </w:rPr>
        <w:t>  </w:t>
      </w:r>
      <w:r>
        <w:rPr>
          <w:rFonts w:eastAsia="Times New Roman"/>
          <w:color w:val="000000"/>
          <w:sz w:val="20"/>
          <w:szCs w:val="20"/>
        </w:rPr>
        <w:t>The increases in segment revenue, operating income and operating margin percentage in fiscal 2020 compared with the four quarters ended January 3, 2020 was primarily due to the inclusion of L3 operations in segment operating results for the two quarters en</w:t>
      </w:r>
      <w:r>
        <w:rPr>
          <w:rFonts w:eastAsia="Times New Roman"/>
          <w:color w:val="000000"/>
          <w:sz w:val="20"/>
          <w:szCs w:val="20"/>
        </w:rPr>
        <w:t>ded July 3, 2020 (but not for the comparable prior-year two quarters preceding the L3Harris Merger). Because the Integrated Mission Systems segment is almost entirely comprised of L3 businesses, comparison to the four quarters ended January 3, 2020 segment</w:t>
      </w:r>
      <w:r>
        <w:rPr>
          <w:rFonts w:eastAsia="Times New Roman"/>
          <w:color w:val="000000"/>
          <w:sz w:val="20"/>
          <w:szCs w:val="20"/>
        </w:rPr>
        <w:t xml:space="preserve"> operating metrics is not meaningful. The funded backlog for this segment was $6.3 billion at January 1, 2021 compared with $5.3 billion at January 3, 2020. </w:t>
      </w:r>
    </w:p>
    <w:p w:rsidR="00000000" w:rsidRDefault="00AE54EE">
      <w:pPr>
        <w:ind w:firstLine="450"/>
        <w:divId w:val="1554853649"/>
        <w:rPr>
          <w:rFonts w:eastAsia="Times New Roman"/>
        </w:rPr>
      </w:pPr>
      <w:r>
        <w:rPr>
          <w:rFonts w:eastAsia="Times New Roman"/>
          <w:color w:val="000000"/>
          <w:sz w:val="20"/>
          <w:szCs w:val="20"/>
        </w:rPr>
        <w:t>The percentage of this segment’s revenue that was derived from sales to U.S. Government customers,</w:t>
      </w:r>
      <w:r>
        <w:rPr>
          <w:rFonts w:eastAsia="Times New Roman"/>
          <w:color w:val="000000"/>
          <w:sz w:val="20"/>
          <w:szCs w:val="20"/>
        </w:rPr>
        <w:t xml:space="preserve"> including foreign military sales funded through the U.S. Government, whether directly or through prime contractors, was 77 percent in fiscal 2020.</w:t>
      </w:r>
    </w:p>
    <w:p w:rsidR="00000000" w:rsidRDefault="00AE54EE">
      <w:pPr>
        <w:divId w:val="1163548469"/>
        <w:rPr>
          <w:rFonts w:eastAsia="Times New Roman"/>
        </w:rPr>
      </w:pPr>
      <w:r>
        <w:rPr>
          <w:rFonts w:eastAsia="Times New Roman"/>
          <w:b/>
          <w:bCs/>
          <w:color w:val="000000"/>
          <w:sz w:val="20"/>
          <w:szCs w:val="20"/>
        </w:rPr>
        <w:t>Pro Forma</w:t>
      </w:r>
    </w:p>
    <w:p w:rsidR="00000000" w:rsidRDefault="00AE54EE">
      <w:pPr>
        <w:ind w:firstLine="450"/>
        <w:divId w:val="828594113"/>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 xml:space="preserve">The increase in segment revenue in </w:t>
      </w:r>
      <w:r>
        <w:rPr>
          <w:rFonts w:eastAsia="Times New Roman"/>
          <w:color w:val="000000"/>
          <w:sz w:val="20"/>
          <w:szCs w:val="20"/>
        </w:rPr>
        <w:t>fiscal 2020 compared with the four quarters ended January 3, 2020 was primarily due to $163 million of higher revenue in Maritime from a ramp in manned and classified platforms and $31 million of higher revenue in ISR.</w:t>
      </w:r>
    </w:p>
    <w:p w:rsidR="00000000" w:rsidRDefault="00AE54EE">
      <w:pPr>
        <w:ind w:firstLine="450"/>
        <w:divId w:val="435444119"/>
        <w:rPr>
          <w:rFonts w:eastAsia="Times New Roman"/>
        </w:rPr>
      </w:pPr>
      <w:r>
        <w:rPr>
          <w:rFonts w:eastAsia="Times New Roman"/>
          <w:color w:val="000000"/>
          <w:sz w:val="20"/>
          <w:szCs w:val="20"/>
        </w:rPr>
        <w:t>The increases in segment operating in</w:t>
      </w:r>
      <w:r>
        <w:rPr>
          <w:rFonts w:eastAsia="Times New Roman"/>
          <w:color w:val="000000"/>
          <w:sz w:val="20"/>
          <w:szCs w:val="20"/>
        </w:rPr>
        <w:t>come and operating margin percentage in fiscal 2020 compared with the four quarters ended January 3, 2020 were primarily driven by operational excellence and integration benefits.</w:t>
      </w:r>
    </w:p>
    <w:p w:rsidR="00000000" w:rsidRDefault="00AE54EE">
      <w:pPr>
        <w:divId w:val="547374326"/>
        <w:rPr>
          <w:rFonts w:eastAsia="Times New Roman"/>
        </w:rPr>
      </w:pPr>
      <w:r>
        <w:rPr>
          <w:rFonts w:eastAsia="Times New Roman"/>
          <w:b/>
          <w:bCs/>
          <w:color w:val="000000"/>
          <w:sz w:val="20"/>
          <w:szCs w:val="20"/>
        </w:rPr>
        <w:t>Space &amp; Airborne Systems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1524"/>
        <w:gridCol w:w="39"/>
        <w:gridCol w:w="120"/>
        <w:gridCol w:w="500"/>
        <w:gridCol w:w="187"/>
        <w:gridCol w:w="36"/>
        <w:gridCol w:w="36"/>
        <w:gridCol w:w="36"/>
        <w:gridCol w:w="120"/>
        <w:gridCol w:w="500"/>
        <w:gridCol w:w="187"/>
        <w:gridCol w:w="36"/>
        <w:gridCol w:w="36"/>
        <w:gridCol w:w="36"/>
        <w:gridCol w:w="89"/>
        <w:gridCol w:w="574"/>
        <w:gridCol w:w="187"/>
        <w:gridCol w:w="36"/>
        <w:gridCol w:w="36"/>
        <w:gridCol w:w="36"/>
        <w:gridCol w:w="121"/>
        <w:gridCol w:w="776"/>
        <w:gridCol w:w="187"/>
        <w:gridCol w:w="36"/>
        <w:gridCol w:w="36"/>
        <w:gridCol w:w="36"/>
        <w:gridCol w:w="89"/>
        <w:gridCol w:w="574"/>
        <w:gridCol w:w="187"/>
        <w:gridCol w:w="36"/>
        <w:gridCol w:w="36"/>
        <w:gridCol w:w="36"/>
        <w:gridCol w:w="120"/>
        <w:gridCol w:w="500"/>
        <w:gridCol w:w="187"/>
        <w:gridCol w:w="36"/>
        <w:gridCol w:w="36"/>
        <w:gridCol w:w="36"/>
        <w:gridCol w:w="89"/>
        <w:gridCol w:w="574"/>
        <w:gridCol w:w="187"/>
      </w:tblGrid>
      <w:tr w:rsidR="00000000">
        <w:trPr>
          <w:divId w:val="1917127053"/>
        </w:trPr>
        <w:tc>
          <w:tcPr>
            <w:tcW w:w="50" w:type="pct"/>
            <w:vAlign w:val="center"/>
            <w:hideMark/>
          </w:tcPr>
          <w:p w:rsidR="00000000" w:rsidRDefault="00AE54EE">
            <w:pPr>
              <w:rPr>
                <w:rFonts w:eastAsia="Times New Roman"/>
              </w:rPr>
            </w:pPr>
          </w:p>
        </w:tc>
        <w:tc>
          <w:tcPr>
            <w:tcW w:w="148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91712705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Four Quarters Ended</w:t>
            </w:r>
          </w:p>
        </w:tc>
      </w:tr>
      <w:tr w:rsidR="00000000">
        <w:trPr>
          <w:divId w:val="1917127053"/>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trPr>
          <w:divId w:val="191712705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17127053"/>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1712705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5,093 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4,946 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4,352 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4,689 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r>
      <w:tr w:rsidR="00000000">
        <w:trPr>
          <w:divId w:val="1917127053"/>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970 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873 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r>
      <w:tr w:rsidR="00000000">
        <w:trPr>
          <w:divId w:val="1917127053"/>
        </w:trPr>
        <w:tc>
          <w:tcPr>
            <w:tcW w:w="0" w:type="auto"/>
            <w:gridSpan w:val="3"/>
            <w:shd w:val="clear" w:color="auto" w:fill="CCEEFF"/>
            <w:tcMar>
              <w:top w:w="30" w:type="dxa"/>
              <w:left w:w="245"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bl>
    <w:p w:rsidR="00000000" w:rsidRDefault="00AE54EE">
      <w:pPr>
        <w:divId w:val="1925920592"/>
        <w:rPr>
          <w:rFonts w:eastAsia="Times New Roman"/>
        </w:rPr>
      </w:pPr>
      <w:r>
        <w:rPr>
          <w:rFonts w:eastAsia="Times New Roman"/>
          <w:b/>
          <w:bCs/>
          <w:color w:val="000000"/>
          <w:sz w:val="20"/>
          <w:szCs w:val="20"/>
        </w:rPr>
        <w:t>As Reported</w:t>
      </w:r>
    </w:p>
    <w:p w:rsidR="00000000" w:rsidRDefault="00AE54EE">
      <w:pPr>
        <w:ind w:firstLine="450"/>
        <w:divId w:val="452557062"/>
        <w:rPr>
          <w:rFonts w:eastAsia="Times New Roman"/>
        </w:rPr>
      </w:pPr>
      <w:r>
        <w:rPr>
          <w:rFonts w:eastAsia="Times New Roman"/>
          <w:i/>
          <w:iCs/>
          <w:color w:val="000000"/>
          <w:sz w:val="20"/>
          <w:szCs w:val="20"/>
        </w:rPr>
        <w:t xml:space="preserve">Fiscal 2021 Compared With Fiscal 2020: </w:t>
      </w:r>
      <w:r>
        <w:rPr>
          <w:rFonts w:eastAsia="Times New Roman"/>
          <w:color w:val="000000"/>
          <w:sz w:val="20"/>
          <w:szCs w:val="20"/>
        </w:rPr>
        <w:t> The increase in segment revenue in fiscal 2021 compar</w:t>
      </w:r>
      <w:r>
        <w:rPr>
          <w:rFonts w:eastAsia="Times New Roman"/>
          <w:color w:val="000000"/>
          <w:sz w:val="20"/>
          <w:szCs w:val="20"/>
        </w:rPr>
        <w:t>ed with fiscal 2020 was primarily due to $175 million of higher revenue in Space, reflecting a ramp in missile defense and other responsive programs and $8 million of higher revenue in Intel and Cyber from classified programs, partially offset by $77 milli</w:t>
      </w:r>
      <w:r>
        <w:rPr>
          <w:rFonts w:eastAsia="Times New Roman"/>
          <w:color w:val="000000"/>
          <w:sz w:val="20"/>
          <w:szCs w:val="20"/>
        </w:rPr>
        <w:t>on of lower revenue in Electronic Warfare and Mission Avionics, reflecting the transition towards modernization programs within airborne businesses. The funded backlog for this segment was $3.9 billion at December 31, 2021 compared with $3.8 billion at Jan</w:t>
      </w:r>
      <w:r>
        <w:rPr>
          <w:rFonts w:eastAsia="Times New Roman"/>
          <w:color w:val="000000"/>
          <w:sz w:val="20"/>
          <w:szCs w:val="20"/>
        </w:rPr>
        <w:t xml:space="preserve">uary 1, 2021. </w:t>
      </w:r>
    </w:p>
    <w:p w:rsidR="00000000" w:rsidRDefault="00AE54EE">
      <w:pPr>
        <w:ind w:firstLine="450"/>
        <w:jc w:val="center"/>
        <w:divId w:val="268775746"/>
        <w:rPr>
          <w:rFonts w:eastAsia="Times New Roman"/>
        </w:rPr>
      </w:pPr>
      <w:r>
        <w:rPr>
          <w:rFonts w:eastAsia="Times New Roman"/>
          <w:color w:val="000000"/>
          <w:sz w:val="20"/>
          <w:szCs w:val="20"/>
        </w:rPr>
        <w:t>45</w:t>
      </w:r>
    </w:p>
    <w:p w:rsidR="00000000" w:rsidRDefault="00AE54EE">
      <w:pPr>
        <w:rPr>
          <w:rFonts w:eastAsia="Times New Roman"/>
        </w:rPr>
      </w:pPr>
      <w:r>
        <w:rPr>
          <w:rFonts w:eastAsia="Times New Roman"/>
        </w:rPr>
        <w:pict>
          <v:rect id="_x0000_i1073" style="width:0;height:1.5pt" o:hralign="center" o:hrstd="t" o:hr="t" fillcolor="#a0a0a0" stroked="f"/>
        </w:pict>
      </w:r>
    </w:p>
    <w:p w:rsidR="00000000" w:rsidRDefault="00AE54EE">
      <w:pPr>
        <w:ind w:firstLine="450"/>
        <w:divId w:val="30736554"/>
        <w:rPr>
          <w:rFonts w:eastAsia="Times New Roman"/>
        </w:rPr>
      </w:pPr>
    </w:p>
    <w:p w:rsidR="00000000" w:rsidRDefault="00AE54EE">
      <w:pPr>
        <w:ind w:firstLine="450"/>
        <w:divId w:val="2009943034"/>
        <w:rPr>
          <w:rFonts w:eastAsia="Times New Roman"/>
        </w:rPr>
      </w:pPr>
      <w:r>
        <w:rPr>
          <w:rFonts w:eastAsia="Times New Roman"/>
          <w:color w:val="000000"/>
          <w:sz w:val="20"/>
          <w:szCs w:val="20"/>
        </w:rPr>
        <w:t>The increase in segment operating income in fiscal 2021 compared with fiscal 2020 was primarily due to e3 performance, higher pension income and integration benefits, partially offset by higher R&amp;D in</w:t>
      </w:r>
      <w:r>
        <w:rPr>
          <w:rFonts w:eastAsia="Times New Roman"/>
          <w:color w:val="000000"/>
          <w:sz w:val="20"/>
          <w:szCs w:val="20"/>
        </w:rPr>
        <w:t xml:space="preserve">vestments and a mix of program revenue and product sales with relatively lower gross margin percentage. Segment operating margin percentage in fiscal 2021 was comparable to fiscal 2020. </w:t>
      </w:r>
    </w:p>
    <w:p w:rsidR="00000000" w:rsidRDefault="00AE54EE">
      <w:pPr>
        <w:ind w:firstLine="450"/>
        <w:divId w:val="1414550702"/>
        <w:rPr>
          <w:rFonts w:eastAsia="Times New Roman"/>
        </w:rPr>
      </w:pPr>
      <w:r>
        <w:rPr>
          <w:rFonts w:eastAsia="Times New Roman"/>
          <w:color w:val="000000"/>
          <w:sz w:val="20"/>
          <w:szCs w:val="20"/>
        </w:rPr>
        <w:t xml:space="preserve">The percentage of this segment’s revenue that was derived from sales </w:t>
      </w:r>
      <w:r>
        <w:rPr>
          <w:rFonts w:eastAsia="Times New Roman"/>
          <w:color w:val="000000"/>
          <w:sz w:val="20"/>
          <w:szCs w:val="20"/>
        </w:rPr>
        <w:t>to U.S. Government customers, including foreign military sales funded through the U.S. Government, whether directly or through prime contractors, was 87 percent in fiscal 2021.</w:t>
      </w:r>
    </w:p>
    <w:p w:rsidR="00000000" w:rsidRDefault="00AE54EE">
      <w:pPr>
        <w:ind w:firstLine="450"/>
        <w:divId w:val="821386063"/>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The increases in</w:t>
      </w:r>
      <w:r>
        <w:rPr>
          <w:rFonts w:eastAsia="Times New Roman"/>
          <w:color w:val="000000"/>
          <w:sz w:val="20"/>
          <w:szCs w:val="20"/>
        </w:rPr>
        <w:t xml:space="preserve"> segment revenue and operating income in fiscal 2020 compared with the four quarters ended January 3, 2020 were primarily due to the inclusion of L3 operations in segment operating results for the two quarters ended July 3, 2020 (but not for the comparable</w:t>
      </w:r>
      <w:r>
        <w:rPr>
          <w:rFonts w:eastAsia="Times New Roman"/>
          <w:color w:val="000000"/>
          <w:sz w:val="20"/>
          <w:szCs w:val="20"/>
        </w:rPr>
        <w:t xml:space="preserve"> prior-year two quarters preceding the L3Harris Merger), as well as organic growth in Mission Avionics and Intel and Cyber as discussed further below in the “Pro Forma” discussion for fiscal 2020 compared with the four quarters ended January 3, 2020. The f</w:t>
      </w:r>
      <w:r>
        <w:rPr>
          <w:rFonts w:eastAsia="Times New Roman"/>
          <w:color w:val="000000"/>
          <w:sz w:val="20"/>
          <w:szCs w:val="20"/>
        </w:rPr>
        <w:t>unded backlog for this segment was $3.8 billion at January 1, 2021 compared with $3.9 billion at January 3, 2020. Segment operating margin percentage in fiscal 2020 was comparable with the four quarters ended January 3, 2020.</w:t>
      </w:r>
    </w:p>
    <w:p w:rsidR="00000000" w:rsidRDefault="00AE54EE">
      <w:pPr>
        <w:ind w:firstLine="450"/>
        <w:divId w:val="147136097"/>
        <w:rPr>
          <w:rFonts w:eastAsia="Times New Roman"/>
        </w:rPr>
      </w:pPr>
      <w:r>
        <w:rPr>
          <w:rFonts w:eastAsia="Times New Roman"/>
          <w:color w:val="000000"/>
          <w:sz w:val="20"/>
          <w:szCs w:val="20"/>
        </w:rPr>
        <w:t>The percentage of this segment’s revenue that was derived from sales to U.S. Government customers, including foreign military sales funded through the U.S. Government, whether directly or through prime contractors, was 90 percent in fiscal 2020.</w:t>
      </w:r>
    </w:p>
    <w:p w:rsidR="00000000" w:rsidRDefault="00AE54EE">
      <w:pPr>
        <w:divId w:val="279069311"/>
        <w:rPr>
          <w:rFonts w:eastAsia="Times New Roman"/>
        </w:rPr>
      </w:pPr>
      <w:r>
        <w:rPr>
          <w:rFonts w:eastAsia="Times New Roman"/>
          <w:b/>
          <w:bCs/>
          <w:color w:val="000000"/>
          <w:sz w:val="20"/>
          <w:szCs w:val="20"/>
        </w:rPr>
        <w:t>Pro Forma</w:t>
      </w:r>
    </w:p>
    <w:p w:rsidR="00000000" w:rsidRDefault="00AE54EE">
      <w:pPr>
        <w:ind w:firstLine="450"/>
        <w:divId w:val="232203546"/>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The increase in segment revenue in fiscal 2020 compared with the four quarters ended January 3, 2020 was primarily due to $317 million of higher revenue in Mission Avionics, driven by a ramp on</w:t>
      </w:r>
      <w:r>
        <w:rPr>
          <w:rFonts w:eastAsia="Times New Roman"/>
          <w:color w:val="000000"/>
          <w:sz w:val="20"/>
          <w:szCs w:val="20"/>
        </w:rPr>
        <w:t xml:space="preserve"> the F-35 platform, and $70 million of higher revenue in Intel and Cyber from growth on classified programs, partially offset by $107 million of lower revenue in Space and lower revenue in Electronic Warfare, reflecting program transition timing.</w:t>
      </w:r>
    </w:p>
    <w:p w:rsidR="00000000" w:rsidRDefault="00AE54EE">
      <w:pPr>
        <w:ind w:firstLine="450"/>
        <w:divId w:val="1534808864"/>
        <w:rPr>
          <w:rFonts w:eastAsia="Times New Roman"/>
        </w:rPr>
      </w:pPr>
      <w:r>
        <w:rPr>
          <w:rFonts w:eastAsia="Times New Roman"/>
          <w:color w:val="000000"/>
          <w:sz w:val="20"/>
          <w:szCs w:val="20"/>
        </w:rPr>
        <w:t>The incre</w:t>
      </w:r>
      <w:r>
        <w:rPr>
          <w:rFonts w:eastAsia="Times New Roman"/>
          <w:color w:val="000000"/>
          <w:sz w:val="20"/>
          <w:szCs w:val="20"/>
        </w:rPr>
        <w:t>ase in segment operating income in fiscal 2020 compared with the four quarters ended January 3, 2020 was primarily due to cost management, operational excellence and integration benefits, partially offset by program mix, including in respect of newly award</w:t>
      </w:r>
      <w:r>
        <w:rPr>
          <w:rFonts w:eastAsia="Times New Roman"/>
          <w:color w:val="000000"/>
          <w:sz w:val="20"/>
          <w:szCs w:val="20"/>
        </w:rPr>
        <w:t>ed fixed-priced development contracts. Segment operating margin percentage for fiscal 2020 was comparable with the four quarters ended January 3, 2020.</w:t>
      </w:r>
    </w:p>
    <w:p w:rsidR="00000000" w:rsidRDefault="00AE54EE">
      <w:pPr>
        <w:divId w:val="194346414"/>
        <w:rPr>
          <w:rFonts w:eastAsia="Times New Roman"/>
        </w:rPr>
      </w:pPr>
      <w:r>
        <w:rPr>
          <w:rFonts w:eastAsia="Times New Roman"/>
          <w:b/>
          <w:bCs/>
          <w:color w:val="000000"/>
          <w:sz w:val="20"/>
          <w:szCs w:val="20"/>
        </w:rPr>
        <w:t>Communication Systems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1457"/>
        <w:gridCol w:w="39"/>
        <w:gridCol w:w="120"/>
        <w:gridCol w:w="500"/>
        <w:gridCol w:w="187"/>
        <w:gridCol w:w="36"/>
        <w:gridCol w:w="36"/>
        <w:gridCol w:w="36"/>
        <w:gridCol w:w="120"/>
        <w:gridCol w:w="500"/>
        <w:gridCol w:w="187"/>
        <w:gridCol w:w="36"/>
        <w:gridCol w:w="36"/>
        <w:gridCol w:w="36"/>
        <w:gridCol w:w="89"/>
        <w:gridCol w:w="574"/>
        <w:gridCol w:w="254"/>
        <w:gridCol w:w="36"/>
        <w:gridCol w:w="36"/>
        <w:gridCol w:w="36"/>
        <w:gridCol w:w="121"/>
        <w:gridCol w:w="776"/>
        <w:gridCol w:w="187"/>
        <w:gridCol w:w="36"/>
        <w:gridCol w:w="36"/>
        <w:gridCol w:w="36"/>
        <w:gridCol w:w="89"/>
        <w:gridCol w:w="574"/>
        <w:gridCol w:w="187"/>
        <w:gridCol w:w="36"/>
        <w:gridCol w:w="36"/>
        <w:gridCol w:w="36"/>
        <w:gridCol w:w="120"/>
        <w:gridCol w:w="500"/>
        <w:gridCol w:w="187"/>
        <w:gridCol w:w="36"/>
        <w:gridCol w:w="36"/>
        <w:gridCol w:w="36"/>
        <w:gridCol w:w="89"/>
        <w:gridCol w:w="574"/>
        <w:gridCol w:w="187"/>
      </w:tblGrid>
      <w:tr w:rsidR="00000000">
        <w:trPr>
          <w:divId w:val="162360619"/>
        </w:trPr>
        <w:tc>
          <w:tcPr>
            <w:tcW w:w="50" w:type="pct"/>
            <w:vAlign w:val="center"/>
            <w:hideMark/>
          </w:tcPr>
          <w:p w:rsidR="00000000" w:rsidRDefault="00AE54EE">
            <w:pPr>
              <w:rPr>
                <w:rFonts w:eastAsia="Times New Roman"/>
              </w:rPr>
            </w:pPr>
          </w:p>
        </w:tc>
        <w:tc>
          <w:tcPr>
            <w:tcW w:w="148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62360619"/>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Four Quarters Ended</w:t>
            </w:r>
          </w:p>
        </w:tc>
      </w:tr>
      <w:tr w:rsidR="00000000">
        <w:trPr>
          <w:divId w:val="162360619"/>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trPr>
          <w:divId w:val="162360619"/>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2360619"/>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236061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4,287 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4,443 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3,340 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4,278 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r>
      <w:tr w:rsidR="00000000">
        <w:trPr>
          <w:divId w:val="16236061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1,092 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958 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r>
      <w:tr w:rsidR="00000000">
        <w:trPr>
          <w:divId w:val="162360619"/>
        </w:trPr>
        <w:tc>
          <w:tcPr>
            <w:tcW w:w="0" w:type="auto"/>
            <w:gridSpan w:val="3"/>
            <w:shd w:val="clear" w:color="auto" w:fill="CCEEFF"/>
            <w:tcMar>
              <w:top w:w="30" w:type="dxa"/>
              <w:left w:w="245"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bl>
    <w:p w:rsidR="00000000" w:rsidRDefault="00AE54EE">
      <w:pPr>
        <w:divId w:val="1033652655"/>
        <w:rPr>
          <w:rFonts w:eastAsia="Times New Roman"/>
        </w:rPr>
      </w:pPr>
      <w:r>
        <w:rPr>
          <w:rFonts w:eastAsia="Times New Roman"/>
          <w:b/>
          <w:bCs/>
          <w:color w:val="000000"/>
          <w:sz w:val="20"/>
          <w:szCs w:val="20"/>
        </w:rPr>
        <w:t>As Reported</w:t>
      </w:r>
    </w:p>
    <w:p w:rsidR="00000000" w:rsidRDefault="00AE54EE">
      <w:pPr>
        <w:ind w:firstLine="450"/>
        <w:divId w:val="1536389383"/>
        <w:rPr>
          <w:rFonts w:eastAsia="Times New Roman"/>
        </w:rPr>
      </w:pPr>
      <w:r>
        <w:rPr>
          <w:rFonts w:eastAsia="Times New Roman"/>
          <w:i/>
          <w:iCs/>
          <w:color w:val="000000"/>
          <w:sz w:val="20"/>
          <w:szCs w:val="20"/>
        </w:rPr>
        <w:t>Fiscal 2021 Compared With Fiscal 2020:</w:t>
      </w:r>
      <w:r>
        <w:rPr>
          <w:rFonts w:eastAsia="Times New Roman"/>
          <w:color w:val="000000"/>
          <w:sz w:val="20"/>
          <w:szCs w:val="20"/>
        </w:rPr>
        <w:t>  The decrease in segment revenue in fiscal 2021 compar</w:t>
      </w:r>
      <w:r>
        <w:rPr>
          <w:rFonts w:eastAsia="Times New Roman"/>
          <w:color w:val="000000"/>
          <w:sz w:val="20"/>
          <w:szCs w:val="20"/>
        </w:rPr>
        <w:t xml:space="preserve">ed with fiscal 2020 was primarily due to $57 million of lower revenue in Tactical Communications, reflecting product delivery delays from supply chain-related constraints, $82 million of lower revenue in Broadband Communications, reflecting lower sales on </w:t>
      </w:r>
      <w:r>
        <w:rPr>
          <w:rFonts w:eastAsia="Times New Roman"/>
          <w:color w:val="000000"/>
          <w:sz w:val="20"/>
          <w:szCs w:val="20"/>
        </w:rPr>
        <w:t>legacy unmanned platforms, modestly lower revenue in Public Safety and flat revenue in Integrated Vision Solutions after adjusting for the impact of the divestiture of the EOTech business on July 31, 2020 (which generated $41 million of revenue through the</w:t>
      </w:r>
      <w:r>
        <w:rPr>
          <w:rFonts w:eastAsia="Times New Roman"/>
          <w:color w:val="000000"/>
          <w:sz w:val="20"/>
          <w:szCs w:val="20"/>
        </w:rPr>
        <w:t xml:space="preserve"> date of divestiture in the quarter ended October 2, 2020). These decreases were partially offset by $19 million of higher revenue in Global Communications Solutions from the DoD modernization program. The funded backlog for this segment was $3.7 billion a</w:t>
      </w:r>
      <w:r>
        <w:rPr>
          <w:rFonts w:eastAsia="Times New Roman"/>
          <w:color w:val="000000"/>
          <w:sz w:val="20"/>
          <w:szCs w:val="20"/>
        </w:rPr>
        <w:t xml:space="preserve">t December 31, 2021 compared with $3.3 billion at January 1, 2021. </w:t>
      </w:r>
    </w:p>
    <w:p w:rsidR="00000000" w:rsidRDefault="00AE54EE">
      <w:pPr>
        <w:ind w:firstLine="450"/>
        <w:divId w:val="1272280353"/>
        <w:rPr>
          <w:rFonts w:eastAsia="Times New Roman"/>
        </w:rPr>
      </w:pPr>
      <w:r>
        <w:rPr>
          <w:rFonts w:eastAsia="Times New Roman"/>
          <w:color w:val="000000"/>
          <w:sz w:val="20"/>
          <w:szCs w:val="20"/>
        </w:rPr>
        <w:t>The increases in segment operating income and operating margin percentage in fiscal 2021 compared with fiscal 2020 was primarily due to e3 performance and integration benefits, partially o</w:t>
      </w:r>
      <w:r>
        <w:rPr>
          <w:rFonts w:eastAsia="Times New Roman"/>
          <w:color w:val="000000"/>
          <w:sz w:val="20"/>
          <w:szCs w:val="20"/>
        </w:rPr>
        <w:t xml:space="preserve">ffset by supply chain impacts and higher R&amp;D investments. </w:t>
      </w:r>
    </w:p>
    <w:p w:rsidR="00000000" w:rsidRDefault="00AE54EE">
      <w:pPr>
        <w:ind w:firstLine="450"/>
        <w:divId w:val="490143941"/>
        <w:rPr>
          <w:rFonts w:eastAsia="Times New Roman"/>
        </w:rPr>
      </w:pPr>
      <w:r>
        <w:rPr>
          <w:rFonts w:eastAsia="Times New Roman"/>
          <w:color w:val="000000"/>
          <w:sz w:val="20"/>
          <w:szCs w:val="20"/>
        </w:rPr>
        <w:t>The percentage of this segment’s revenue that was derived from sales to U.S. Government customers, including foreign military sales funded through the U.S. Government, whether directly or through p</w:t>
      </w:r>
      <w:r>
        <w:rPr>
          <w:rFonts w:eastAsia="Times New Roman"/>
          <w:color w:val="000000"/>
          <w:sz w:val="20"/>
          <w:szCs w:val="20"/>
        </w:rPr>
        <w:t>rime contractors, was 68 percent in fiscal 2021.</w:t>
      </w:r>
    </w:p>
    <w:p w:rsidR="00000000" w:rsidRDefault="00AE54EE">
      <w:pPr>
        <w:ind w:firstLine="450"/>
        <w:divId w:val="137766973"/>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 The increases in segment revenue and operating income, and decrease in segment operating margin percentage, in fiscal 2020 compared with the fo</w:t>
      </w:r>
      <w:r>
        <w:rPr>
          <w:rFonts w:eastAsia="Times New Roman"/>
          <w:color w:val="000000"/>
          <w:sz w:val="20"/>
          <w:szCs w:val="20"/>
        </w:rPr>
        <w:t>ur quarters ended January 3, 2020 were primarily due to the inclusion of L3 operations in segment operating results for the two quarters ended July 3, 2020 (but not for the comparable prior-year two quarters preceding the L3Harris Merger), as well as organ</w:t>
      </w:r>
      <w:r>
        <w:rPr>
          <w:rFonts w:eastAsia="Times New Roman"/>
          <w:color w:val="000000"/>
          <w:sz w:val="20"/>
          <w:szCs w:val="20"/>
        </w:rPr>
        <w:t xml:space="preserve">ic growth in Tactical Communications, partially offset by lower revenue in Public Safety and the divestiture of the EOTech business as discussed </w:t>
      </w:r>
    </w:p>
    <w:p w:rsidR="00000000" w:rsidRDefault="00AE54EE">
      <w:pPr>
        <w:ind w:firstLine="450"/>
        <w:jc w:val="center"/>
        <w:divId w:val="1288664994"/>
        <w:rPr>
          <w:rFonts w:eastAsia="Times New Roman"/>
        </w:rPr>
      </w:pPr>
      <w:r>
        <w:rPr>
          <w:rFonts w:eastAsia="Times New Roman"/>
          <w:color w:val="000000"/>
          <w:sz w:val="20"/>
          <w:szCs w:val="20"/>
        </w:rPr>
        <w:t>46</w:t>
      </w:r>
    </w:p>
    <w:p w:rsidR="00000000" w:rsidRDefault="00AE54EE">
      <w:pPr>
        <w:rPr>
          <w:rFonts w:eastAsia="Times New Roman"/>
        </w:rPr>
      </w:pPr>
      <w:r>
        <w:rPr>
          <w:rFonts w:eastAsia="Times New Roman"/>
        </w:rPr>
        <w:pict>
          <v:rect id="_x0000_i1074" style="width:0;height:1.5pt" o:hralign="center" o:hrstd="t" o:hr="t" fillcolor="#a0a0a0" stroked="f"/>
        </w:pict>
      </w:r>
    </w:p>
    <w:p w:rsidR="00000000" w:rsidRDefault="00AE54EE">
      <w:pPr>
        <w:ind w:firstLine="450"/>
        <w:divId w:val="753550764"/>
        <w:rPr>
          <w:rFonts w:eastAsia="Times New Roman"/>
        </w:rPr>
      </w:pPr>
    </w:p>
    <w:p w:rsidR="00000000" w:rsidRDefault="00AE54EE">
      <w:pPr>
        <w:divId w:val="1591500461"/>
        <w:rPr>
          <w:rFonts w:eastAsia="Times New Roman"/>
        </w:rPr>
      </w:pPr>
      <w:r>
        <w:rPr>
          <w:rFonts w:eastAsia="Times New Roman"/>
          <w:color w:val="000000"/>
          <w:sz w:val="20"/>
          <w:szCs w:val="20"/>
        </w:rPr>
        <w:t xml:space="preserve">further below in the “Pro Forma” </w:t>
      </w:r>
      <w:r>
        <w:rPr>
          <w:rFonts w:eastAsia="Times New Roman"/>
          <w:color w:val="000000"/>
          <w:sz w:val="20"/>
          <w:szCs w:val="20"/>
        </w:rPr>
        <w:t xml:space="preserve">discussion for fiscal 2020 compared with the four quarters ended January 3, 2020. The funded backlog for this segment was $3.3 billion at January 1, 2021 compared with $3.7 billion at January 3, 2020. </w:t>
      </w:r>
    </w:p>
    <w:p w:rsidR="00000000" w:rsidRDefault="00AE54EE">
      <w:pPr>
        <w:ind w:firstLine="450"/>
        <w:divId w:val="1119103749"/>
        <w:rPr>
          <w:rFonts w:eastAsia="Times New Roman"/>
        </w:rPr>
      </w:pPr>
      <w:r>
        <w:rPr>
          <w:rFonts w:eastAsia="Times New Roman"/>
          <w:color w:val="000000"/>
          <w:sz w:val="20"/>
          <w:szCs w:val="20"/>
        </w:rPr>
        <w:t>The percentage of this segment’s revenue that was deri</w:t>
      </w:r>
      <w:r>
        <w:rPr>
          <w:rFonts w:eastAsia="Times New Roman"/>
          <w:color w:val="000000"/>
          <w:sz w:val="20"/>
          <w:szCs w:val="20"/>
        </w:rPr>
        <w:t>ved from sales to U.S. Government customers, including foreign military sales funded through the U.S. Government, whether directly or through prime contractors, was 69 percent in fiscal 2020.</w:t>
      </w:r>
    </w:p>
    <w:p w:rsidR="00000000" w:rsidRDefault="00AE54EE">
      <w:pPr>
        <w:divId w:val="10449105"/>
        <w:rPr>
          <w:rFonts w:eastAsia="Times New Roman"/>
        </w:rPr>
      </w:pPr>
      <w:r>
        <w:rPr>
          <w:rFonts w:eastAsia="Times New Roman"/>
          <w:b/>
          <w:bCs/>
          <w:color w:val="000000"/>
          <w:sz w:val="20"/>
          <w:szCs w:val="20"/>
        </w:rPr>
        <w:t>Pro Forma</w:t>
      </w:r>
    </w:p>
    <w:p w:rsidR="00000000" w:rsidRDefault="00AE54EE">
      <w:pPr>
        <w:ind w:firstLine="450"/>
        <w:divId w:val="825129117"/>
        <w:rPr>
          <w:rFonts w:eastAsia="Times New Roman"/>
        </w:rPr>
      </w:pPr>
      <w:r>
        <w:rPr>
          <w:rFonts w:eastAsia="Times New Roman"/>
          <w:i/>
          <w:iCs/>
          <w:color w:val="000000"/>
          <w:sz w:val="20"/>
          <w:szCs w:val="20"/>
        </w:rPr>
        <w:t xml:space="preserve">Fiscal 2020 Compared With Four Quarters Ended January </w:t>
      </w:r>
      <w:r>
        <w:rPr>
          <w:rFonts w:eastAsia="Times New Roman"/>
          <w:i/>
          <w:iCs/>
          <w:color w:val="000000"/>
          <w:sz w:val="20"/>
          <w:szCs w:val="20"/>
        </w:rPr>
        <w:t xml:space="preserve">3, 2020: </w:t>
      </w:r>
      <w:r>
        <w:rPr>
          <w:rFonts w:eastAsia="Times New Roman"/>
          <w:color w:val="000000"/>
          <w:sz w:val="20"/>
          <w:szCs w:val="20"/>
        </w:rPr>
        <w:t> The increase in revenue in fiscal 2020 compared with the four quarters ended January 3, 2020 was primarily due to $268 million of higher Tactical Communications revenue (including Global Communications Solutions), primarily due to a ramp in DoD m</w:t>
      </w:r>
      <w:r>
        <w:rPr>
          <w:rFonts w:eastAsia="Times New Roman"/>
          <w:color w:val="000000"/>
          <w:sz w:val="20"/>
          <w:szCs w:val="20"/>
        </w:rPr>
        <w:t>odernization programs that also benefited Integrated Vision Solutions, partially offset by $84 million of lower revenue in Public Safety, reflecting COVID-related pressures on state and local government municipality customers, and a $21 million revenue imp</w:t>
      </w:r>
      <w:r>
        <w:rPr>
          <w:rFonts w:eastAsia="Times New Roman"/>
          <w:color w:val="000000"/>
          <w:sz w:val="20"/>
          <w:szCs w:val="20"/>
        </w:rPr>
        <w:t>act from the divestiture of the EOTech business.</w:t>
      </w:r>
    </w:p>
    <w:p w:rsidR="00000000" w:rsidRDefault="00AE54EE">
      <w:pPr>
        <w:ind w:firstLine="450"/>
        <w:divId w:val="1513452489"/>
        <w:rPr>
          <w:rFonts w:eastAsia="Times New Roman"/>
        </w:rPr>
      </w:pPr>
      <w:r>
        <w:rPr>
          <w:rFonts w:eastAsia="Times New Roman"/>
          <w:color w:val="000000"/>
          <w:sz w:val="20"/>
          <w:szCs w:val="20"/>
        </w:rPr>
        <w:t>The increases in segment operating income and operating margin percentage in fiscal 2020 compared with the four quarters ended January 3, 2020 were primarily due to operational excellence, integration benefi</w:t>
      </w:r>
      <w:r>
        <w:rPr>
          <w:rFonts w:eastAsia="Times New Roman"/>
          <w:color w:val="000000"/>
          <w:sz w:val="20"/>
          <w:szCs w:val="20"/>
        </w:rPr>
        <w:t>ts and cost management.</w:t>
      </w:r>
    </w:p>
    <w:p w:rsidR="00000000" w:rsidRDefault="00AE54EE">
      <w:pPr>
        <w:divId w:val="160972631"/>
        <w:rPr>
          <w:rFonts w:eastAsia="Times New Roman"/>
        </w:rPr>
      </w:pPr>
      <w:r>
        <w:rPr>
          <w:rFonts w:eastAsia="Times New Roman"/>
          <w:b/>
          <w:bCs/>
          <w:color w:val="000000"/>
          <w:sz w:val="20"/>
          <w:szCs w:val="20"/>
        </w:rPr>
        <w:t>Additional Information on Known Trends and Uncertainties</w:t>
      </w:r>
    </w:p>
    <w:p w:rsidR="00000000" w:rsidRDefault="00AE54EE">
      <w:pPr>
        <w:ind w:firstLine="450"/>
        <w:divId w:val="150175594"/>
        <w:rPr>
          <w:rFonts w:eastAsia="Times New Roman"/>
        </w:rPr>
      </w:pPr>
      <w:r>
        <w:rPr>
          <w:rFonts w:eastAsia="Times New Roman"/>
          <w:color w:val="000000"/>
          <w:sz w:val="20"/>
          <w:szCs w:val="20"/>
        </w:rPr>
        <w:t>Revenue, operating income and orders in our Communication Systems segment have been, and we expect will continue to be, adversely impacted by supply chain-related constraints.</w:t>
      </w:r>
      <w:r>
        <w:rPr>
          <w:rFonts w:eastAsia="Times New Roman"/>
          <w:color w:val="000000"/>
          <w:sz w:val="20"/>
          <w:szCs w:val="20"/>
        </w:rPr>
        <w:t xml:space="preserve"> While our customer base remains strong, we expect continued impacts to revenue, operating income, and orders in our Communication Systems segment in early fiscal 2022 with stability in the second half of 2022; however, we can give no assurances and the ul</w:t>
      </w:r>
      <w:r>
        <w:rPr>
          <w:rFonts w:eastAsia="Times New Roman"/>
          <w:color w:val="000000"/>
          <w:sz w:val="20"/>
          <w:szCs w:val="20"/>
        </w:rPr>
        <w:t xml:space="preserve">timate extent of the supply chain-related constraints to our Communication Systems segment remains uncertain. </w:t>
      </w:r>
    </w:p>
    <w:p w:rsidR="00000000" w:rsidRDefault="00AE54EE">
      <w:pPr>
        <w:divId w:val="944970306"/>
        <w:rPr>
          <w:rFonts w:eastAsia="Times New Roman"/>
        </w:rPr>
      </w:pPr>
      <w:r>
        <w:rPr>
          <w:rFonts w:eastAsia="Times New Roman"/>
          <w:b/>
          <w:bCs/>
          <w:color w:val="000000"/>
          <w:sz w:val="20"/>
          <w:szCs w:val="20"/>
        </w:rPr>
        <w:t>Aviation Systems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1390"/>
        <w:gridCol w:w="39"/>
        <w:gridCol w:w="120"/>
        <w:gridCol w:w="500"/>
        <w:gridCol w:w="187"/>
        <w:gridCol w:w="36"/>
        <w:gridCol w:w="36"/>
        <w:gridCol w:w="36"/>
        <w:gridCol w:w="120"/>
        <w:gridCol w:w="500"/>
        <w:gridCol w:w="187"/>
        <w:gridCol w:w="36"/>
        <w:gridCol w:w="36"/>
        <w:gridCol w:w="36"/>
        <w:gridCol w:w="89"/>
        <w:gridCol w:w="574"/>
        <w:gridCol w:w="254"/>
        <w:gridCol w:w="36"/>
        <w:gridCol w:w="36"/>
        <w:gridCol w:w="36"/>
        <w:gridCol w:w="121"/>
        <w:gridCol w:w="776"/>
        <w:gridCol w:w="187"/>
        <w:gridCol w:w="36"/>
        <w:gridCol w:w="36"/>
        <w:gridCol w:w="36"/>
        <w:gridCol w:w="89"/>
        <w:gridCol w:w="574"/>
        <w:gridCol w:w="187"/>
        <w:gridCol w:w="36"/>
        <w:gridCol w:w="36"/>
        <w:gridCol w:w="36"/>
        <w:gridCol w:w="120"/>
        <w:gridCol w:w="500"/>
        <w:gridCol w:w="187"/>
        <w:gridCol w:w="36"/>
        <w:gridCol w:w="36"/>
        <w:gridCol w:w="36"/>
        <w:gridCol w:w="89"/>
        <w:gridCol w:w="574"/>
        <w:gridCol w:w="254"/>
      </w:tblGrid>
      <w:tr w:rsidR="00000000">
        <w:trPr>
          <w:divId w:val="1401294274"/>
        </w:trPr>
        <w:tc>
          <w:tcPr>
            <w:tcW w:w="50" w:type="pct"/>
            <w:vAlign w:val="center"/>
            <w:hideMark/>
          </w:tcPr>
          <w:p w:rsidR="00000000" w:rsidRDefault="00AE54EE">
            <w:pPr>
              <w:rPr>
                <w:rFonts w:eastAsia="Times New Roman"/>
              </w:rPr>
            </w:pPr>
          </w:p>
        </w:tc>
        <w:tc>
          <w:tcPr>
            <w:tcW w:w="148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40129427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Four Quarters Ended</w:t>
            </w:r>
          </w:p>
        </w:tc>
      </w:tr>
      <w:tr w:rsidR="00000000">
        <w:trPr>
          <w:divId w:val="1401294274"/>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trPr>
          <w:divId w:val="140129427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01294274"/>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0129427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2,783 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3,917 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r>
      <w:tr w:rsidR="00000000">
        <w:trPr>
          <w:divId w:val="140129427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Operating income (loss)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401294274"/>
        </w:trPr>
        <w:tc>
          <w:tcPr>
            <w:tcW w:w="0" w:type="auto"/>
            <w:gridSpan w:val="3"/>
            <w:shd w:val="clear" w:color="auto" w:fill="CCEEFF"/>
            <w:tcMar>
              <w:top w:w="30" w:type="dxa"/>
              <w:left w:w="245"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i/>
                <w:iCs/>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bl>
    <w:p w:rsidR="00000000" w:rsidRDefault="00AE54EE">
      <w:pPr>
        <w:divId w:val="1401294274"/>
        <w:rPr>
          <w:rFonts w:eastAsia="Times New Roman"/>
        </w:rPr>
      </w:pPr>
      <w:r>
        <w:rPr>
          <w:rFonts w:eastAsia="Times New Roman"/>
          <w:color w:val="000000"/>
          <w:sz w:val="16"/>
          <w:szCs w:val="16"/>
        </w:rPr>
        <w:t>_________________</w:t>
      </w:r>
    </w:p>
    <w:p w:rsidR="00000000" w:rsidRDefault="00AE54EE">
      <w:pPr>
        <w:ind w:hanging="360"/>
        <w:divId w:val="1467354611"/>
        <w:rPr>
          <w:rFonts w:eastAsia="Times New Roman"/>
        </w:rPr>
      </w:pPr>
      <w:r>
        <w:rPr>
          <w:rFonts w:eastAsia="Times New Roman"/>
          <w:color w:val="000000"/>
          <w:sz w:val="16"/>
          <w:szCs w:val="16"/>
        </w:rPr>
        <w:t>*Not meaningful</w:t>
      </w:r>
    </w:p>
    <w:p w:rsidR="00000000" w:rsidRDefault="00AE54EE">
      <w:pPr>
        <w:divId w:val="1001153488"/>
        <w:rPr>
          <w:rFonts w:eastAsia="Times New Roman"/>
        </w:rPr>
      </w:pPr>
      <w:r>
        <w:rPr>
          <w:rFonts w:eastAsia="Times New Roman"/>
          <w:b/>
          <w:bCs/>
          <w:color w:val="000000"/>
          <w:sz w:val="20"/>
          <w:szCs w:val="20"/>
        </w:rPr>
        <w:t>As Reported</w:t>
      </w:r>
    </w:p>
    <w:p w:rsidR="00000000" w:rsidRDefault="00AE54EE">
      <w:pPr>
        <w:ind w:firstLine="450"/>
        <w:divId w:val="1144618091"/>
        <w:rPr>
          <w:rFonts w:eastAsia="Times New Roman"/>
        </w:rPr>
      </w:pPr>
      <w:r>
        <w:rPr>
          <w:rFonts w:eastAsia="Times New Roman"/>
          <w:i/>
          <w:iCs/>
          <w:color w:val="000000"/>
          <w:sz w:val="20"/>
          <w:szCs w:val="20"/>
        </w:rPr>
        <w:t xml:space="preserve">Fiscal 2021 Compared With Fiscal 2020: </w:t>
      </w:r>
      <w:r>
        <w:rPr>
          <w:rFonts w:eastAsia="Times New Roman"/>
          <w:color w:val="000000"/>
          <w:sz w:val="20"/>
          <w:szCs w:val="20"/>
        </w:rPr>
        <w:t> The decrease in segment reven</w:t>
      </w:r>
      <w:r>
        <w:rPr>
          <w:rFonts w:eastAsia="Times New Roman"/>
          <w:color w:val="000000"/>
          <w:sz w:val="20"/>
          <w:szCs w:val="20"/>
        </w:rPr>
        <w:t>ue in fiscal 2021 compared with fiscal 2020 was primarily due to the impact of business divestitures. Segment revenue decreased 2 percent organically in fiscal 2021 compared with fiscal 2020 primarily due to $20 million of lower revenue in Commercial Aviat</w:t>
      </w:r>
      <w:r>
        <w:rPr>
          <w:rFonts w:eastAsia="Times New Roman"/>
          <w:color w:val="000000"/>
          <w:sz w:val="20"/>
          <w:szCs w:val="20"/>
        </w:rPr>
        <w:t>ion reflecting COVID-related impacts and lower revenue due to business divestitures. The funded backlog for this segment was $1.5 billion at December 31, 2021 compared with $3.0 billion at January 1, 2021, reflecting a $1.4 billion reduction from businesse</w:t>
      </w:r>
      <w:r>
        <w:rPr>
          <w:rFonts w:eastAsia="Times New Roman"/>
          <w:color w:val="000000"/>
          <w:sz w:val="20"/>
          <w:szCs w:val="20"/>
        </w:rPr>
        <w:t xml:space="preserve">s divested during fiscal 2021. </w:t>
      </w:r>
    </w:p>
    <w:p w:rsidR="00000000" w:rsidRDefault="00AE54EE">
      <w:pPr>
        <w:ind w:firstLine="450"/>
        <w:divId w:val="913005659"/>
        <w:rPr>
          <w:rFonts w:eastAsia="Times New Roman"/>
        </w:rPr>
      </w:pPr>
      <w:r>
        <w:rPr>
          <w:rFonts w:eastAsia="Times New Roman"/>
          <w:color w:val="000000"/>
          <w:sz w:val="20"/>
          <w:szCs w:val="20"/>
        </w:rPr>
        <w:t xml:space="preserve">The increases in segment operating income and operating margin percentage in fiscal 2021 compared with fiscal 2020 were primarily due to $527 million of lower non-cash charges for impairments of goodwill and other assets in </w:t>
      </w:r>
      <w:r>
        <w:rPr>
          <w:rFonts w:eastAsia="Times New Roman"/>
          <w:color w:val="000000"/>
          <w:sz w:val="20"/>
          <w:szCs w:val="20"/>
        </w:rPr>
        <w:t>fiscal 2021 compared with fiscal 2020 and the absence of $18 million of restructuring charges and other exit costs recorded in fiscal 2020 in our Commercial Aviation Solutions reporting unit due to the downturn in the commercial aviation market, as well as</w:t>
      </w:r>
      <w:r>
        <w:rPr>
          <w:rFonts w:eastAsia="Times New Roman"/>
          <w:color w:val="000000"/>
          <w:sz w:val="20"/>
          <w:szCs w:val="20"/>
        </w:rPr>
        <w:t xml:space="preserve"> e3 performance, expense management and integration benefits, partially offset by the impact of divestitures. </w:t>
      </w:r>
    </w:p>
    <w:p w:rsidR="00000000" w:rsidRDefault="00AE54EE">
      <w:pPr>
        <w:ind w:firstLine="450"/>
        <w:divId w:val="927617470"/>
        <w:rPr>
          <w:rFonts w:eastAsia="Times New Roman"/>
        </w:rPr>
      </w:pPr>
      <w:r>
        <w:rPr>
          <w:rFonts w:eastAsia="Times New Roman"/>
          <w:color w:val="000000"/>
          <w:sz w:val="20"/>
          <w:szCs w:val="20"/>
        </w:rPr>
        <w:t>The percentage of this segment’s revenue that was derived from sales to U.S. Government customers, including foreign military sales funded throug</w:t>
      </w:r>
      <w:r>
        <w:rPr>
          <w:rFonts w:eastAsia="Times New Roman"/>
          <w:color w:val="000000"/>
          <w:sz w:val="20"/>
          <w:szCs w:val="20"/>
        </w:rPr>
        <w:t>h the U.S. Government, whether directly or through prime contractors, was 74 percent in fiscal 2021.</w:t>
      </w:r>
    </w:p>
    <w:p w:rsidR="00000000" w:rsidRDefault="00AE54EE">
      <w:pPr>
        <w:ind w:firstLine="450"/>
        <w:divId w:val="2051953072"/>
        <w:rPr>
          <w:rFonts w:eastAsia="Times New Roman"/>
        </w:rPr>
      </w:pPr>
      <w:r>
        <w:rPr>
          <w:rFonts w:eastAsia="Times New Roman"/>
          <w:i/>
          <w:iCs/>
          <w:color w:val="000000"/>
          <w:sz w:val="20"/>
          <w:szCs w:val="20"/>
        </w:rPr>
        <w:t xml:space="preserve">Fiscal 2020 Compared With Four Quarters Ended January 3, 2020: </w:t>
      </w:r>
      <w:r>
        <w:rPr>
          <w:rFonts w:eastAsia="Times New Roman"/>
          <w:color w:val="000000"/>
          <w:sz w:val="20"/>
          <w:szCs w:val="20"/>
        </w:rPr>
        <w:t> The increase in segment revenue in fiscal 2020 compared with the four quarters ended Januar</w:t>
      </w:r>
      <w:r>
        <w:rPr>
          <w:rFonts w:eastAsia="Times New Roman"/>
          <w:color w:val="000000"/>
          <w:sz w:val="20"/>
          <w:szCs w:val="20"/>
        </w:rPr>
        <w:t>y 3, 2020 was primarily due to the inclusion of L3 operations in segment operating results for the two quarters ended July 3, 2020 (but not for the comparable prior-year two quarters preceding the L3Harris Merger). Because the Aviation Systems segment is p</w:t>
      </w:r>
      <w:r>
        <w:rPr>
          <w:rFonts w:eastAsia="Times New Roman"/>
          <w:color w:val="000000"/>
          <w:sz w:val="20"/>
          <w:szCs w:val="20"/>
        </w:rPr>
        <w:t>rimarily comprised of L3 businesses, comparison to the four quarters ended January 3, 2020 segment operating metrics is not meaningful. The funded backlog for this segment was $3.0 billion at January 1, 2021 compared with $3.4 billion at January 3, 2020, r</w:t>
      </w:r>
      <w:r>
        <w:rPr>
          <w:rFonts w:eastAsia="Times New Roman"/>
          <w:color w:val="000000"/>
          <w:sz w:val="20"/>
          <w:szCs w:val="20"/>
        </w:rPr>
        <w:t xml:space="preserve">eflecting a $380 million reduction from the divestiture of the airport security and automation business during the quarter ended July 3, 2020. </w:t>
      </w:r>
    </w:p>
    <w:p w:rsidR="00000000" w:rsidRDefault="00AE54EE">
      <w:pPr>
        <w:ind w:firstLine="450"/>
        <w:divId w:val="2088650186"/>
        <w:rPr>
          <w:rFonts w:eastAsia="Times New Roman"/>
        </w:rPr>
      </w:pPr>
      <w:r>
        <w:rPr>
          <w:rFonts w:eastAsia="Times New Roman"/>
          <w:color w:val="000000"/>
          <w:sz w:val="20"/>
          <w:szCs w:val="20"/>
        </w:rPr>
        <w:t>The segment operating loss in fiscal 2020 compared with segment operating income for the four quarters ended Jan</w:t>
      </w:r>
      <w:r>
        <w:rPr>
          <w:rFonts w:eastAsia="Times New Roman"/>
          <w:color w:val="000000"/>
          <w:sz w:val="20"/>
          <w:szCs w:val="20"/>
        </w:rPr>
        <w:t>uary 3, 2020 was primarily due to $635 million of non-cash charges for the impairment of goodwill and other assets, $18 million of restructuring charges and other exit costs recorded in fiscal 2020 in our Commercial Aviation Solutions reporting unit due to</w:t>
      </w:r>
      <w:r>
        <w:rPr>
          <w:rFonts w:eastAsia="Times New Roman"/>
          <w:color w:val="000000"/>
          <w:sz w:val="20"/>
          <w:szCs w:val="20"/>
        </w:rPr>
        <w:t xml:space="preserve"> the </w:t>
      </w:r>
    </w:p>
    <w:p w:rsidR="00000000" w:rsidRDefault="00AE54EE">
      <w:pPr>
        <w:ind w:firstLine="450"/>
        <w:jc w:val="center"/>
        <w:divId w:val="1819765183"/>
        <w:rPr>
          <w:rFonts w:eastAsia="Times New Roman"/>
        </w:rPr>
      </w:pPr>
      <w:r>
        <w:rPr>
          <w:rFonts w:eastAsia="Times New Roman"/>
          <w:color w:val="000000"/>
          <w:sz w:val="20"/>
          <w:szCs w:val="20"/>
        </w:rPr>
        <w:t>47</w:t>
      </w:r>
    </w:p>
    <w:p w:rsidR="00000000" w:rsidRDefault="00AE54EE">
      <w:pPr>
        <w:rPr>
          <w:rFonts w:eastAsia="Times New Roman"/>
        </w:rPr>
      </w:pPr>
      <w:r>
        <w:rPr>
          <w:rFonts w:eastAsia="Times New Roman"/>
        </w:rPr>
        <w:pict>
          <v:rect id="_x0000_i1075" style="width:0;height:1.5pt" o:hralign="center" o:hrstd="t" o:hr="t" fillcolor="#a0a0a0" stroked="f"/>
        </w:pict>
      </w:r>
    </w:p>
    <w:p w:rsidR="00000000" w:rsidRDefault="00AE54EE">
      <w:pPr>
        <w:ind w:firstLine="450"/>
        <w:divId w:val="1628850925"/>
        <w:rPr>
          <w:rFonts w:eastAsia="Times New Roman"/>
        </w:rPr>
      </w:pPr>
    </w:p>
    <w:p w:rsidR="00000000" w:rsidRDefault="00AE54EE">
      <w:pPr>
        <w:divId w:val="1835758399"/>
        <w:rPr>
          <w:rFonts w:eastAsia="Times New Roman"/>
        </w:rPr>
      </w:pPr>
      <w:r>
        <w:rPr>
          <w:rFonts w:eastAsia="Times New Roman"/>
          <w:color w:val="000000"/>
          <w:sz w:val="20"/>
          <w:szCs w:val="20"/>
        </w:rPr>
        <w:t>downturn in the commercial aviation market, as well as the divestiture of the airport security and automation business, partially offset by the inclusion of L3 operations in segment operating results for the two quarte</w:t>
      </w:r>
      <w:r>
        <w:rPr>
          <w:rFonts w:eastAsia="Times New Roman"/>
          <w:color w:val="000000"/>
          <w:sz w:val="20"/>
          <w:szCs w:val="20"/>
        </w:rPr>
        <w:t xml:space="preserve">rs ended July 3, 2020 (but not for the comparable prior-year two quarters preceding the L3Harris Merger), principally Defense Aviation operations. </w:t>
      </w:r>
    </w:p>
    <w:p w:rsidR="00000000" w:rsidRDefault="00AE54EE">
      <w:pPr>
        <w:ind w:firstLine="450"/>
        <w:divId w:val="1753550526"/>
        <w:rPr>
          <w:rFonts w:eastAsia="Times New Roman"/>
        </w:rPr>
      </w:pPr>
      <w:r>
        <w:rPr>
          <w:rFonts w:eastAsia="Times New Roman"/>
          <w:color w:val="000000"/>
          <w:sz w:val="20"/>
          <w:szCs w:val="20"/>
        </w:rPr>
        <w:t>The percentage of this segment’</w:t>
      </w:r>
      <w:r>
        <w:rPr>
          <w:rFonts w:eastAsia="Times New Roman"/>
          <w:color w:val="000000"/>
          <w:sz w:val="20"/>
          <w:szCs w:val="20"/>
        </w:rPr>
        <w:t>s revenue that was derived from sales to U.S. Government customers, including foreign military sales funded through the U.S. Government, whether directly or through prime contractors, was 71 percent in fiscal 2020.</w:t>
      </w:r>
    </w:p>
    <w:p w:rsidR="00000000" w:rsidRDefault="00AE54EE">
      <w:pPr>
        <w:divId w:val="208952653"/>
        <w:rPr>
          <w:rFonts w:eastAsia="Times New Roman"/>
        </w:rPr>
      </w:pPr>
      <w:r>
        <w:rPr>
          <w:rFonts w:eastAsia="Times New Roman"/>
          <w:b/>
          <w:bCs/>
          <w:color w:val="000000"/>
          <w:sz w:val="20"/>
          <w:szCs w:val="20"/>
        </w:rPr>
        <w:t>Pro Forma</w:t>
      </w:r>
    </w:p>
    <w:p w:rsidR="00000000" w:rsidRDefault="00AE54EE">
      <w:pPr>
        <w:ind w:firstLine="450"/>
        <w:divId w:val="2023119179"/>
        <w:rPr>
          <w:rFonts w:eastAsia="Times New Roman"/>
        </w:rPr>
      </w:pPr>
      <w:r>
        <w:rPr>
          <w:rFonts w:eastAsia="Times New Roman"/>
          <w:i/>
          <w:iCs/>
          <w:color w:val="000000"/>
          <w:sz w:val="20"/>
          <w:szCs w:val="20"/>
        </w:rPr>
        <w:t xml:space="preserve">Fiscal 2020 Compared With Four </w:t>
      </w:r>
      <w:r>
        <w:rPr>
          <w:rFonts w:eastAsia="Times New Roman"/>
          <w:i/>
          <w:iCs/>
          <w:color w:val="000000"/>
          <w:sz w:val="20"/>
          <w:szCs w:val="20"/>
        </w:rPr>
        <w:t xml:space="preserve">Quarters Ended January 3, 2020: </w:t>
      </w:r>
      <w:r>
        <w:rPr>
          <w:rFonts w:eastAsia="Times New Roman"/>
          <w:color w:val="000000"/>
          <w:sz w:val="20"/>
          <w:szCs w:val="20"/>
        </w:rPr>
        <w:t> The decrease in segment revenue in fiscal 2020 compared with the four quarters ended January 3, 2020 was primarily due to $681 million of lower commercial aviation sales, including a $364 million impact from the airport sec</w:t>
      </w:r>
      <w:r>
        <w:rPr>
          <w:rFonts w:eastAsia="Times New Roman"/>
          <w:color w:val="000000"/>
          <w:sz w:val="20"/>
          <w:szCs w:val="20"/>
        </w:rPr>
        <w:t>urity and automation business divestiture and lower revenue from the downturn in the commercial aviation market and its impact on customer operations, partially offset by $189 million of higher revenue in Defense Aviation, from a ramp on classified program</w:t>
      </w:r>
      <w:r>
        <w:rPr>
          <w:rFonts w:eastAsia="Times New Roman"/>
          <w:color w:val="000000"/>
          <w:sz w:val="20"/>
          <w:szCs w:val="20"/>
        </w:rPr>
        <w:t>s and combat propulsion systems, and higher FAA volume in Mission Networks.</w:t>
      </w:r>
    </w:p>
    <w:p w:rsidR="00000000" w:rsidRDefault="00AE54EE">
      <w:pPr>
        <w:ind w:firstLine="450"/>
        <w:divId w:val="713700603"/>
        <w:rPr>
          <w:rFonts w:eastAsia="Times New Roman"/>
        </w:rPr>
      </w:pPr>
      <w:r>
        <w:rPr>
          <w:rFonts w:eastAsia="Times New Roman"/>
          <w:color w:val="000000"/>
          <w:sz w:val="20"/>
          <w:szCs w:val="20"/>
        </w:rPr>
        <w:t>The segment operating loss in fiscal 2020 compared with segment operating income for the four quarters ended January 3, 2020 was primarily due to $635 million of non-cash charges f</w:t>
      </w:r>
      <w:r>
        <w:rPr>
          <w:rFonts w:eastAsia="Times New Roman"/>
          <w:color w:val="000000"/>
          <w:sz w:val="20"/>
          <w:szCs w:val="20"/>
        </w:rPr>
        <w:t>or impairment of goodwill and other assets, $18 million of restructuring charges and other exit costs recorded in fiscal 2020 in our Commercial Aviation Solutions reporting unit due to the downturn in the commercial aviation market and its impact on custom</w:t>
      </w:r>
      <w:r>
        <w:rPr>
          <w:rFonts w:eastAsia="Times New Roman"/>
          <w:color w:val="000000"/>
          <w:sz w:val="20"/>
          <w:szCs w:val="20"/>
        </w:rPr>
        <w:t>er operations, as well as a $39 million impact from the divestiture of the airport security and automation business, partially offset by operational efficiencies, integration benefits and cost management in fiscal 2020.</w:t>
      </w:r>
    </w:p>
    <w:p w:rsidR="00000000" w:rsidRDefault="00AE54EE">
      <w:pPr>
        <w:divId w:val="657149577"/>
        <w:rPr>
          <w:rFonts w:eastAsia="Times New Roman"/>
        </w:rPr>
      </w:pPr>
      <w:r>
        <w:rPr>
          <w:rFonts w:eastAsia="Times New Roman"/>
          <w:b/>
          <w:bCs/>
          <w:color w:val="000000"/>
          <w:sz w:val="20"/>
          <w:szCs w:val="20"/>
        </w:rPr>
        <w:t>Additional Information on Known Tren</w:t>
      </w:r>
      <w:r>
        <w:rPr>
          <w:rFonts w:eastAsia="Times New Roman"/>
          <w:b/>
          <w:bCs/>
          <w:color w:val="000000"/>
          <w:sz w:val="20"/>
          <w:szCs w:val="20"/>
        </w:rPr>
        <w:t>ds and Uncertainties</w:t>
      </w:r>
    </w:p>
    <w:p w:rsidR="00000000" w:rsidRDefault="00AE54EE">
      <w:pPr>
        <w:ind w:firstLine="450"/>
        <w:divId w:val="55471251"/>
        <w:rPr>
          <w:rFonts w:eastAsia="Times New Roman"/>
        </w:rPr>
      </w:pPr>
      <w:r>
        <w:rPr>
          <w:rFonts w:eastAsia="Times New Roman"/>
          <w:color w:val="000000"/>
          <w:sz w:val="20"/>
          <w:szCs w:val="20"/>
        </w:rPr>
        <w:t xml:space="preserve">Effective January 1, 2022, we have streamlined our business segments from four business segments to three business segments. As a result of the segment reorganization, the Aviation Systems segment was eliminated as a business segment. </w:t>
      </w:r>
      <w:r>
        <w:rPr>
          <w:rFonts w:eastAsia="Times New Roman"/>
          <w:color w:val="000000"/>
          <w:sz w:val="20"/>
          <w:szCs w:val="20"/>
        </w:rPr>
        <w:t xml:space="preserve">Our new business segment structure reflects that the ongoing operations that had been part of the Aviation Systems segment were integrated into the remaining segments. Defense aviation, commercial aviation products and commercial pilot training operations </w:t>
      </w:r>
      <w:r>
        <w:rPr>
          <w:rFonts w:eastAsia="Times New Roman"/>
          <w:color w:val="000000"/>
          <w:sz w:val="20"/>
          <w:szCs w:val="20"/>
        </w:rPr>
        <w:t>were moved into the Integrated Mission Solutions segment; and mission networks for air traffic management operations was</w:t>
      </w:r>
      <w:r>
        <w:rPr>
          <w:rFonts w:eastAsia="Times New Roman"/>
          <w:color w:val="000000"/>
        </w:rPr>
        <w:t xml:space="preserve"> </w:t>
      </w:r>
      <w:r>
        <w:rPr>
          <w:rFonts w:eastAsia="Times New Roman"/>
          <w:color w:val="000000"/>
          <w:sz w:val="20"/>
          <w:szCs w:val="20"/>
        </w:rPr>
        <w:t>moved into the Space &amp; Airborne Systems segment.</w:t>
      </w:r>
    </w:p>
    <w:p w:rsidR="00000000" w:rsidRDefault="00AE54EE">
      <w:pPr>
        <w:ind w:firstLine="450"/>
        <w:divId w:val="1638101824"/>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27: Subsequent Events </w:t>
      </w:r>
      <w:r>
        <w:rPr>
          <w:rFonts w:eastAsia="Times New Roman"/>
          <w:color w:val="000000"/>
          <w:sz w:val="20"/>
          <w:szCs w:val="20"/>
        </w:rPr>
        <w:t>in the Notes for further information.</w:t>
      </w:r>
    </w:p>
    <w:p w:rsidR="00000000" w:rsidRDefault="00AE54EE">
      <w:pPr>
        <w:divId w:val="14812868"/>
        <w:rPr>
          <w:rFonts w:eastAsia="Times New Roman"/>
        </w:rPr>
      </w:pPr>
      <w:r>
        <w:rPr>
          <w:rFonts w:eastAsia="Times New Roman"/>
          <w:b/>
          <w:bCs/>
          <w:color w:val="000000"/>
          <w:sz w:val="20"/>
          <w:szCs w:val="20"/>
        </w:rPr>
        <w:t>Unallocated Corpo</w:t>
      </w:r>
      <w:r>
        <w:rPr>
          <w:rFonts w:eastAsia="Times New Roman"/>
          <w:b/>
          <w:bCs/>
          <w:color w:val="000000"/>
          <w:sz w:val="20"/>
          <w:szCs w:val="20"/>
        </w:rPr>
        <w:t>rate Expenses</w:t>
      </w:r>
    </w:p>
    <w:tbl>
      <w:tblPr>
        <w:tblW w:w="5000" w:type="pct"/>
        <w:tblCellMar>
          <w:top w:w="15" w:type="dxa"/>
          <w:left w:w="15" w:type="dxa"/>
          <w:bottom w:w="15" w:type="dxa"/>
          <w:right w:w="15" w:type="dxa"/>
        </w:tblCellMar>
        <w:tblLook w:val="04A0" w:firstRow="1" w:lastRow="0" w:firstColumn="1" w:lastColumn="0" w:noHBand="0" w:noVBand="1"/>
      </w:tblPr>
      <w:tblGrid>
        <w:gridCol w:w="39"/>
        <w:gridCol w:w="1506"/>
        <w:gridCol w:w="38"/>
        <w:gridCol w:w="121"/>
        <w:gridCol w:w="657"/>
        <w:gridCol w:w="36"/>
        <w:gridCol w:w="36"/>
        <w:gridCol w:w="36"/>
        <w:gridCol w:w="36"/>
        <w:gridCol w:w="121"/>
        <w:gridCol w:w="545"/>
        <w:gridCol w:w="36"/>
        <w:gridCol w:w="36"/>
        <w:gridCol w:w="36"/>
        <w:gridCol w:w="36"/>
        <w:gridCol w:w="89"/>
        <w:gridCol w:w="574"/>
        <w:gridCol w:w="254"/>
        <w:gridCol w:w="36"/>
        <w:gridCol w:w="36"/>
        <w:gridCol w:w="36"/>
        <w:gridCol w:w="122"/>
        <w:gridCol w:w="776"/>
        <w:gridCol w:w="36"/>
        <w:gridCol w:w="36"/>
        <w:gridCol w:w="36"/>
        <w:gridCol w:w="36"/>
        <w:gridCol w:w="120"/>
        <w:gridCol w:w="540"/>
        <w:gridCol w:w="254"/>
        <w:gridCol w:w="36"/>
        <w:gridCol w:w="36"/>
        <w:gridCol w:w="36"/>
        <w:gridCol w:w="121"/>
        <w:gridCol w:w="540"/>
        <w:gridCol w:w="36"/>
        <w:gridCol w:w="36"/>
        <w:gridCol w:w="36"/>
        <w:gridCol w:w="36"/>
        <w:gridCol w:w="89"/>
        <w:gridCol w:w="574"/>
        <w:gridCol w:w="254"/>
        <w:gridCol w:w="36"/>
        <w:gridCol w:w="36"/>
        <w:gridCol w:w="36"/>
        <w:gridCol w:w="36"/>
        <w:gridCol w:w="36"/>
      </w:tblGrid>
      <w:tr w:rsidR="00000000">
        <w:trPr>
          <w:divId w:val="685719713"/>
        </w:trPr>
        <w:tc>
          <w:tcPr>
            <w:tcW w:w="50" w:type="pct"/>
            <w:vAlign w:val="center"/>
            <w:hideMark/>
          </w:tcPr>
          <w:p w:rsidR="00000000" w:rsidRDefault="00AE54EE">
            <w:pPr>
              <w:rPr>
                <w:rFonts w:eastAsia="Times New Roman"/>
              </w:rPr>
            </w:pPr>
          </w:p>
        </w:tc>
        <w:tc>
          <w:tcPr>
            <w:tcW w:w="16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6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Four Quarters Ended</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r>
            <w:r>
              <w:rPr>
                <w:rFonts w:eastAsia="Times New Roman"/>
                <w:b/>
                <w:bCs/>
                <w:color w:val="000000"/>
                <w:sz w:val="16"/>
                <w:szCs w:val="16"/>
              </w:rPr>
              <w:t>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shd w:val="clear" w:color="auto" w:fill="CCEEFF"/>
            <w:tcMar>
              <w:top w:w="30" w:type="dxa"/>
              <w:left w:w="290" w:type="dxa"/>
              <w:bottom w:w="30" w:type="dxa"/>
              <w:right w:w="20" w:type="dxa"/>
            </w:tcMar>
            <w:hideMark/>
          </w:tcPr>
          <w:p w:rsidR="00000000" w:rsidRDefault="00AE54EE">
            <w:pPr>
              <w:spacing w:after="100"/>
              <w:ind w:hanging="270"/>
              <w:rPr>
                <w:rFonts w:eastAsia="Times New Roman"/>
              </w:rPr>
            </w:pPr>
            <w:r>
              <w:rPr>
                <w:rFonts w:eastAsia="Times New Roman"/>
                <w:color w:val="000000"/>
                <w:sz w:val="20"/>
                <w:szCs w:val="20"/>
              </w:rPr>
              <w:t>Unallocated corporate department expense, net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shd w:val="clear" w:color="auto" w:fill="FFFFFF"/>
            <w:tcMar>
              <w:top w:w="30" w:type="dxa"/>
              <w:left w:w="290" w:type="dxa"/>
              <w:bottom w:w="30" w:type="dxa"/>
              <w:right w:w="20" w:type="dxa"/>
            </w:tcMar>
            <w:hideMark/>
          </w:tcPr>
          <w:p w:rsidR="00000000" w:rsidRDefault="00AE54EE">
            <w:pPr>
              <w:spacing w:after="100"/>
              <w:ind w:hanging="270"/>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(394)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shd w:val="clear" w:color="auto" w:fill="CCEEFF"/>
            <w:tcMar>
              <w:top w:w="30" w:type="dxa"/>
              <w:left w:w="290" w:type="dxa"/>
              <w:bottom w:w="30" w:type="dxa"/>
              <w:right w:w="20" w:type="dxa"/>
            </w:tcMar>
            <w:hideMark/>
          </w:tcPr>
          <w:p w:rsidR="00000000" w:rsidRDefault="00AE54EE">
            <w:pPr>
              <w:spacing w:after="100"/>
              <w:ind w:hanging="270"/>
              <w:rPr>
                <w:rFonts w:eastAsia="Times New Roman"/>
              </w:rPr>
            </w:pPr>
            <w:r>
              <w:rPr>
                <w:rFonts w:eastAsia="Times New Roman"/>
                <w:color w:val="000000"/>
                <w:sz w:val="20"/>
                <w:szCs w:val="20"/>
              </w:rPr>
              <w:t>Amortization of acquisition-related intangibles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shd w:val="clear" w:color="auto" w:fill="FFFFFF"/>
            <w:tcMar>
              <w:top w:w="30" w:type="dxa"/>
              <w:left w:w="20" w:type="dxa"/>
              <w:bottom w:w="30" w:type="dxa"/>
              <w:right w:w="20" w:type="dxa"/>
            </w:tcMar>
            <w:hideMark/>
          </w:tcPr>
          <w:p w:rsidR="00000000" w:rsidRDefault="00AE54EE">
            <w:pPr>
              <w:spacing w:after="100"/>
              <w:ind w:hanging="270"/>
              <w:divId w:val="655452209"/>
              <w:rPr>
                <w:rFonts w:eastAsia="Times New Roman"/>
              </w:rPr>
            </w:pPr>
            <w:r>
              <w:rPr>
                <w:rFonts w:eastAsia="Times New Roman"/>
                <w:color w:val="000000"/>
                <w:sz w:val="20"/>
                <w:szCs w:val="20"/>
              </w:rPr>
              <w:t xml:space="preserve">Additional cost of sales related to fair value </w:t>
            </w:r>
          </w:p>
          <w:p w:rsidR="00000000" w:rsidRDefault="00AE54EE">
            <w:pPr>
              <w:spacing w:after="100"/>
              <w:ind w:hanging="450"/>
              <w:divId w:val="985478592"/>
              <w:rPr>
                <w:rFonts w:eastAsia="Times New Roman"/>
              </w:rPr>
            </w:pPr>
            <w:r>
              <w:rPr>
                <w:rFonts w:eastAsia="Times New Roman"/>
                <w:color w:val="000000"/>
                <w:sz w:val="20"/>
                <w:szCs w:val="20"/>
              </w:rPr>
              <w:t>step-up in inventory sold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items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8571971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divId w:val="685719713"/>
        <w:rPr>
          <w:rFonts w:eastAsia="Times New Roman"/>
        </w:rPr>
      </w:pPr>
      <w:r>
        <w:rPr>
          <w:rFonts w:eastAsia="Times New Roman"/>
          <w:color w:val="000000"/>
          <w:sz w:val="16"/>
          <w:szCs w:val="16"/>
        </w:rPr>
        <w:t>______________</w:t>
      </w:r>
    </w:p>
    <w:p w:rsidR="00000000" w:rsidRDefault="00AE54EE">
      <w:pPr>
        <w:ind w:hanging="360"/>
        <w:divId w:val="2108960160"/>
        <w:rPr>
          <w:rFonts w:eastAsia="Times New Roman"/>
        </w:rPr>
      </w:pPr>
      <w:r>
        <w:rPr>
          <w:rFonts w:eastAsia="Times New Roman"/>
          <w:color w:val="000000"/>
          <w:sz w:val="16"/>
          <w:szCs w:val="16"/>
        </w:rPr>
        <w:t>*Not meaningful</w:t>
      </w:r>
    </w:p>
    <w:p w:rsidR="00000000" w:rsidRDefault="00AE54EE">
      <w:pPr>
        <w:ind w:firstLine="450"/>
        <w:jc w:val="center"/>
        <w:divId w:val="1602957481"/>
        <w:rPr>
          <w:rFonts w:eastAsia="Times New Roman"/>
        </w:rPr>
      </w:pPr>
      <w:r>
        <w:rPr>
          <w:rFonts w:eastAsia="Times New Roman"/>
          <w:color w:val="000000"/>
          <w:sz w:val="20"/>
          <w:szCs w:val="20"/>
        </w:rPr>
        <w:t>48</w:t>
      </w:r>
    </w:p>
    <w:p w:rsidR="00000000" w:rsidRDefault="00AE54EE">
      <w:pPr>
        <w:rPr>
          <w:rFonts w:eastAsia="Times New Roman"/>
        </w:rPr>
      </w:pPr>
      <w:r>
        <w:rPr>
          <w:rFonts w:eastAsia="Times New Roman"/>
        </w:rPr>
        <w:pict>
          <v:rect id="_x0000_i1076" style="width:0;height:1.5pt" o:hralign="center" o:hrstd="t" o:hr="t" fillcolor="#a0a0a0" stroked="f"/>
        </w:pict>
      </w:r>
    </w:p>
    <w:p w:rsidR="00000000" w:rsidRDefault="00AE54EE">
      <w:pPr>
        <w:ind w:firstLine="450"/>
        <w:divId w:val="1108811737"/>
        <w:rPr>
          <w:rFonts w:eastAsia="Times New Roman"/>
        </w:rPr>
      </w:pPr>
    </w:p>
    <w:p w:rsidR="00000000" w:rsidRDefault="00AE54EE">
      <w:pPr>
        <w:divId w:val="133454563"/>
        <w:rPr>
          <w:rFonts w:eastAsia="Times New Roman"/>
        </w:rPr>
      </w:pPr>
      <w:r>
        <w:rPr>
          <w:rFonts w:eastAsia="Times New Roman"/>
          <w:b/>
          <w:bCs/>
          <w:color w:val="000000"/>
          <w:sz w:val="20"/>
          <w:szCs w:val="20"/>
        </w:rPr>
        <w:t>LIQUIDITY, CAPITAL RESOURCES AND FINANCIAL STRATEGIES</w:t>
      </w:r>
    </w:p>
    <w:p w:rsidR="00000000" w:rsidRDefault="00AE54EE">
      <w:pPr>
        <w:divId w:val="1223758466"/>
        <w:rPr>
          <w:rFonts w:eastAsia="Times New Roman"/>
        </w:rPr>
      </w:pPr>
      <w:r>
        <w:rPr>
          <w:rFonts w:eastAsia="Times New Roman"/>
          <w:b/>
          <w:bCs/>
          <w:color w:val="000000"/>
          <w:sz w:val="20"/>
          <w:szCs w:val="20"/>
        </w:rPr>
        <w:t>Cash Flows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2947"/>
        <w:gridCol w:w="40"/>
        <w:gridCol w:w="121"/>
        <w:gridCol w:w="963"/>
        <w:gridCol w:w="36"/>
        <w:gridCol w:w="36"/>
        <w:gridCol w:w="36"/>
        <w:gridCol w:w="36"/>
        <w:gridCol w:w="121"/>
        <w:gridCol w:w="742"/>
        <w:gridCol w:w="37"/>
        <w:gridCol w:w="36"/>
        <w:gridCol w:w="36"/>
        <w:gridCol w:w="36"/>
        <w:gridCol w:w="122"/>
        <w:gridCol w:w="784"/>
        <w:gridCol w:w="37"/>
        <w:gridCol w:w="36"/>
        <w:gridCol w:w="36"/>
        <w:gridCol w:w="36"/>
        <w:gridCol w:w="121"/>
        <w:gridCol w:w="754"/>
        <w:gridCol w:w="36"/>
        <w:gridCol w:w="36"/>
        <w:gridCol w:w="36"/>
        <w:gridCol w:w="36"/>
        <w:gridCol w:w="36"/>
        <w:gridCol w:w="36"/>
        <w:gridCol w:w="121"/>
        <w:gridCol w:w="742"/>
        <w:gridCol w:w="37"/>
      </w:tblGrid>
      <w:tr w:rsidR="00000000">
        <w:trPr>
          <w:divId w:val="1559515513"/>
        </w:trPr>
        <w:tc>
          <w:tcPr>
            <w:tcW w:w="50" w:type="pct"/>
            <w:vAlign w:val="center"/>
            <w:hideMark/>
          </w:tcPr>
          <w:p w:rsidR="00000000" w:rsidRDefault="00AE54EE">
            <w:pPr>
              <w:rPr>
                <w:rFonts w:eastAsia="Times New Roman"/>
              </w:rPr>
            </w:pPr>
          </w:p>
        </w:tc>
        <w:tc>
          <w:tcPr>
            <w:tcW w:w="183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55951551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Four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559515513"/>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55951551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As Reported</w:t>
            </w:r>
          </w:p>
        </w:tc>
      </w:tr>
      <w:tr w:rsidR="00000000">
        <w:trPr>
          <w:divId w:val="1559515513"/>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5951551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cash provided by operating activities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2,687 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2,790 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1,655 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1,185 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59515513"/>
        </w:trPr>
        <w:tc>
          <w:tcPr>
            <w:tcW w:w="0" w:type="auto"/>
            <w:gridSpan w:val="3"/>
            <w:shd w:val="clear" w:color="auto" w:fill="FFFFFF"/>
            <w:tcMar>
              <w:top w:w="30" w:type="dxa"/>
              <w:left w:w="290" w:type="dxa"/>
              <w:bottom w:w="30" w:type="dxa"/>
              <w:right w:w="20" w:type="dxa"/>
            </w:tcMar>
            <w:hideMark/>
          </w:tcPr>
          <w:p w:rsidR="00000000" w:rsidRDefault="00AE54EE">
            <w:pPr>
              <w:spacing w:after="100"/>
              <w:ind w:hanging="270"/>
              <w:rPr>
                <w:rFonts w:eastAsia="Times New Roman"/>
              </w:rPr>
            </w:pPr>
            <w:r>
              <w:rPr>
                <w:rFonts w:eastAsia="Times New Roman"/>
                <w:color w:val="000000"/>
                <w:sz w:val="20"/>
                <w:szCs w:val="20"/>
              </w:rPr>
              <w:t>Net cash provided by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1,394 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1,228 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5951551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cash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(4,413)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(2,410)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(1,971)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59515513"/>
        </w:trPr>
        <w:tc>
          <w:tcPr>
            <w:tcW w:w="0" w:type="auto"/>
            <w:gridSpan w:val="3"/>
            <w:shd w:val="clear" w:color="auto" w:fill="FFFFFF"/>
            <w:tcMar>
              <w:top w:w="30" w:type="dxa"/>
              <w:left w:w="20" w:type="dxa"/>
              <w:bottom w:w="30" w:type="dxa"/>
              <w:right w:w="20" w:type="dxa"/>
            </w:tcMar>
            <w:hideMark/>
          </w:tcPr>
          <w:p w:rsidR="00000000" w:rsidRDefault="00AE54EE">
            <w:pPr>
              <w:spacing w:after="100"/>
              <w:ind w:hanging="270"/>
              <w:divId w:val="172958587"/>
              <w:rPr>
                <w:rFonts w:eastAsia="Times New Roman"/>
              </w:rPr>
            </w:pPr>
            <w:r>
              <w:rPr>
                <w:rFonts w:eastAsia="Times New Roman"/>
                <w:color w:val="00000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59515513"/>
        </w:trPr>
        <w:tc>
          <w:tcPr>
            <w:tcW w:w="0" w:type="auto"/>
            <w:gridSpan w:val="3"/>
            <w:shd w:val="clear" w:color="auto" w:fill="CCEEFF"/>
            <w:tcMar>
              <w:top w:w="30" w:type="dxa"/>
              <w:left w:w="290" w:type="dxa"/>
              <w:bottom w:w="30" w:type="dxa"/>
              <w:right w:w="20" w:type="dxa"/>
            </w:tcMar>
            <w:hideMark/>
          </w:tcPr>
          <w:p w:rsidR="00000000" w:rsidRDefault="00AE54EE">
            <w:pPr>
              <w:spacing w:after="100"/>
              <w:ind w:hanging="270"/>
              <w:rPr>
                <w:rFonts w:eastAsia="Times New Roman"/>
              </w:rPr>
            </w:pPr>
            <w:r>
              <w:rPr>
                <w:rFonts w:eastAsia="Times New Roman"/>
                <w:color w:val="000000"/>
                <w:sz w:val="20"/>
                <w:szCs w:val="20"/>
              </w:rPr>
              <w:t>Net (decrease)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59515513"/>
        </w:trPr>
        <w:tc>
          <w:tcPr>
            <w:tcW w:w="0" w:type="auto"/>
            <w:gridSpan w:val="3"/>
            <w:shd w:val="clear" w:color="auto" w:fill="FFFFFF"/>
            <w:tcMar>
              <w:top w:w="30" w:type="dxa"/>
              <w:left w:w="290" w:type="dxa"/>
              <w:bottom w:w="30" w:type="dxa"/>
              <w:right w:w="20" w:type="dxa"/>
            </w:tcMar>
            <w:hideMark/>
          </w:tcPr>
          <w:p w:rsidR="00000000" w:rsidRDefault="00AE54EE">
            <w:pPr>
              <w:spacing w:after="100"/>
              <w:ind w:hanging="270"/>
              <w:rPr>
                <w:rFonts w:eastAsia="Times New Roman"/>
              </w:rPr>
            </w:pPr>
            <w:r>
              <w:rPr>
                <w:rFonts w:eastAsia="Times New Roman"/>
                <w:color w:val="000000"/>
                <w:sz w:val="20"/>
                <w:szCs w:val="20"/>
              </w:rPr>
              <w:t>Cash and cash equivalents, beginning of period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5951551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Cash and cash equivalents,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886987217"/>
        <w:rPr>
          <w:rFonts w:eastAsia="Times New Roman"/>
        </w:rPr>
      </w:pPr>
      <w:r>
        <w:rPr>
          <w:rFonts w:eastAsia="Times New Roman"/>
          <w:b/>
          <w:bCs/>
          <w:i/>
          <w:iCs/>
          <w:color w:val="000000"/>
          <w:sz w:val="20"/>
          <w:szCs w:val="20"/>
        </w:rPr>
        <w:t>Cash and cash equivalents</w:t>
      </w:r>
      <w:r>
        <w:rPr>
          <w:rFonts w:eastAsia="Times New Roman"/>
          <w:color w:val="000000"/>
          <w:sz w:val="20"/>
          <w:szCs w:val="20"/>
        </w:rPr>
        <w:t xml:space="preserve"> </w:t>
      </w:r>
    </w:p>
    <w:p w:rsidR="00000000" w:rsidRDefault="00AE54EE">
      <w:pPr>
        <w:ind w:firstLine="450"/>
        <w:divId w:val="1010840675"/>
        <w:rPr>
          <w:rFonts w:eastAsia="Times New Roman"/>
        </w:rPr>
      </w:pPr>
      <w:r>
        <w:rPr>
          <w:rFonts w:eastAsia="Times New Roman"/>
          <w:color w:val="000000"/>
          <w:sz w:val="20"/>
          <w:szCs w:val="20"/>
        </w:rPr>
        <w:t xml:space="preserve">The $335 million net decrease in cash and cash equivalents in fiscal 2021 was </w:t>
      </w:r>
      <w:r>
        <w:rPr>
          <w:rFonts w:eastAsia="Times New Roman"/>
          <w:color w:val="000000"/>
          <w:sz w:val="20"/>
          <w:szCs w:val="20"/>
        </w:rPr>
        <w:t>primarily due to:</w:t>
      </w:r>
    </w:p>
    <w:p w:rsidR="00000000" w:rsidRDefault="00AE54EE">
      <w:pPr>
        <w:ind w:hanging="360"/>
        <w:divId w:val="1258096115"/>
        <w:rPr>
          <w:rFonts w:eastAsia="Times New Roman"/>
        </w:rPr>
      </w:pPr>
      <w:r>
        <w:rPr>
          <w:rFonts w:eastAsia="Times New Roman"/>
          <w:color w:val="000000"/>
          <w:sz w:val="20"/>
          <w:szCs w:val="20"/>
        </w:rPr>
        <w:t>•$2,687 million of net cash provided by operating activities;</w:t>
      </w:r>
    </w:p>
    <w:p w:rsidR="00000000" w:rsidRDefault="00AE54EE">
      <w:pPr>
        <w:ind w:hanging="360"/>
        <w:divId w:val="1350911633"/>
        <w:rPr>
          <w:rFonts w:eastAsia="Times New Roman"/>
        </w:rPr>
      </w:pPr>
      <w:r>
        <w:rPr>
          <w:rFonts w:eastAsia="Times New Roman"/>
          <w:color w:val="000000"/>
          <w:sz w:val="20"/>
          <w:szCs w:val="20"/>
        </w:rPr>
        <w:t xml:space="preserve">•$1,729 million of net proceeds from sale of businesses; </w:t>
      </w:r>
    </w:p>
    <w:p w:rsidR="00000000" w:rsidRDefault="00AE54EE">
      <w:pPr>
        <w:ind w:hanging="360"/>
        <w:divId w:val="1061826463"/>
        <w:rPr>
          <w:rFonts w:eastAsia="Times New Roman"/>
        </w:rPr>
      </w:pPr>
      <w:r>
        <w:rPr>
          <w:rFonts w:eastAsia="Times New Roman"/>
          <w:color w:val="000000"/>
          <w:sz w:val="20"/>
          <w:szCs w:val="20"/>
        </w:rPr>
        <w:t>•</w:t>
      </w:r>
      <w:r>
        <w:rPr>
          <w:rFonts w:eastAsia="Times New Roman"/>
          <w:color w:val="000000"/>
          <w:sz w:val="20"/>
          <w:szCs w:val="20"/>
        </w:rPr>
        <w:t>$97 million of proceeds from exercises of employee stock options; and</w:t>
      </w:r>
    </w:p>
    <w:p w:rsidR="00000000" w:rsidRDefault="00AE54EE">
      <w:pPr>
        <w:ind w:hanging="360"/>
        <w:divId w:val="1948001581"/>
        <w:rPr>
          <w:rFonts w:eastAsia="Times New Roman"/>
        </w:rPr>
      </w:pPr>
      <w:r>
        <w:rPr>
          <w:rFonts w:eastAsia="Times New Roman"/>
          <w:color w:val="000000"/>
          <w:sz w:val="20"/>
          <w:szCs w:val="20"/>
        </w:rPr>
        <w:t>•$6 million of net proceeds from borrowings; more than offset by</w:t>
      </w:r>
    </w:p>
    <w:p w:rsidR="00000000" w:rsidRDefault="00AE54EE">
      <w:pPr>
        <w:ind w:hanging="360"/>
        <w:divId w:val="808670005"/>
        <w:rPr>
          <w:rFonts w:eastAsia="Times New Roman"/>
        </w:rPr>
      </w:pPr>
      <w:r>
        <w:rPr>
          <w:rFonts w:eastAsia="Times New Roman"/>
          <w:color w:val="000000"/>
          <w:sz w:val="20"/>
          <w:szCs w:val="20"/>
        </w:rPr>
        <w:t>•$3,675 million used to repurchase shares of our common stock;</w:t>
      </w:r>
    </w:p>
    <w:p w:rsidR="00000000" w:rsidRDefault="00AE54EE">
      <w:pPr>
        <w:ind w:hanging="360"/>
        <w:divId w:val="1028335382"/>
        <w:rPr>
          <w:rFonts w:eastAsia="Times New Roman"/>
        </w:rPr>
      </w:pPr>
      <w:r>
        <w:rPr>
          <w:rFonts w:eastAsia="Times New Roman"/>
          <w:color w:val="000000"/>
          <w:sz w:val="20"/>
          <w:szCs w:val="20"/>
        </w:rPr>
        <w:t xml:space="preserve">•$817 million used to pay cash dividends; </w:t>
      </w:r>
    </w:p>
    <w:p w:rsidR="00000000" w:rsidRDefault="00AE54EE">
      <w:pPr>
        <w:ind w:hanging="360"/>
        <w:divId w:val="490996467"/>
        <w:rPr>
          <w:rFonts w:eastAsia="Times New Roman"/>
        </w:rPr>
      </w:pPr>
      <w:r>
        <w:rPr>
          <w:rFonts w:eastAsia="Times New Roman"/>
          <w:color w:val="000000"/>
          <w:sz w:val="20"/>
          <w:szCs w:val="20"/>
        </w:rPr>
        <w:t>•$342 million u</w:t>
      </w:r>
      <w:r>
        <w:rPr>
          <w:rFonts w:eastAsia="Times New Roman"/>
          <w:color w:val="000000"/>
          <w:sz w:val="20"/>
          <w:szCs w:val="20"/>
        </w:rPr>
        <w:t>sed for additions of property, plant and equipment; and</w:t>
      </w:r>
    </w:p>
    <w:p w:rsidR="00000000" w:rsidRDefault="00AE54EE">
      <w:pPr>
        <w:ind w:hanging="360"/>
        <w:divId w:val="579826378"/>
        <w:rPr>
          <w:rFonts w:eastAsia="Times New Roman"/>
        </w:rPr>
      </w:pPr>
      <w:r>
        <w:rPr>
          <w:rFonts w:eastAsia="Times New Roman"/>
          <w:color w:val="000000"/>
          <w:sz w:val="20"/>
          <w:szCs w:val="20"/>
        </w:rPr>
        <w:t>•$13 million used for repayment of borrowings.</w:t>
      </w:r>
    </w:p>
    <w:p w:rsidR="00000000" w:rsidRDefault="00AE54EE">
      <w:pPr>
        <w:ind w:firstLine="450"/>
        <w:divId w:val="1318263726"/>
        <w:rPr>
          <w:rFonts w:eastAsia="Times New Roman"/>
        </w:rPr>
      </w:pPr>
      <w:r>
        <w:rPr>
          <w:rFonts w:eastAsia="Times New Roman"/>
          <w:color w:val="000000"/>
          <w:sz w:val="20"/>
          <w:szCs w:val="20"/>
        </w:rPr>
        <w:t>The $452 million net increase in cash and cash equivalents in fiscal 2020 was primarily due to:</w:t>
      </w:r>
    </w:p>
    <w:p w:rsidR="00000000" w:rsidRDefault="00AE54EE">
      <w:pPr>
        <w:ind w:hanging="360"/>
        <w:divId w:val="17439453"/>
        <w:rPr>
          <w:rFonts w:eastAsia="Times New Roman"/>
        </w:rPr>
      </w:pPr>
      <w:r>
        <w:rPr>
          <w:rFonts w:eastAsia="Times New Roman"/>
          <w:color w:val="000000"/>
          <w:sz w:val="20"/>
          <w:szCs w:val="20"/>
        </w:rPr>
        <w:t>•$2,790 million of net cash provided by operating activit</w:t>
      </w:r>
      <w:r>
        <w:rPr>
          <w:rFonts w:eastAsia="Times New Roman"/>
          <w:color w:val="000000"/>
          <w:sz w:val="20"/>
          <w:szCs w:val="20"/>
        </w:rPr>
        <w:t>ies;</w:t>
      </w:r>
    </w:p>
    <w:p w:rsidR="00000000" w:rsidRDefault="00AE54EE">
      <w:pPr>
        <w:ind w:hanging="360"/>
        <w:divId w:val="802701352"/>
        <w:rPr>
          <w:rFonts w:eastAsia="Times New Roman"/>
        </w:rPr>
      </w:pPr>
      <w:r>
        <w:rPr>
          <w:rFonts w:eastAsia="Times New Roman"/>
          <w:color w:val="000000"/>
          <w:sz w:val="20"/>
          <w:szCs w:val="20"/>
        </w:rPr>
        <w:t>•$1,040 million of net proceeds from sale of businesses;</w:t>
      </w:r>
    </w:p>
    <w:p w:rsidR="00000000" w:rsidRDefault="00AE54EE">
      <w:pPr>
        <w:ind w:hanging="360"/>
        <w:divId w:val="1767383367"/>
        <w:rPr>
          <w:rFonts w:eastAsia="Times New Roman"/>
        </w:rPr>
      </w:pPr>
      <w:r>
        <w:rPr>
          <w:rFonts w:eastAsia="Times New Roman"/>
          <w:color w:val="000000"/>
          <w:sz w:val="20"/>
          <w:szCs w:val="20"/>
        </w:rPr>
        <w:t xml:space="preserve">•$901 million of net proceeds from borrowings, including $650 million in proceeds from the issuance of our 1.80% notes due January 15, 2031 and $250 million in proceeds from the issuance of our </w:t>
      </w:r>
      <w:r>
        <w:rPr>
          <w:rFonts w:eastAsia="Times New Roman"/>
          <w:color w:val="000000"/>
          <w:sz w:val="20"/>
          <w:szCs w:val="20"/>
        </w:rPr>
        <w:t>Floating Rate Notes due March 10, 2023;</w:t>
      </w:r>
    </w:p>
    <w:p w:rsidR="00000000" w:rsidRDefault="00AE54EE">
      <w:pPr>
        <w:ind w:hanging="360"/>
        <w:divId w:val="806431010"/>
        <w:rPr>
          <w:rFonts w:eastAsia="Times New Roman"/>
        </w:rPr>
      </w:pPr>
      <w:r>
        <w:rPr>
          <w:rFonts w:eastAsia="Times New Roman"/>
          <w:color w:val="000000"/>
          <w:sz w:val="20"/>
          <w:szCs w:val="20"/>
        </w:rPr>
        <w:t>•$91 million of net proceeds from sale of property, plant and equipment; and</w:t>
      </w:r>
    </w:p>
    <w:p w:rsidR="00000000" w:rsidRDefault="00AE54EE">
      <w:pPr>
        <w:ind w:hanging="360"/>
        <w:divId w:val="366372447"/>
        <w:rPr>
          <w:rFonts w:eastAsia="Times New Roman"/>
        </w:rPr>
      </w:pPr>
      <w:r>
        <w:rPr>
          <w:rFonts w:eastAsia="Times New Roman"/>
          <w:color w:val="000000"/>
          <w:sz w:val="20"/>
          <w:szCs w:val="20"/>
        </w:rPr>
        <w:t>•$56 million of proceeds from exercises of employee stock options; partially offset by</w:t>
      </w:r>
    </w:p>
    <w:p w:rsidR="00000000" w:rsidRDefault="00AE54EE">
      <w:pPr>
        <w:ind w:hanging="360"/>
        <w:divId w:val="2016612018"/>
        <w:rPr>
          <w:rFonts w:eastAsia="Times New Roman"/>
        </w:rPr>
      </w:pPr>
      <w:r>
        <w:rPr>
          <w:rFonts w:eastAsia="Times New Roman"/>
          <w:color w:val="000000"/>
          <w:sz w:val="20"/>
          <w:szCs w:val="20"/>
        </w:rPr>
        <w:t>•</w:t>
      </w:r>
      <w:r>
        <w:rPr>
          <w:rFonts w:eastAsia="Times New Roman"/>
          <w:color w:val="000000"/>
          <w:sz w:val="20"/>
          <w:szCs w:val="20"/>
        </w:rPr>
        <w:t xml:space="preserve">$2,290 million used to repurchase shares of our common stock; </w:t>
      </w:r>
    </w:p>
    <w:p w:rsidR="00000000" w:rsidRDefault="00AE54EE">
      <w:pPr>
        <w:ind w:hanging="360"/>
        <w:divId w:val="1031372475"/>
        <w:rPr>
          <w:rFonts w:eastAsia="Times New Roman"/>
        </w:rPr>
      </w:pPr>
      <w:r>
        <w:rPr>
          <w:rFonts w:eastAsia="Times New Roman"/>
          <w:color w:val="000000"/>
          <w:sz w:val="20"/>
          <w:szCs w:val="20"/>
        </w:rPr>
        <w:t>•$931 million used for repayment of borrowings, including $650 million used for our optional redemption of our 4.95% Notes due February 15, 2021 and $250 million used for repayment of our Float</w:t>
      </w:r>
      <w:r>
        <w:rPr>
          <w:rFonts w:eastAsia="Times New Roman"/>
          <w:color w:val="000000"/>
          <w:sz w:val="20"/>
          <w:szCs w:val="20"/>
        </w:rPr>
        <w:t>ing Rate Notes due April 30, 2020;</w:t>
      </w:r>
    </w:p>
    <w:p w:rsidR="00000000" w:rsidRDefault="00AE54EE">
      <w:pPr>
        <w:ind w:hanging="360"/>
        <w:divId w:val="1963222704"/>
        <w:rPr>
          <w:rFonts w:eastAsia="Times New Roman"/>
        </w:rPr>
      </w:pPr>
      <w:r>
        <w:rPr>
          <w:rFonts w:eastAsia="Times New Roman"/>
          <w:color w:val="000000"/>
          <w:sz w:val="20"/>
          <w:szCs w:val="20"/>
        </w:rPr>
        <w:t>•$725 million used to pay cash dividends;</w:t>
      </w:r>
    </w:p>
    <w:p w:rsidR="00000000" w:rsidRDefault="00AE54EE">
      <w:pPr>
        <w:ind w:hanging="360"/>
        <w:divId w:val="70470017"/>
        <w:rPr>
          <w:rFonts w:eastAsia="Times New Roman"/>
        </w:rPr>
      </w:pPr>
      <w:r>
        <w:rPr>
          <w:rFonts w:eastAsia="Times New Roman"/>
          <w:color w:val="000000"/>
          <w:sz w:val="20"/>
          <w:szCs w:val="20"/>
        </w:rPr>
        <w:t>•$368 million used for additions of property, plant and equipment; and</w:t>
      </w:r>
    </w:p>
    <w:p w:rsidR="00000000" w:rsidRDefault="00AE54EE">
      <w:pPr>
        <w:ind w:hanging="360"/>
        <w:divId w:val="1927110527"/>
        <w:rPr>
          <w:rFonts w:eastAsia="Times New Roman"/>
        </w:rPr>
      </w:pPr>
      <w:r>
        <w:rPr>
          <w:rFonts w:eastAsia="Times New Roman"/>
          <w:color w:val="000000"/>
          <w:sz w:val="20"/>
          <w:szCs w:val="20"/>
        </w:rPr>
        <w:t>•$113 million used for payments of interest rate derivative obligations.</w:t>
      </w:r>
    </w:p>
    <w:p w:rsidR="00000000" w:rsidRDefault="00AE54EE">
      <w:pPr>
        <w:ind w:firstLine="450"/>
        <w:divId w:val="675233235"/>
        <w:rPr>
          <w:rFonts w:eastAsia="Times New Roman"/>
        </w:rPr>
      </w:pPr>
      <w:r>
        <w:rPr>
          <w:rFonts w:eastAsia="Times New Roman"/>
          <w:color w:val="000000"/>
          <w:sz w:val="20"/>
          <w:szCs w:val="20"/>
        </w:rPr>
        <w:t xml:space="preserve">We ended fiscal 2021 with cash and </w:t>
      </w:r>
      <w:r>
        <w:rPr>
          <w:rFonts w:eastAsia="Times New Roman"/>
          <w:color w:val="000000"/>
          <w:sz w:val="20"/>
          <w:szCs w:val="20"/>
        </w:rPr>
        <w:t xml:space="preserve">cash equivalents of $941 million, and we have a senior unsecured $2 billion revolving credit facility that expires in June 2024 (all of which was available to us as of December 31, 2021). Additionally, we had $7.1 billion of net long-term debt outstanding </w:t>
      </w:r>
      <w:r>
        <w:rPr>
          <w:rFonts w:eastAsia="Times New Roman"/>
          <w:color w:val="000000"/>
          <w:sz w:val="20"/>
          <w:szCs w:val="20"/>
        </w:rPr>
        <w:t xml:space="preserve">at December 31, 2021, the majority of which we incurred in connection with the L3Harris Merger in the Fiscal Transition Period and the acquisition of Exelis in the fourth quarter of fiscal 2015. For further information regarding our long-term debt, see </w:t>
      </w:r>
      <w:r>
        <w:rPr>
          <w:rFonts w:eastAsia="Times New Roman"/>
          <w:i/>
          <w:iCs/>
          <w:color w:val="000000"/>
          <w:sz w:val="20"/>
          <w:szCs w:val="20"/>
        </w:rPr>
        <w:t>Not</w:t>
      </w:r>
      <w:r>
        <w:rPr>
          <w:rFonts w:eastAsia="Times New Roman"/>
          <w:i/>
          <w:iCs/>
          <w:color w:val="000000"/>
          <w:sz w:val="20"/>
          <w:szCs w:val="20"/>
        </w:rPr>
        <w:t xml:space="preserve">e 13: Debt </w:t>
      </w:r>
      <w:r>
        <w:rPr>
          <w:rFonts w:eastAsia="Times New Roman"/>
          <w:color w:val="000000"/>
          <w:sz w:val="20"/>
          <w:szCs w:val="20"/>
        </w:rPr>
        <w:t>in the Notes. Our $941 million of cash and cash equivalents at December 31, 2021 included $200 million held by our foreign subsidiaries, a significant portion of which we believe can be repatriated to the U.S. with minimal tax cost.</w:t>
      </w:r>
    </w:p>
    <w:p w:rsidR="00000000" w:rsidRDefault="00AE54EE">
      <w:pPr>
        <w:ind w:firstLine="450"/>
        <w:divId w:val="1417021604"/>
        <w:rPr>
          <w:rFonts w:eastAsia="Times New Roman"/>
        </w:rPr>
      </w:pPr>
      <w:r>
        <w:rPr>
          <w:rFonts w:eastAsia="Times New Roman"/>
          <w:color w:val="000000"/>
          <w:sz w:val="20"/>
          <w:szCs w:val="20"/>
        </w:rPr>
        <w:t>Given our cu</w:t>
      </w:r>
      <w:r>
        <w:rPr>
          <w:rFonts w:eastAsia="Times New Roman"/>
          <w:color w:val="000000"/>
          <w:sz w:val="20"/>
          <w:szCs w:val="20"/>
        </w:rPr>
        <w:t>rrent cash position, outlook for funds generated from operations, credit ratings, available credit facility, cash needs and debt structure, we have not experienced to date, and do not expect to experience, any material issues with liquidity, although, we c</w:t>
      </w:r>
      <w:r>
        <w:rPr>
          <w:rFonts w:eastAsia="Times New Roman"/>
          <w:color w:val="000000"/>
          <w:sz w:val="20"/>
          <w:szCs w:val="20"/>
        </w:rPr>
        <w:t>an give no assurances concerning our future liquidity, particularly in light of our overall level of debt, U.S. Government budget uncertainties and the state of global commerce and general political and financial uncertainty. We cannot predict the on-going</w:t>
      </w:r>
      <w:r>
        <w:rPr>
          <w:rFonts w:eastAsia="Times New Roman"/>
          <w:color w:val="000000"/>
          <w:sz w:val="20"/>
          <w:szCs w:val="20"/>
        </w:rPr>
        <w:t xml:space="preserve"> impact that COVID, among other potential risks and uncertainties, will have on our cash from operating </w:t>
      </w:r>
    </w:p>
    <w:p w:rsidR="00000000" w:rsidRDefault="00AE54EE">
      <w:pPr>
        <w:ind w:firstLine="450"/>
        <w:jc w:val="center"/>
        <w:divId w:val="2012171396"/>
        <w:rPr>
          <w:rFonts w:eastAsia="Times New Roman"/>
        </w:rPr>
      </w:pPr>
      <w:r>
        <w:rPr>
          <w:rFonts w:eastAsia="Times New Roman"/>
          <w:color w:val="000000"/>
          <w:sz w:val="20"/>
          <w:szCs w:val="20"/>
        </w:rPr>
        <w:t>49</w:t>
      </w:r>
    </w:p>
    <w:p w:rsidR="00000000" w:rsidRDefault="00AE54EE">
      <w:pPr>
        <w:rPr>
          <w:rFonts w:eastAsia="Times New Roman"/>
        </w:rPr>
      </w:pPr>
      <w:r>
        <w:rPr>
          <w:rFonts w:eastAsia="Times New Roman"/>
        </w:rPr>
        <w:pict>
          <v:rect id="_x0000_i1077" style="width:0;height:1.5pt" o:hralign="center" o:hrstd="t" o:hr="t" fillcolor="#a0a0a0" stroked="f"/>
        </w:pict>
      </w:r>
    </w:p>
    <w:p w:rsidR="00000000" w:rsidRDefault="00AE54EE">
      <w:pPr>
        <w:ind w:firstLine="450"/>
        <w:divId w:val="524170842"/>
        <w:rPr>
          <w:rFonts w:eastAsia="Times New Roman"/>
        </w:rPr>
      </w:pPr>
    </w:p>
    <w:p w:rsidR="00000000" w:rsidRDefault="00AE54EE">
      <w:pPr>
        <w:divId w:val="412703929"/>
        <w:rPr>
          <w:rFonts w:eastAsia="Times New Roman"/>
        </w:rPr>
      </w:pPr>
      <w:r>
        <w:rPr>
          <w:rFonts w:eastAsia="Times New Roman"/>
          <w:color w:val="000000"/>
          <w:sz w:val="20"/>
          <w:szCs w:val="20"/>
        </w:rPr>
        <w:t>activities. Additionally, the provisions in the Tax Cuts and Jobs Act of 2017 require that, beginning in 2022,</w:t>
      </w:r>
      <w:r>
        <w:rPr>
          <w:rFonts w:eastAsia="Times New Roman"/>
          <w:color w:val="000000"/>
          <w:sz w:val="20"/>
          <w:szCs w:val="20"/>
        </w:rPr>
        <w:t xml:space="preserve"> research and experimental expenditures be capitalized and amortized over five years, which we estimate will have an approximately $600 million to $700 million impact to cash from operating activities in fiscal 2022 based on the provisions currently in eff</w:t>
      </w:r>
      <w:r>
        <w:rPr>
          <w:rFonts w:eastAsia="Times New Roman"/>
          <w:color w:val="000000"/>
          <w:sz w:val="20"/>
          <w:szCs w:val="20"/>
        </w:rPr>
        <w:t>ect. See Part I, “Item 1A. Risk Factors” in this Report.</w:t>
      </w:r>
    </w:p>
    <w:p w:rsidR="00000000" w:rsidRDefault="00AE54EE">
      <w:pPr>
        <w:ind w:firstLine="450"/>
        <w:divId w:val="1368602814"/>
        <w:rPr>
          <w:rFonts w:eastAsia="Times New Roman"/>
        </w:rPr>
      </w:pPr>
      <w:r>
        <w:rPr>
          <w:rFonts w:eastAsia="Times New Roman"/>
          <w:color w:val="000000"/>
          <w:sz w:val="20"/>
          <w:szCs w:val="20"/>
        </w:rPr>
        <w:t xml:space="preserve">Based on our current business plan and revenue prospects, we believe that our existing cash, funds generated from operations, our credit facility and access to the public and private debt and equity </w:t>
      </w:r>
      <w:r>
        <w:rPr>
          <w:rFonts w:eastAsia="Times New Roman"/>
          <w:color w:val="000000"/>
          <w:sz w:val="20"/>
          <w:szCs w:val="20"/>
        </w:rPr>
        <w:t>markets will be sufficient to provide for our anticipated working capital requirements, capital expenditures, dividend payments, repurchases under our share repurchase program and repayments of our debt securities at maturity for the next twelve months and</w:t>
      </w:r>
      <w:r>
        <w:rPr>
          <w:rFonts w:eastAsia="Times New Roman"/>
          <w:color w:val="000000"/>
          <w:sz w:val="20"/>
          <w:szCs w:val="20"/>
        </w:rPr>
        <w:t xml:space="preserve"> reasonably foreseeable future thereafter. Our total capital expenditures for fiscal 2022 are expected to be approximately $330 million. We anticipate tax payments for fiscal 2022 to be approximately equal to or marginally less than our tax expense for the</w:t>
      </w:r>
      <w:r>
        <w:rPr>
          <w:rFonts w:eastAsia="Times New Roman"/>
          <w:color w:val="000000"/>
          <w:sz w:val="20"/>
          <w:szCs w:val="20"/>
        </w:rPr>
        <w:t xml:space="preserve"> same period, absent R&amp;D capitalization and subject to adjustment for timing differences. For additional information regarding our income taxes, see </w:t>
      </w:r>
      <w:r>
        <w:rPr>
          <w:rFonts w:eastAsia="Times New Roman"/>
          <w:i/>
          <w:iCs/>
          <w:color w:val="000000"/>
          <w:sz w:val="20"/>
          <w:szCs w:val="20"/>
        </w:rPr>
        <w:t>Note 22: Income Taxes</w:t>
      </w:r>
      <w:r>
        <w:rPr>
          <w:rFonts w:eastAsia="Times New Roman"/>
          <w:color w:val="000000"/>
          <w:sz w:val="20"/>
          <w:szCs w:val="20"/>
        </w:rPr>
        <w:t xml:space="preserve"> in the Notes. Other than those cash outlays noted in the “Material Cash Requirements”</w:t>
      </w:r>
      <w:r>
        <w:rPr>
          <w:rFonts w:eastAsia="Times New Roman"/>
          <w:color w:val="000000"/>
          <w:sz w:val="20"/>
          <w:szCs w:val="20"/>
        </w:rPr>
        <w:t xml:space="preserve"> discussion below in this MD&amp;A, capital expenditures, dividend payments and repurchases under our share repurchase program and L3Harris Merger-related integration costs, we do not anticipate any significant cash outlays in fiscal 2022. </w:t>
      </w:r>
    </w:p>
    <w:p w:rsidR="00000000" w:rsidRDefault="00AE54EE">
      <w:pPr>
        <w:ind w:firstLine="450"/>
        <w:divId w:val="2082099066"/>
        <w:rPr>
          <w:rFonts w:eastAsia="Times New Roman"/>
        </w:rPr>
      </w:pPr>
      <w:r>
        <w:rPr>
          <w:rFonts w:eastAsia="Times New Roman"/>
          <w:color w:val="000000"/>
          <w:sz w:val="20"/>
          <w:szCs w:val="20"/>
        </w:rPr>
        <w:t>There can be no ass</w:t>
      </w:r>
      <w:r>
        <w:rPr>
          <w:rFonts w:eastAsia="Times New Roman"/>
          <w:color w:val="000000"/>
          <w:sz w:val="20"/>
          <w:szCs w:val="20"/>
        </w:rPr>
        <w:t>urance that our business will continue to generate cash flows at current levels or that the cost or availability of future borrowings, if any, under our commercial paper program, or our credit facility or in the debt markets will not be impacted by any pot</w:t>
      </w:r>
      <w:r>
        <w:rPr>
          <w:rFonts w:eastAsia="Times New Roman"/>
          <w:color w:val="000000"/>
          <w:sz w:val="20"/>
          <w:szCs w:val="20"/>
        </w:rPr>
        <w:t>ential future credit or capital markets disruptions. If we are unable to maintain cash balances, generate cash flow from operations or borrow under our commercial paper program or our credit facility sufficient to service our obligations, we may be require</w:t>
      </w:r>
      <w:r>
        <w:rPr>
          <w:rFonts w:eastAsia="Times New Roman"/>
          <w:color w:val="000000"/>
          <w:sz w:val="20"/>
          <w:szCs w:val="20"/>
        </w:rPr>
        <w:t>d to reduce capital expenditures, reduce or eliminate strategic acquisitions, reduce or terminate our share repurchases, reduce or eliminate dividends, refinance all or a portion of our existing debt, obtain additional financing, or sell assets. Our abilit</w:t>
      </w:r>
      <w:r>
        <w:rPr>
          <w:rFonts w:eastAsia="Times New Roman"/>
          <w:color w:val="000000"/>
          <w:sz w:val="20"/>
          <w:szCs w:val="20"/>
        </w:rPr>
        <w:t>y to make principal payments or pay interest on or refinance our indebtedness depends on our future performance and financial results, which, to a certain extent, are subject to general conditions affecting the defense, government and other markets we serv</w:t>
      </w:r>
      <w:r>
        <w:rPr>
          <w:rFonts w:eastAsia="Times New Roman"/>
          <w:color w:val="000000"/>
          <w:sz w:val="20"/>
          <w:szCs w:val="20"/>
        </w:rPr>
        <w:t>e and to general economic, political, financial, competitive, legislative and regulatory factors beyond our control.</w:t>
      </w:r>
    </w:p>
    <w:p w:rsidR="00000000" w:rsidRDefault="00AE54EE">
      <w:pPr>
        <w:ind w:firstLine="450"/>
        <w:divId w:val="755328710"/>
        <w:rPr>
          <w:rFonts w:eastAsia="Times New Roman"/>
        </w:rPr>
      </w:pPr>
      <w:r>
        <w:rPr>
          <w:rFonts w:eastAsia="Times New Roman"/>
          <w:b/>
          <w:bCs/>
          <w:i/>
          <w:iCs/>
          <w:color w:val="000000"/>
          <w:sz w:val="20"/>
          <w:szCs w:val="20"/>
        </w:rPr>
        <w:t>Net cash provided by operating activities:</w:t>
      </w:r>
      <w:r>
        <w:rPr>
          <w:rFonts w:eastAsia="Times New Roman"/>
          <w:color w:val="000000"/>
          <w:sz w:val="20"/>
          <w:szCs w:val="20"/>
        </w:rPr>
        <w:t> </w:t>
      </w:r>
      <w:r>
        <w:rPr>
          <w:rFonts w:eastAsia="Times New Roman"/>
          <w:color w:val="000000"/>
          <w:sz w:val="20"/>
          <w:szCs w:val="20"/>
        </w:rPr>
        <w:t>The $103 million decrease in net cash provided by operating activities in fiscal 2021 compared with fiscal 2020 was primarily due to higher net income of $756 million offset by the impact of a $523 million decrease in non-cash impairments of goodwill and o</w:t>
      </w:r>
      <w:r>
        <w:rPr>
          <w:rFonts w:eastAsia="Times New Roman"/>
          <w:color w:val="000000"/>
          <w:sz w:val="20"/>
          <w:szCs w:val="20"/>
        </w:rPr>
        <w:t>ther assets, a $271 million increase in gains related to business divestitures, a $65 million decrease in depreciation and amortization and a $56 million decrease in cash used to fund working capital (i.e., accounts receivable, contract assets, inventories</w:t>
      </w:r>
      <w:r>
        <w:rPr>
          <w:rFonts w:eastAsia="Times New Roman"/>
          <w:color w:val="000000"/>
          <w:sz w:val="20"/>
          <w:szCs w:val="20"/>
        </w:rPr>
        <w:t>, accounts payable and contract liabilities).</w:t>
      </w:r>
    </w:p>
    <w:p w:rsidR="00000000" w:rsidRDefault="00AE54EE">
      <w:pPr>
        <w:ind w:firstLine="450"/>
        <w:divId w:val="1748502696"/>
        <w:rPr>
          <w:rFonts w:eastAsia="Times New Roman"/>
        </w:rPr>
      </w:pPr>
      <w:r>
        <w:rPr>
          <w:rFonts w:eastAsia="Times New Roman"/>
          <w:color w:val="000000"/>
          <w:sz w:val="20"/>
          <w:szCs w:val="20"/>
        </w:rPr>
        <w:t>The $1,135 million increase in net cash provided by operating activities in fiscal 2020 compared with the four quarters ended January 3, 2020 was primarily due to the impact of higher income (excluding the impa</w:t>
      </w:r>
      <w:r>
        <w:rPr>
          <w:rFonts w:eastAsia="Times New Roman"/>
          <w:color w:val="000000"/>
          <w:sz w:val="20"/>
          <w:szCs w:val="20"/>
        </w:rPr>
        <w:t>cts of a $721 million increase in non-cash impairments of goodwill and other assets and $461 million increase in depreciation and amortization in fiscal 2020), reflecting the inclusion of cash flows from L3 operations following the L3Harris Merger, as well</w:t>
      </w:r>
      <w:r>
        <w:rPr>
          <w:rFonts w:eastAsia="Times New Roman"/>
          <w:color w:val="000000"/>
          <w:sz w:val="20"/>
          <w:szCs w:val="20"/>
        </w:rPr>
        <w:t xml:space="preserve"> as a $302 million voluntary contribution to our U.S. qualified pension plans and $278 million of cash used for L3Harris Merger transaction costs, including change in control charges, in the four quarters ended January 3, 2020, partially offset by a $306 m</w:t>
      </w:r>
      <w:r>
        <w:rPr>
          <w:rFonts w:eastAsia="Times New Roman"/>
          <w:color w:val="000000"/>
          <w:sz w:val="20"/>
          <w:szCs w:val="20"/>
        </w:rPr>
        <w:t>illion increase in cash used to fund working capital in fiscal 2020.</w:t>
      </w:r>
    </w:p>
    <w:p w:rsidR="00000000" w:rsidRDefault="00AE54EE">
      <w:pPr>
        <w:ind w:firstLine="450"/>
        <w:divId w:val="420445126"/>
        <w:rPr>
          <w:rFonts w:eastAsia="Times New Roman"/>
        </w:rPr>
      </w:pPr>
      <w:r>
        <w:rPr>
          <w:rFonts w:eastAsia="Times New Roman"/>
          <w:color w:val="000000"/>
          <w:sz w:val="20"/>
          <w:szCs w:val="20"/>
        </w:rPr>
        <w:t>Cash flow from operations was positive in all of our business segments in fiscal 2021, fiscal 2020, the two quarters ended January 3, 2020 and fiscal 2019.</w:t>
      </w:r>
    </w:p>
    <w:p w:rsidR="00000000" w:rsidRDefault="00AE54EE">
      <w:pPr>
        <w:ind w:firstLine="450"/>
        <w:divId w:val="2028940108"/>
        <w:rPr>
          <w:rFonts w:eastAsia="Times New Roman"/>
        </w:rPr>
      </w:pPr>
      <w:r>
        <w:rPr>
          <w:rFonts w:eastAsia="Times New Roman"/>
          <w:b/>
          <w:bCs/>
          <w:i/>
          <w:iCs/>
          <w:color w:val="000000"/>
          <w:sz w:val="20"/>
          <w:szCs w:val="20"/>
        </w:rPr>
        <w:t xml:space="preserve">Net cash provided by investing </w:t>
      </w:r>
      <w:r>
        <w:rPr>
          <w:rFonts w:eastAsia="Times New Roman"/>
          <w:b/>
          <w:bCs/>
          <w:i/>
          <w:iCs/>
          <w:color w:val="000000"/>
          <w:sz w:val="20"/>
          <w:szCs w:val="20"/>
        </w:rPr>
        <w:t>activities:</w:t>
      </w:r>
      <w:r>
        <w:rPr>
          <w:rFonts w:eastAsia="Times New Roman"/>
          <w:color w:val="000000"/>
          <w:sz w:val="20"/>
          <w:szCs w:val="20"/>
        </w:rPr>
        <w:t> The $643 million increase in net cash provided by investing activities in fiscal 2021 compared with fiscal 2020 was primarily due to an increase of $689 million in net proceeds from the sales of businesses, partially offset by a $58 million dec</w:t>
      </w:r>
      <w:r>
        <w:rPr>
          <w:rFonts w:eastAsia="Times New Roman"/>
          <w:color w:val="000000"/>
          <w:sz w:val="20"/>
          <w:szCs w:val="20"/>
        </w:rPr>
        <w:t>rease of net cash used for additions of property, plant and equipment in fiscal 2021.</w:t>
      </w:r>
    </w:p>
    <w:p w:rsidR="00000000" w:rsidRDefault="00AE54EE">
      <w:pPr>
        <w:ind w:firstLine="450"/>
        <w:divId w:val="328408935"/>
        <w:rPr>
          <w:rFonts w:eastAsia="Times New Roman"/>
        </w:rPr>
      </w:pPr>
      <w:r>
        <w:rPr>
          <w:rFonts w:eastAsia="Times New Roman"/>
          <w:color w:val="000000"/>
          <w:sz w:val="20"/>
          <w:szCs w:val="20"/>
        </w:rPr>
        <w:t>The $477 million decrease in net cash provided by investing activities in fiscal 2020 compared with the four quarters ended January 3, 2020 was primarily due to $1,130 mi</w:t>
      </w:r>
      <w:r>
        <w:rPr>
          <w:rFonts w:eastAsia="Times New Roman"/>
          <w:color w:val="000000"/>
          <w:sz w:val="20"/>
          <w:szCs w:val="20"/>
        </w:rPr>
        <w:t xml:space="preserve">llion of net cash received from the L3Harris Merger in the four quarters ended January 3, 2020 and $101 million increase in cash used for additions of property, plant and equipment, partially offset by a $697 million increase in net proceeds from sales of </w:t>
      </w:r>
      <w:r>
        <w:rPr>
          <w:rFonts w:eastAsia="Times New Roman"/>
          <w:color w:val="000000"/>
          <w:sz w:val="20"/>
          <w:szCs w:val="20"/>
        </w:rPr>
        <w:t>businesses and $91 million of proceeds from sale of property, plant and equipment in fiscal 2020.</w:t>
      </w:r>
    </w:p>
    <w:p w:rsidR="00000000" w:rsidRDefault="00AE54EE">
      <w:pPr>
        <w:ind w:firstLine="450"/>
        <w:divId w:val="1232304781"/>
        <w:rPr>
          <w:rFonts w:eastAsia="Times New Roman"/>
        </w:rPr>
      </w:pPr>
      <w:r>
        <w:rPr>
          <w:rFonts w:eastAsia="Times New Roman"/>
          <w:b/>
          <w:bCs/>
          <w:i/>
          <w:iCs/>
          <w:color w:val="000000"/>
          <w:sz w:val="20"/>
          <w:szCs w:val="20"/>
        </w:rPr>
        <w:t>Net cash used in financing activities:</w:t>
      </w:r>
      <w:r>
        <w:rPr>
          <w:rFonts w:eastAsia="Times New Roman"/>
          <w:color w:val="000000"/>
          <w:sz w:val="20"/>
          <w:szCs w:val="20"/>
        </w:rPr>
        <w:t> The $1,301 million increase in net cash used in financing activities in fiscal 2021 compared with fiscal 2020 was prima</w:t>
      </w:r>
      <w:r>
        <w:rPr>
          <w:rFonts w:eastAsia="Times New Roman"/>
          <w:color w:val="000000"/>
          <w:sz w:val="20"/>
          <w:szCs w:val="20"/>
        </w:rPr>
        <w:t>rily due to a $1,385 million increase in cash used to repurchase our common stock, a $895 million decrease in net proceeds from borrowings and a $92 million increase in cash used to pay dividends, partially offset by a $918 million decrease in cash used fo</w:t>
      </w:r>
      <w:r>
        <w:rPr>
          <w:rFonts w:eastAsia="Times New Roman"/>
          <w:color w:val="000000"/>
          <w:sz w:val="20"/>
          <w:szCs w:val="20"/>
        </w:rPr>
        <w:t xml:space="preserve">r repayments of borrowings, a $113 million increase in cash used to pay interest rate derivatives obligations and a $41 million increase in proceeds from exercises of employee stock options. </w:t>
      </w:r>
    </w:p>
    <w:p w:rsidR="00000000" w:rsidRDefault="00AE54EE">
      <w:pPr>
        <w:ind w:firstLine="450"/>
        <w:divId w:val="741290743"/>
        <w:rPr>
          <w:rFonts w:eastAsia="Times New Roman"/>
        </w:rPr>
      </w:pPr>
      <w:r>
        <w:rPr>
          <w:rFonts w:eastAsia="Times New Roman"/>
          <w:color w:val="000000"/>
          <w:sz w:val="20"/>
          <w:szCs w:val="20"/>
        </w:rPr>
        <w:t>The $702 million increase in net cash used in financing activiti</w:t>
      </w:r>
      <w:r>
        <w:rPr>
          <w:rFonts w:eastAsia="Times New Roman"/>
          <w:color w:val="000000"/>
          <w:sz w:val="20"/>
          <w:szCs w:val="20"/>
        </w:rPr>
        <w:t>es in fiscal 2020 compared with the four quarters ended January 3, 2020 was primarily due to a $790 million increase in cash used to repurchase our common stock, a $226 million increase in cash used to pay dividends, a $121 million increase in cash used fo</w:t>
      </w:r>
      <w:r>
        <w:rPr>
          <w:rFonts w:eastAsia="Times New Roman"/>
          <w:color w:val="000000"/>
          <w:sz w:val="20"/>
          <w:szCs w:val="20"/>
        </w:rPr>
        <w:t xml:space="preserve">r repayments of borrowings, a $85 million decrease in proceeds from exercises of employee stock options and $81 million of payments of interest rate derivatives obligations, </w:t>
      </w:r>
    </w:p>
    <w:p w:rsidR="00000000" w:rsidRDefault="00AE54EE">
      <w:pPr>
        <w:ind w:firstLine="450"/>
        <w:jc w:val="center"/>
        <w:divId w:val="1323585176"/>
        <w:rPr>
          <w:rFonts w:eastAsia="Times New Roman"/>
        </w:rPr>
      </w:pPr>
      <w:r>
        <w:rPr>
          <w:rFonts w:eastAsia="Times New Roman"/>
          <w:color w:val="000000"/>
          <w:sz w:val="20"/>
          <w:szCs w:val="20"/>
        </w:rPr>
        <w:t>50</w:t>
      </w:r>
    </w:p>
    <w:p w:rsidR="00000000" w:rsidRDefault="00AE54EE">
      <w:pPr>
        <w:rPr>
          <w:rFonts w:eastAsia="Times New Roman"/>
        </w:rPr>
      </w:pPr>
      <w:r>
        <w:rPr>
          <w:rFonts w:eastAsia="Times New Roman"/>
        </w:rPr>
        <w:pict>
          <v:rect id="_x0000_i1078" style="width:0;height:1.5pt" o:hralign="center" o:hrstd="t" o:hr="t" fillcolor="#a0a0a0" stroked="f"/>
        </w:pict>
      </w:r>
    </w:p>
    <w:p w:rsidR="00000000" w:rsidRDefault="00AE54EE">
      <w:pPr>
        <w:ind w:firstLine="450"/>
        <w:divId w:val="215554743"/>
        <w:rPr>
          <w:rFonts w:eastAsia="Times New Roman"/>
        </w:rPr>
      </w:pPr>
    </w:p>
    <w:p w:rsidR="00000000" w:rsidRDefault="00AE54EE">
      <w:pPr>
        <w:divId w:val="827356619"/>
        <w:rPr>
          <w:rFonts w:eastAsia="Times New Roman"/>
        </w:rPr>
      </w:pPr>
      <w:r>
        <w:rPr>
          <w:rFonts w:eastAsia="Times New Roman"/>
          <w:color w:val="000000"/>
          <w:sz w:val="20"/>
          <w:szCs w:val="20"/>
        </w:rPr>
        <w:t>partially offset by a $504 million incre</w:t>
      </w:r>
      <w:r>
        <w:rPr>
          <w:rFonts w:eastAsia="Times New Roman"/>
          <w:color w:val="000000"/>
          <w:sz w:val="20"/>
          <w:szCs w:val="20"/>
        </w:rPr>
        <w:t>ase in net proceeds from borrowings and a $87 million decrease in cash used for tax withholding payments associated with vested share-based awards in fiscal 2020.</w:t>
      </w:r>
    </w:p>
    <w:p w:rsidR="00000000" w:rsidRDefault="00AE54EE">
      <w:pPr>
        <w:divId w:val="521482582"/>
        <w:rPr>
          <w:rFonts w:eastAsia="Times New Roman"/>
        </w:rPr>
      </w:pPr>
      <w:r>
        <w:rPr>
          <w:rFonts w:eastAsia="Times New Roman"/>
          <w:b/>
          <w:bCs/>
          <w:color w:val="000000"/>
          <w:sz w:val="20"/>
          <w:szCs w:val="20"/>
        </w:rPr>
        <w:t>Funding of Pension Plans</w:t>
      </w:r>
    </w:p>
    <w:p w:rsidR="00000000" w:rsidRDefault="00AE54EE">
      <w:pPr>
        <w:ind w:firstLine="450"/>
        <w:divId w:val="1038551439"/>
        <w:rPr>
          <w:rFonts w:eastAsia="Times New Roman"/>
        </w:rPr>
      </w:pPr>
      <w:r>
        <w:rPr>
          <w:rFonts w:eastAsia="Times New Roman"/>
          <w:color w:val="000000"/>
          <w:sz w:val="20"/>
          <w:szCs w:val="20"/>
        </w:rPr>
        <w:t>Funding requirements under applicable laws and regulations are a maj</w:t>
      </w:r>
      <w:r>
        <w:rPr>
          <w:rFonts w:eastAsia="Times New Roman"/>
          <w:color w:val="000000"/>
          <w:sz w:val="20"/>
          <w:szCs w:val="20"/>
        </w:rPr>
        <w:t>or consideration in making contributions to our U.S. pension plans. Although we have significant discretion in making voluntary contributions, the Employee Retirement Income Security Act of 1974, as amended by the Pension Protection Act of 2006 and further</w:t>
      </w:r>
      <w:r>
        <w:rPr>
          <w:rFonts w:eastAsia="Times New Roman"/>
          <w:color w:val="000000"/>
          <w:sz w:val="20"/>
          <w:szCs w:val="20"/>
        </w:rPr>
        <w:t xml:space="preserve"> amended by the Worker, Retiree, and Employer Recovery Act of 2008, the Moving Ahead for Progress in the 21st Century Act (“MAP-21”), and applicable Internal Revenue Code regulations, mandate minimum funding thresholds. The Highway and Transportation Fundi</w:t>
      </w:r>
      <w:r>
        <w:rPr>
          <w:rFonts w:eastAsia="Times New Roman"/>
          <w:color w:val="000000"/>
          <w:sz w:val="20"/>
          <w:szCs w:val="20"/>
        </w:rPr>
        <w:t>ng Act of 2014, the Bipartisan Budget Act of 2015, the American Rescue Plan Act of 2021 and the Infrastructure Investment and Jobs Act further extended the interest rate stabilization provision of MAP-21. Failure to satisfy the minimum funding thresholds c</w:t>
      </w:r>
      <w:r>
        <w:rPr>
          <w:rFonts w:eastAsia="Times New Roman"/>
          <w:color w:val="000000"/>
          <w:sz w:val="20"/>
          <w:szCs w:val="20"/>
        </w:rPr>
        <w:t xml:space="preserve">ould result in restrictions on our ability to amend the plans or make benefit payments. With respect to our U.S. qualified defined benefit pension plans, we intend to contribute annually no less than the required minimum funding thresholds. As a result of </w:t>
      </w:r>
      <w:r>
        <w:rPr>
          <w:rFonts w:eastAsia="Times New Roman"/>
          <w:color w:val="000000"/>
          <w:sz w:val="20"/>
          <w:szCs w:val="20"/>
        </w:rPr>
        <w:t>prior voluntary contributions and plan performance, we were not required to make any contributions to our U.S. qualified defined benefit pension plans in fiscal 2021 and are not required to make any contributions in fiscal 2022 or for several years thereaf</w:t>
      </w:r>
      <w:r>
        <w:rPr>
          <w:rFonts w:eastAsia="Times New Roman"/>
          <w:color w:val="000000"/>
          <w:sz w:val="20"/>
          <w:szCs w:val="20"/>
        </w:rPr>
        <w:t>ter.</w:t>
      </w:r>
    </w:p>
    <w:p w:rsidR="00000000" w:rsidRDefault="00AE54EE">
      <w:pPr>
        <w:ind w:firstLine="450"/>
        <w:divId w:val="934478375"/>
        <w:rPr>
          <w:rFonts w:eastAsia="Times New Roman"/>
        </w:rPr>
      </w:pPr>
      <w:r>
        <w:rPr>
          <w:rFonts w:eastAsia="Times New Roman"/>
          <w:color w:val="000000"/>
          <w:sz w:val="20"/>
          <w:szCs w:val="20"/>
        </w:rPr>
        <w:t xml:space="preserve">Future required contributions primarily will depend on the actual annual return on assets and the discount rate used to measure the benefit obligation at the end of each year. Depending on these factors, and the resulting funded status of our pension </w:t>
      </w:r>
      <w:r>
        <w:rPr>
          <w:rFonts w:eastAsia="Times New Roman"/>
          <w:color w:val="000000"/>
          <w:sz w:val="20"/>
          <w:szCs w:val="20"/>
        </w:rPr>
        <w:t>plans, the level of future statutory required minimum contributions could be material. We had net unfunded defined benefit plan obligations of $431 million as of December 31, 2021 compared with $1.8 billion as of January 1, 2021. The decrease in the unfund</w:t>
      </w:r>
      <w:r>
        <w:rPr>
          <w:rFonts w:eastAsia="Times New Roman"/>
          <w:color w:val="000000"/>
          <w:sz w:val="20"/>
          <w:szCs w:val="20"/>
        </w:rPr>
        <w:t xml:space="preserve">ed status as of December 31, 2021 is primarily due to actuarial gains as a result of the increase in the discount rate. See </w:t>
      </w:r>
      <w:r>
        <w:rPr>
          <w:rFonts w:eastAsia="Times New Roman"/>
          <w:i/>
          <w:iCs/>
          <w:color w:val="000000"/>
          <w:sz w:val="20"/>
          <w:szCs w:val="20"/>
        </w:rPr>
        <w:t>Note 14: Pension and Other Postretirement Benefits</w:t>
      </w:r>
      <w:r>
        <w:rPr>
          <w:rFonts w:eastAsia="Times New Roman"/>
          <w:color w:val="000000"/>
          <w:sz w:val="20"/>
          <w:szCs w:val="20"/>
        </w:rPr>
        <w:t xml:space="preserve"> in the Notes for further information regarding our pension plans.</w:t>
      </w:r>
    </w:p>
    <w:p w:rsidR="00000000" w:rsidRDefault="00AE54EE">
      <w:pPr>
        <w:divId w:val="640885075"/>
        <w:rPr>
          <w:rFonts w:eastAsia="Times New Roman"/>
        </w:rPr>
      </w:pPr>
      <w:r>
        <w:rPr>
          <w:rFonts w:eastAsia="Times New Roman"/>
          <w:b/>
          <w:bCs/>
          <w:color w:val="000000"/>
          <w:sz w:val="20"/>
          <w:szCs w:val="20"/>
        </w:rPr>
        <w:t>Common Stock Re</w:t>
      </w:r>
      <w:r>
        <w:rPr>
          <w:rFonts w:eastAsia="Times New Roman"/>
          <w:b/>
          <w:bCs/>
          <w:color w:val="000000"/>
          <w:sz w:val="20"/>
          <w:szCs w:val="20"/>
        </w:rPr>
        <w:t xml:space="preserve">purchases </w:t>
      </w:r>
    </w:p>
    <w:p w:rsidR="00000000" w:rsidRDefault="00AE54EE">
      <w:pPr>
        <w:ind w:firstLine="450"/>
        <w:divId w:val="2100371605"/>
        <w:rPr>
          <w:rFonts w:eastAsia="Times New Roman"/>
        </w:rPr>
      </w:pPr>
      <w:r>
        <w:rPr>
          <w:rFonts w:eastAsia="Times New Roman"/>
          <w:color w:val="000000"/>
          <w:sz w:val="20"/>
          <w:szCs w:val="20"/>
        </w:rPr>
        <w:t>During fiscal 2021, we used $3.7 billion to repurchase 17 million shares of our common stock under our share repurchase program at an average price per share of $215.30, including commissions of $0.02 per share. During fiscal 2020, we repurchase</w:t>
      </w:r>
      <w:r>
        <w:rPr>
          <w:rFonts w:eastAsia="Times New Roman"/>
          <w:color w:val="000000"/>
          <w:sz w:val="20"/>
          <w:szCs w:val="20"/>
        </w:rPr>
        <w:t xml:space="preserve">d 12 million shares of our common stock under our share repurchase program for $2.3 billion at an average price per share of $191.42, including commissions of $0.02 per share. During fiscal 2021 and 2020, $5 million and $4 million, respectively, in shares </w:t>
      </w:r>
      <w:r>
        <w:rPr>
          <w:rFonts w:eastAsia="Times New Roman"/>
          <w:color w:val="000000"/>
          <w:sz w:val="20"/>
          <w:szCs w:val="20"/>
        </w:rPr>
        <w:t xml:space="preserve">of our common stock were delivered to us or withheld by us to satisfy withholding taxes on employee share-based awards. Shares repurchased by us are cancelled and retired. </w:t>
      </w:r>
    </w:p>
    <w:p w:rsidR="00000000" w:rsidRDefault="00AE54EE">
      <w:pPr>
        <w:ind w:firstLine="540"/>
        <w:divId w:val="159079531"/>
        <w:rPr>
          <w:rFonts w:eastAsia="Times New Roman"/>
        </w:rPr>
      </w:pPr>
      <w:r>
        <w:rPr>
          <w:rFonts w:eastAsia="Times New Roman"/>
          <w:color w:val="000000"/>
          <w:sz w:val="20"/>
          <w:szCs w:val="20"/>
        </w:rPr>
        <w:t>On July 1, 2019, we announced that our Board of Directors approved a new share repu</w:t>
      </w:r>
      <w:r>
        <w:rPr>
          <w:rFonts w:eastAsia="Times New Roman"/>
          <w:color w:val="000000"/>
          <w:sz w:val="20"/>
          <w:szCs w:val="20"/>
        </w:rPr>
        <w:t>rchase program authorizing us to repurchase up to $4 billion in shares, replacing our prior share repurchase programs. On January 28, 2021, we announced that our Board of Directors approved a new $6 billion share repurchase authorization under our repurcha</w:t>
      </w:r>
      <w:r>
        <w:rPr>
          <w:rFonts w:eastAsia="Times New Roman"/>
          <w:color w:val="000000"/>
          <w:sz w:val="20"/>
          <w:szCs w:val="20"/>
        </w:rPr>
        <w:t xml:space="preserve">se program that was in addition to the remaining unused authorization of $210 million at January 1, 2021 for a total unused authorization of $6.2 billion. Our repurchase program does not have a stated expiration date and authorizes us to repurchase shares </w:t>
      </w:r>
      <w:r>
        <w:rPr>
          <w:rFonts w:eastAsia="Times New Roman"/>
          <w:color w:val="000000"/>
          <w:sz w:val="20"/>
          <w:szCs w:val="20"/>
        </w:rPr>
        <w:t>of our common stock through open market purchases, private transactions, transactions structured through investment banking institutions or any combination thereof. During fiscal 2021, we repurchased $3.7 billion of our common stock under our repurchase pr</w:t>
      </w:r>
      <w:r>
        <w:rPr>
          <w:rFonts w:eastAsia="Times New Roman"/>
          <w:color w:val="000000"/>
          <w:sz w:val="20"/>
          <w:szCs w:val="20"/>
        </w:rPr>
        <w:t>ograms. At December 31, 2021, we had a remaining unused authorization under our repurchase program of $2.5 billion. We have announced that we currently expect to repurchase up to $1.5 billion in shares under our repurchase program in fiscal 2022, but we ca</w:t>
      </w:r>
      <w:r>
        <w:rPr>
          <w:rFonts w:eastAsia="Times New Roman"/>
          <w:color w:val="000000"/>
          <w:sz w:val="20"/>
          <w:szCs w:val="20"/>
        </w:rPr>
        <w:t>n give no assurances regarding the level and timing of shares repurchases. The level and timing of our repurchases depends on a number of factors, including our financial condition, capital requirements, cash flows, results of operations, future business p</w:t>
      </w:r>
      <w:r>
        <w:rPr>
          <w:rFonts w:eastAsia="Times New Roman"/>
          <w:color w:val="000000"/>
          <w:sz w:val="20"/>
          <w:szCs w:val="20"/>
        </w:rPr>
        <w:t>rospects and other factors our Board and management may deem relevant. The timing, volume and nature of repurchases are subject to market conditions, applicable securities laws and other factors and are at our discretion and may be suspended or discontinue</w:t>
      </w:r>
      <w:r>
        <w:rPr>
          <w:rFonts w:eastAsia="Times New Roman"/>
          <w:color w:val="000000"/>
          <w:sz w:val="20"/>
          <w:szCs w:val="20"/>
        </w:rPr>
        <w:t>d at any time. Additional information regarding our repurchase program is set forth above under “Item 5. Market for Registrant’s Common Equity, Related Stockholder Matters and Issuer Purchases of Equity Securities” of this Report.</w:t>
      </w:r>
    </w:p>
    <w:p w:rsidR="00000000" w:rsidRDefault="00AE54EE">
      <w:pPr>
        <w:divId w:val="89811644"/>
        <w:rPr>
          <w:rFonts w:eastAsia="Times New Roman"/>
        </w:rPr>
      </w:pPr>
      <w:r>
        <w:rPr>
          <w:rFonts w:eastAsia="Times New Roman"/>
          <w:b/>
          <w:bCs/>
          <w:color w:val="000000"/>
          <w:sz w:val="20"/>
          <w:szCs w:val="20"/>
        </w:rPr>
        <w:t>Dividends</w:t>
      </w:r>
    </w:p>
    <w:p w:rsidR="00000000" w:rsidRDefault="00AE54EE">
      <w:pPr>
        <w:ind w:firstLine="450"/>
        <w:divId w:val="1434325991"/>
        <w:rPr>
          <w:rFonts w:eastAsia="Times New Roman"/>
        </w:rPr>
      </w:pPr>
      <w:r>
        <w:rPr>
          <w:rFonts w:eastAsia="Times New Roman"/>
          <w:color w:val="000000"/>
          <w:sz w:val="20"/>
          <w:szCs w:val="20"/>
        </w:rPr>
        <w:t>On February 25,</w:t>
      </w:r>
      <w:r>
        <w:rPr>
          <w:rFonts w:eastAsia="Times New Roman"/>
          <w:color w:val="000000"/>
          <w:sz w:val="20"/>
          <w:szCs w:val="20"/>
        </w:rPr>
        <w:t xml:space="preserve"> 2022, we announced that our Board of Directors increased the quarterly per share cash dividend rate on our common stock from $1.02 to $1.12,</w:t>
      </w:r>
      <w:r>
        <w:rPr>
          <w:rFonts w:eastAsia="Times New Roman"/>
          <w:color w:val="FF0000"/>
          <w:sz w:val="20"/>
          <w:szCs w:val="20"/>
        </w:rPr>
        <w:t xml:space="preserve"> </w:t>
      </w:r>
      <w:r>
        <w:rPr>
          <w:rFonts w:eastAsia="Times New Roman"/>
          <w:color w:val="000000"/>
          <w:sz w:val="20"/>
          <w:szCs w:val="20"/>
        </w:rPr>
        <w:t>commencing with the dividend declared by our Board of Directors for the first quarter of fiscal 2022, for an annualized per share cash dividend rate</w:t>
      </w:r>
      <w:r>
        <w:rPr>
          <w:rFonts w:eastAsia="Times New Roman"/>
          <w:color w:val="FF0000"/>
          <w:sz w:val="20"/>
          <w:szCs w:val="20"/>
        </w:rPr>
        <w:t xml:space="preserve"> </w:t>
      </w:r>
      <w:r>
        <w:rPr>
          <w:rFonts w:eastAsia="Times New Roman"/>
          <w:color w:val="000000"/>
          <w:sz w:val="20"/>
          <w:szCs w:val="20"/>
        </w:rPr>
        <w:t>of $4.48, which was our twenty-first consecutive annual increase in our quarterly cash dividend rate. Our a</w:t>
      </w:r>
      <w:r>
        <w:rPr>
          <w:rFonts w:eastAsia="Times New Roman"/>
          <w:color w:val="000000"/>
          <w:sz w:val="20"/>
          <w:szCs w:val="20"/>
        </w:rPr>
        <w:t>nnualized per share cash dividend rate was $4.08 in fiscal 2021, $3.40 in fiscal 2020, $3.00 in the two quarters ended January 3, 2020 and $2.74 in fiscal 2019. Quarterly cash dividends are typically paid in March, June, September and December. We currentl</w:t>
      </w:r>
      <w:r>
        <w:rPr>
          <w:rFonts w:eastAsia="Times New Roman"/>
          <w:color w:val="000000"/>
          <w:sz w:val="20"/>
          <w:szCs w:val="20"/>
        </w:rPr>
        <w:t>y expect that cash dividends will continue to be paid in the near future, but we can give no assurances concerning payment of future dividends or future dividend increases</w:t>
      </w:r>
      <w:r>
        <w:rPr>
          <w:rFonts w:eastAsia="Times New Roman"/>
          <w:color w:val="FF0000"/>
          <w:sz w:val="20"/>
          <w:szCs w:val="20"/>
        </w:rPr>
        <w:t xml:space="preserve">. </w:t>
      </w:r>
      <w:r>
        <w:rPr>
          <w:rFonts w:eastAsia="Times New Roman"/>
          <w:color w:val="000000"/>
          <w:sz w:val="20"/>
          <w:szCs w:val="20"/>
        </w:rPr>
        <w:t>The declaration of dividends and the amount thereof will depend on a number of fact</w:t>
      </w:r>
      <w:r>
        <w:rPr>
          <w:rFonts w:eastAsia="Times New Roman"/>
          <w:color w:val="000000"/>
          <w:sz w:val="20"/>
          <w:szCs w:val="20"/>
        </w:rPr>
        <w:t xml:space="preserve">ors, including our financial condition, capital requirements, cash flows, results of operations, future business prospects and other factors our Board of Directors may deem relevant. Additional information concerning our dividends is set forth above under </w:t>
      </w:r>
      <w:r>
        <w:rPr>
          <w:rFonts w:eastAsia="Times New Roman"/>
          <w:color w:val="000000"/>
          <w:sz w:val="20"/>
          <w:szCs w:val="20"/>
        </w:rPr>
        <w:t>“Item 5. Market for Registrant’s Common Equity, Related Stockholder Matters and Issuer Purchases of Equity Securities” of this Report.</w:t>
      </w:r>
    </w:p>
    <w:p w:rsidR="00000000" w:rsidRDefault="00AE54EE">
      <w:pPr>
        <w:ind w:firstLine="450"/>
        <w:jc w:val="center"/>
        <w:divId w:val="575239937"/>
        <w:rPr>
          <w:rFonts w:eastAsia="Times New Roman"/>
        </w:rPr>
      </w:pPr>
      <w:r>
        <w:rPr>
          <w:rFonts w:eastAsia="Times New Roman"/>
          <w:color w:val="000000"/>
          <w:sz w:val="20"/>
          <w:szCs w:val="20"/>
        </w:rPr>
        <w:t>51</w:t>
      </w:r>
    </w:p>
    <w:p w:rsidR="00000000" w:rsidRDefault="00AE54EE">
      <w:pPr>
        <w:rPr>
          <w:rFonts w:eastAsia="Times New Roman"/>
        </w:rPr>
      </w:pPr>
      <w:r>
        <w:rPr>
          <w:rFonts w:eastAsia="Times New Roman"/>
        </w:rPr>
        <w:pict>
          <v:rect id="_x0000_i1079" style="width:0;height:1.5pt" o:hralign="center" o:hrstd="t" o:hr="t" fillcolor="#a0a0a0" stroked="f"/>
        </w:pict>
      </w:r>
    </w:p>
    <w:p w:rsidR="00000000" w:rsidRDefault="00AE54EE">
      <w:pPr>
        <w:ind w:firstLine="450"/>
        <w:divId w:val="1418863010"/>
        <w:rPr>
          <w:rFonts w:eastAsia="Times New Roman"/>
        </w:rPr>
      </w:pPr>
    </w:p>
    <w:p w:rsidR="00000000" w:rsidRDefault="00AE54EE">
      <w:pPr>
        <w:divId w:val="1771468066"/>
        <w:rPr>
          <w:rFonts w:eastAsia="Times New Roman"/>
        </w:rPr>
      </w:pPr>
      <w:r>
        <w:rPr>
          <w:rFonts w:eastAsia="Times New Roman"/>
          <w:b/>
          <w:bCs/>
          <w:color w:val="000000"/>
          <w:sz w:val="20"/>
          <w:szCs w:val="20"/>
        </w:rPr>
        <w:t>Capital Structure and Resources</w:t>
      </w:r>
    </w:p>
    <w:p w:rsidR="00000000" w:rsidRDefault="00AE54EE">
      <w:pPr>
        <w:ind w:firstLine="450"/>
        <w:divId w:val="990255835"/>
        <w:rPr>
          <w:rFonts w:eastAsia="Times New Roman"/>
        </w:rPr>
      </w:pPr>
      <w:r>
        <w:rPr>
          <w:rFonts w:eastAsia="Times New Roman"/>
          <w:b/>
          <w:bCs/>
          <w:i/>
          <w:iCs/>
          <w:color w:val="000000"/>
          <w:sz w:val="20"/>
          <w:szCs w:val="20"/>
        </w:rPr>
        <w:t>2019 Credit Agreement:</w:t>
      </w:r>
      <w:r>
        <w:rPr>
          <w:rFonts w:eastAsia="Times New Roman"/>
          <w:color w:val="000000"/>
          <w:sz w:val="20"/>
          <w:szCs w:val="20"/>
        </w:rPr>
        <w:t> We have a $2 billion, 5-y</w:t>
      </w:r>
      <w:r>
        <w:rPr>
          <w:rFonts w:eastAsia="Times New Roman"/>
          <w:color w:val="000000"/>
          <w:sz w:val="20"/>
          <w:szCs w:val="20"/>
        </w:rPr>
        <w:t>ear senior unsecured revolving credit facility (the “2019 Credit Facility”) under a Revolving Credit Agreement (the “2019 Credit Agreement”) entered into on June 28, 2019 with a syndicate of lenders. The description of the 2019 Credit Facility and the 2019</w:t>
      </w:r>
      <w:r>
        <w:rPr>
          <w:rFonts w:eastAsia="Times New Roman"/>
          <w:color w:val="000000"/>
          <w:sz w:val="20"/>
          <w:szCs w:val="20"/>
        </w:rPr>
        <w:t xml:space="preserve"> Credit Agreement set forth in </w:t>
      </w:r>
      <w:r>
        <w:rPr>
          <w:rFonts w:eastAsia="Times New Roman"/>
          <w:i/>
          <w:iCs/>
          <w:color w:val="000000"/>
          <w:sz w:val="20"/>
          <w:szCs w:val="20"/>
        </w:rPr>
        <w:t>Note 12: Credit Arrangements</w:t>
      </w:r>
      <w:r>
        <w:rPr>
          <w:rFonts w:eastAsia="Times New Roman"/>
          <w:color w:val="000000"/>
          <w:sz w:val="20"/>
          <w:szCs w:val="20"/>
        </w:rPr>
        <w:t xml:space="preserve"> in the Notes is incorporated herein by reference.</w:t>
      </w:r>
    </w:p>
    <w:p w:rsidR="00000000" w:rsidRDefault="00AE54EE">
      <w:pPr>
        <w:ind w:firstLine="450"/>
        <w:divId w:val="1431898808"/>
        <w:rPr>
          <w:rFonts w:eastAsia="Times New Roman"/>
        </w:rPr>
      </w:pPr>
      <w:r>
        <w:rPr>
          <w:rFonts w:eastAsia="Times New Roman"/>
          <w:color w:val="000000"/>
          <w:sz w:val="20"/>
          <w:szCs w:val="20"/>
        </w:rPr>
        <w:t>We were in compliance with the covenants in the 2019 Credit Agreement at December 31, 2021, including the covenant requiring that we not permit ou</w:t>
      </w:r>
      <w:r>
        <w:rPr>
          <w:rFonts w:eastAsia="Times New Roman"/>
          <w:color w:val="000000"/>
          <w:sz w:val="20"/>
          <w:szCs w:val="20"/>
        </w:rPr>
        <w:t>r ratio of consolidated total indebtedness to total capital, each as defined in the 2019 Credit Agreement, to be greater than 0.65 to 1.00. At December 31, 2021, we had no borrowings outstanding under the 2019 Credit Agreement.</w:t>
      </w:r>
    </w:p>
    <w:p w:rsidR="00000000" w:rsidRDefault="00AE54EE">
      <w:pPr>
        <w:ind w:firstLine="450"/>
        <w:divId w:val="1043141478"/>
        <w:rPr>
          <w:rFonts w:eastAsia="Times New Roman"/>
        </w:rPr>
      </w:pPr>
      <w:r>
        <w:rPr>
          <w:rFonts w:eastAsia="Times New Roman"/>
          <w:b/>
          <w:bCs/>
          <w:i/>
          <w:iCs/>
          <w:color w:val="000000"/>
          <w:sz w:val="20"/>
          <w:szCs w:val="20"/>
        </w:rPr>
        <w:t>Exchange Offer:</w:t>
      </w:r>
      <w:r>
        <w:rPr>
          <w:rFonts w:eastAsia="Times New Roman"/>
          <w:color w:val="000000"/>
          <w:sz w:val="20"/>
          <w:szCs w:val="20"/>
        </w:rPr>
        <w:t> In connectio</w:t>
      </w:r>
      <w:r>
        <w:rPr>
          <w:rFonts w:eastAsia="Times New Roman"/>
          <w:color w:val="000000"/>
          <w:sz w:val="20"/>
          <w:szCs w:val="20"/>
        </w:rPr>
        <w:t>n with the L3Harris Merger, on May 30, 2019, we commenced offers to eligible holders to exchange any and all outstanding 4.950% Senior Notes due 2021, 3.850% Senior Notes due 2023, 3.950% Senior Notes due 2024, 3.850% Senior Notes due 2026 and 4.400% Senio</w:t>
      </w:r>
      <w:r>
        <w:rPr>
          <w:rFonts w:eastAsia="Times New Roman"/>
          <w:color w:val="000000"/>
          <w:sz w:val="20"/>
          <w:szCs w:val="20"/>
        </w:rPr>
        <w:t>r Notes due 2028 issued by L3 for up to $3.35 billion aggregate principal amount of new notes issued by L3Harris</w:t>
      </w:r>
      <w:r>
        <w:rPr>
          <w:rFonts w:eastAsia="Times New Roman"/>
          <w:b/>
          <w:bCs/>
          <w:color w:val="000000"/>
          <w:sz w:val="20"/>
          <w:szCs w:val="20"/>
        </w:rPr>
        <w:t xml:space="preserve"> </w:t>
      </w:r>
      <w:r>
        <w:rPr>
          <w:rFonts w:eastAsia="Times New Roman"/>
          <w:color w:val="000000"/>
          <w:sz w:val="20"/>
          <w:szCs w:val="20"/>
        </w:rPr>
        <w:t>and cash. On July 2, 2019, we settled the debt exchange offer, and on March 31, 2020, we commenced offers to eligible holders to exchange any a</w:t>
      </w:r>
      <w:r>
        <w:rPr>
          <w:rFonts w:eastAsia="Times New Roman"/>
          <w:color w:val="000000"/>
          <w:sz w:val="20"/>
          <w:szCs w:val="20"/>
        </w:rPr>
        <w:t>nd all the outstanding notes that were previously issued by L3Harris pursuant to an exemption from the registration requirements of the Securities Act (“Original Notes”) for an equal principal amount of new notes registered under the Securities Act (the “E</w:t>
      </w:r>
      <w:r>
        <w:rPr>
          <w:rFonts w:eastAsia="Times New Roman"/>
          <w:color w:val="000000"/>
          <w:sz w:val="20"/>
          <w:szCs w:val="20"/>
        </w:rPr>
        <w:t>xchange Notes”). The terms of the Exchange Notes are substantially identical to the terms of the corresponding series of the Original Notes, except that the Exchange Notes are registered under the Securities Act, and the transfer restrictions, registration</w:t>
      </w:r>
      <w:r>
        <w:rPr>
          <w:rFonts w:eastAsia="Times New Roman"/>
          <w:color w:val="000000"/>
          <w:sz w:val="20"/>
          <w:szCs w:val="20"/>
        </w:rPr>
        <w:t xml:space="preserve"> rights and related special interest provisions applicable to the Original Notes do not apply to the Exchange Notes. The Exchange Offers expired at 5:00 p.m., New York City time, on May 1, 2020. On May 5, 2020, we settled the Exchange Offers and issued Exc</w:t>
      </w:r>
      <w:r>
        <w:rPr>
          <w:rFonts w:eastAsia="Times New Roman"/>
          <w:color w:val="000000"/>
          <w:sz w:val="20"/>
          <w:szCs w:val="20"/>
        </w:rPr>
        <w:t xml:space="preserve">hange Notes for validly tendered Original Notes. See </w:t>
      </w:r>
      <w:r>
        <w:rPr>
          <w:rFonts w:eastAsia="Times New Roman"/>
          <w:i/>
          <w:iCs/>
          <w:color w:val="000000"/>
          <w:sz w:val="20"/>
          <w:szCs w:val="20"/>
        </w:rPr>
        <w:t>Note 13: Debt</w:t>
      </w:r>
      <w:r>
        <w:rPr>
          <w:rFonts w:eastAsia="Times New Roman"/>
          <w:color w:val="000000"/>
          <w:sz w:val="20"/>
          <w:szCs w:val="20"/>
        </w:rPr>
        <w:t xml:space="preserve"> in the Notes for additional information.</w:t>
      </w:r>
    </w:p>
    <w:p w:rsidR="00000000" w:rsidRDefault="00AE54EE">
      <w:pPr>
        <w:ind w:firstLine="450"/>
        <w:divId w:val="785848791"/>
        <w:rPr>
          <w:rFonts w:eastAsia="Times New Roman"/>
        </w:rPr>
      </w:pPr>
      <w:r>
        <w:rPr>
          <w:rFonts w:eastAsia="Times New Roman"/>
          <w:b/>
          <w:bCs/>
          <w:i/>
          <w:iCs/>
          <w:color w:val="000000"/>
          <w:sz w:val="20"/>
          <w:szCs w:val="20"/>
        </w:rPr>
        <w:t>Short-Term Debt:</w:t>
      </w:r>
      <w:r>
        <w:rPr>
          <w:rFonts w:eastAsia="Times New Roman"/>
          <w:color w:val="000000"/>
          <w:sz w:val="20"/>
          <w:szCs w:val="20"/>
        </w:rPr>
        <w:t> Our short-term debt was $2 million at each of December 31, 2021 and January 1, 2021, consisting of local borrowing by international</w:t>
      </w:r>
      <w:r>
        <w:rPr>
          <w:rFonts w:eastAsia="Times New Roman"/>
          <w:color w:val="000000"/>
          <w:sz w:val="20"/>
          <w:szCs w:val="20"/>
        </w:rPr>
        <w:t xml:space="preserve"> subsidiaries for working capital needs. Our commercial paper program was supported by the 2019 Credit Facility at December 31, 2021 and January 1, 2021. See </w:t>
      </w:r>
      <w:r>
        <w:rPr>
          <w:rFonts w:eastAsia="Times New Roman"/>
          <w:i/>
          <w:iCs/>
          <w:color w:val="000000"/>
          <w:sz w:val="20"/>
          <w:szCs w:val="20"/>
        </w:rPr>
        <w:t>Note 12: Credit Arrangements</w:t>
      </w:r>
      <w:r>
        <w:rPr>
          <w:rFonts w:eastAsia="Times New Roman"/>
          <w:color w:val="000000"/>
          <w:sz w:val="20"/>
          <w:szCs w:val="20"/>
        </w:rPr>
        <w:t xml:space="preserve"> in the Notes for additional information regarding credit arrangements</w:t>
      </w:r>
      <w:r>
        <w:rPr>
          <w:rFonts w:eastAsia="Times New Roman"/>
          <w:color w:val="000000"/>
          <w:sz w:val="20"/>
          <w:szCs w:val="20"/>
        </w:rPr>
        <w:t>.</w:t>
      </w:r>
    </w:p>
    <w:p w:rsidR="00000000" w:rsidRDefault="00AE54EE">
      <w:pPr>
        <w:ind w:firstLine="450"/>
        <w:divId w:val="1611889236"/>
        <w:rPr>
          <w:rFonts w:eastAsia="Times New Roman"/>
        </w:rPr>
      </w:pPr>
      <w:r>
        <w:rPr>
          <w:rFonts w:eastAsia="Times New Roman"/>
          <w:b/>
          <w:bCs/>
          <w:i/>
          <w:iCs/>
          <w:color w:val="000000"/>
          <w:sz w:val="20"/>
          <w:szCs w:val="20"/>
        </w:rPr>
        <w:t>Long-Term Variable-Rate Debt:</w:t>
      </w:r>
      <w:r>
        <w:rPr>
          <w:rFonts w:eastAsia="Times New Roman"/>
          <w:color w:val="000000"/>
          <w:sz w:val="20"/>
          <w:szCs w:val="20"/>
        </w:rPr>
        <w:t xml:space="preserve"> The description of our long-term variable-rate debt set forth in </w:t>
      </w:r>
      <w:r>
        <w:rPr>
          <w:rFonts w:eastAsia="Times New Roman"/>
          <w:i/>
          <w:iCs/>
          <w:color w:val="000000"/>
          <w:sz w:val="20"/>
          <w:szCs w:val="20"/>
        </w:rPr>
        <w:t>Note 13: Debt</w:t>
      </w:r>
      <w:r>
        <w:rPr>
          <w:rFonts w:eastAsia="Times New Roman"/>
          <w:color w:val="000000"/>
          <w:sz w:val="20"/>
          <w:szCs w:val="20"/>
        </w:rPr>
        <w:t xml:space="preserve"> in the Notes is incorporated herein by reference. As discussed in </w:t>
      </w:r>
      <w:r>
        <w:rPr>
          <w:rFonts w:eastAsia="Times New Roman"/>
          <w:i/>
          <w:iCs/>
          <w:color w:val="000000"/>
          <w:sz w:val="20"/>
          <w:szCs w:val="20"/>
        </w:rPr>
        <w:t>Note 13: Debt</w:t>
      </w:r>
      <w:r>
        <w:rPr>
          <w:rFonts w:eastAsia="Times New Roman"/>
          <w:color w:val="000000"/>
          <w:sz w:val="20"/>
          <w:szCs w:val="20"/>
        </w:rPr>
        <w:t xml:space="preserve"> </w:t>
      </w:r>
      <w:r>
        <w:rPr>
          <w:rFonts w:eastAsia="Times New Roman"/>
          <w:color w:val="000000"/>
          <w:sz w:val="20"/>
          <w:szCs w:val="20"/>
        </w:rPr>
        <w:t>in the Notes, during the first quarter of fiscal 2020, we completed the issuance and sale of $250 million in aggregate principal amount of Floating Rate Notes due March 10, 2023 and used the net proceeds from the sale to repay in full the entire outstandin</w:t>
      </w:r>
      <w:r>
        <w:rPr>
          <w:rFonts w:eastAsia="Times New Roman"/>
          <w:color w:val="000000"/>
          <w:sz w:val="20"/>
          <w:szCs w:val="20"/>
        </w:rPr>
        <w:t xml:space="preserve">g $250 million aggregate principal amount of our Floating Rate Notes due April 30, 2020 that had been issued in the second quarter of fiscal 2018. </w:t>
      </w:r>
    </w:p>
    <w:p w:rsidR="00000000" w:rsidRDefault="00AE54EE">
      <w:pPr>
        <w:ind w:firstLine="450"/>
        <w:divId w:val="282269359"/>
        <w:rPr>
          <w:rFonts w:eastAsia="Times New Roman"/>
        </w:rPr>
      </w:pPr>
      <w:r>
        <w:rPr>
          <w:rFonts w:eastAsia="Times New Roman"/>
          <w:b/>
          <w:bCs/>
          <w:i/>
          <w:iCs/>
          <w:color w:val="000000"/>
          <w:sz w:val="20"/>
          <w:szCs w:val="20"/>
        </w:rPr>
        <w:t>Long-Term Fixed-Rate Debt:</w:t>
      </w:r>
      <w:r>
        <w:rPr>
          <w:rFonts w:eastAsia="Times New Roman"/>
          <w:b/>
          <w:bCs/>
          <w:color w:val="000000"/>
          <w:sz w:val="20"/>
          <w:szCs w:val="20"/>
        </w:rPr>
        <w:t> </w:t>
      </w:r>
      <w:r>
        <w:rPr>
          <w:rFonts w:eastAsia="Times New Roman"/>
          <w:color w:val="000000"/>
          <w:sz w:val="20"/>
          <w:szCs w:val="20"/>
        </w:rPr>
        <w:t xml:space="preserve">The description of our long-term fixed-rate debt set forth in </w:t>
      </w:r>
      <w:r>
        <w:rPr>
          <w:rFonts w:eastAsia="Times New Roman"/>
          <w:i/>
          <w:iCs/>
          <w:color w:val="000000"/>
          <w:sz w:val="20"/>
          <w:szCs w:val="20"/>
        </w:rPr>
        <w:t>Note 13: Debt</w:t>
      </w:r>
      <w:r>
        <w:rPr>
          <w:rFonts w:eastAsia="Times New Roman"/>
          <w:color w:val="000000"/>
          <w:sz w:val="20"/>
          <w:szCs w:val="20"/>
        </w:rPr>
        <w:t xml:space="preserve"> in th</w:t>
      </w:r>
      <w:r>
        <w:rPr>
          <w:rFonts w:eastAsia="Times New Roman"/>
          <w:color w:val="000000"/>
          <w:sz w:val="20"/>
          <w:szCs w:val="20"/>
        </w:rPr>
        <w:t xml:space="preserve">e Notes is incorporated herein by reference. As discussed in </w:t>
      </w:r>
      <w:r>
        <w:rPr>
          <w:rFonts w:eastAsia="Times New Roman"/>
          <w:i/>
          <w:iCs/>
          <w:color w:val="000000"/>
          <w:sz w:val="20"/>
          <w:szCs w:val="20"/>
        </w:rPr>
        <w:t>Note 13: Debt</w:t>
      </w:r>
      <w:r>
        <w:rPr>
          <w:rFonts w:eastAsia="Times New Roman"/>
          <w:color w:val="000000"/>
          <w:sz w:val="20"/>
          <w:szCs w:val="20"/>
        </w:rPr>
        <w:t xml:space="preserve"> in the Notes, on November 25, 2020, we completed the issuance and sale of $650 million in aggregate principal amount of 1.80% notes due January 15, 2031 (the “1.80% 2031 Notes”) and</w:t>
      </w:r>
      <w:r>
        <w:rPr>
          <w:rFonts w:eastAsia="Times New Roman"/>
          <w:color w:val="000000"/>
          <w:sz w:val="20"/>
          <w:szCs w:val="20"/>
        </w:rPr>
        <w:t xml:space="preserve"> used the proceeds from the sale to redeem the entire outstanding $650 million aggregate principal amount of our 4.95% Notes due February 15, 2021 (the “4.95% 2021 Notes”) ($501 million of which was issued by L3Harris and $149 million of which was issued b</w:t>
      </w:r>
      <w:r>
        <w:rPr>
          <w:rFonts w:eastAsia="Times New Roman"/>
          <w:color w:val="000000"/>
          <w:sz w:val="20"/>
          <w:szCs w:val="20"/>
        </w:rPr>
        <w:t>y L3). On November 27, 2019, we completed the issuance and sale of $400 million in aggregate principal amount of 2.900% Notes due December 15, 2029 and used the proceeds from the sale to redeem the entire outstanding $400 million aggregate principal amount</w:t>
      </w:r>
      <w:r>
        <w:rPr>
          <w:rFonts w:eastAsia="Times New Roman"/>
          <w:color w:val="000000"/>
          <w:sz w:val="20"/>
          <w:szCs w:val="20"/>
        </w:rPr>
        <w:t xml:space="preserve"> of our 2.7% Notes due April 27, 2020 (the “2.7% 2020 Notes”) at a “make-whole” redemption price of $403 million, as set forth in the 2.7% 2020 Notes. The 4.95% 2021 Notes and 2.7% 2020 Notes were terminated and cancelled.</w:t>
      </w:r>
    </w:p>
    <w:p w:rsidR="00000000" w:rsidRDefault="00AE54EE">
      <w:pPr>
        <w:ind w:firstLine="450"/>
        <w:divId w:val="1467503781"/>
        <w:rPr>
          <w:rFonts w:eastAsia="Times New Roman"/>
        </w:rPr>
      </w:pPr>
      <w:r>
        <w:rPr>
          <w:rFonts w:eastAsia="Times New Roman"/>
          <w:b/>
          <w:bCs/>
          <w:i/>
          <w:iCs/>
          <w:color w:val="000000"/>
          <w:sz w:val="20"/>
          <w:szCs w:val="20"/>
        </w:rPr>
        <w:t xml:space="preserve">Other Agreements: </w:t>
      </w:r>
      <w:r>
        <w:rPr>
          <w:rFonts w:eastAsia="Times New Roman"/>
          <w:color w:val="000000"/>
          <w:sz w:val="20"/>
          <w:szCs w:val="20"/>
        </w:rPr>
        <w:t>We have two rec</w:t>
      </w:r>
      <w:r>
        <w:rPr>
          <w:rFonts w:eastAsia="Times New Roman"/>
          <w:color w:val="000000"/>
          <w:sz w:val="20"/>
          <w:szCs w:val="20"/>
        </w:rPr>
        <w:t>eivable sales agreements (“RSAs”) with two separate third-party financial institutions that permit us to sell, on a non-recourse basis, up to an aggregate of $100 million of outstanding receivables at any given time. From time to time, we have sold certain</w:t>
      </w:r>
      <w:r>
        <w:rPr>
          <w:rFonts w:eastAsia="Times New Roman"/>
          <w:color w:val="000000"/>
          <w:sz w:val="20"/>
          <w:szCs w:val="20"/>
        </w:rPr>
        <w:t xml:space="preserve"> customer receivables under the RSAs, which we continue to service and collect on behalf of the third-party financial institution and we account for as sales of receivables with sale proceeds included in net cash from operating activities. Outstanding rece</w:t>
      </w:r>
      <w:r>
        <w:rPr>
          <w:rFonts w:eastAsia="Times New Roman"/>
          <w:color w:val="000000"/>
          <w:sz w:val="20"/>
          <w:szCs w:val="20"/>
        </w:rPr>
        <w:t xml:space="preserve">ivables sold pursuant to RSAs were $99.9 million at December 31, 2021. We did not have outstanding receivables sold pursuant to RSAs at January 1, 2021. </w:t>
      </w:r>
    </w:p>
    <w:p w:rsidR="00000000" w:rsidRDefault="00AE54EE">
      <w:pPr>
        <w:ind w:firstLine="450"/>
        <w:jc w:val="center"/>
        <w:divId w:val="1769042046"/>
        <w:rPr>
          <w:rFonts w:eastAsia="Times New Roman"/>
        </w:rPr>
      </w:pPr>
      <w:r>
        <w:rPr>
          <w:rFonts w:eastAsia="Times New Roman"/>
          <w:color w:val="000000"/>
          <w:sz w:val="20"/>
          <w:szCs w:val="20"/>
        </w:rPr>
        <w:t>52</w:t>
      </w:r>
    </w:p>
    <w:p w:rsidR="00000000" w:rsidRDefault="00AE54EE">
      <w:pPr>
        <w:rPr>
          <w:rFonts w:eastAsia="Times New Roman"/>
        </w:rPr>
      </w:pPr>
      <w:r>
        <w:rPr>
          <w:rFonts w:eastAsia="Times New Roman"/>
        </w:rPr>
        <w:pict>
          <v:rect id="_x0000_i1080" style="width:0;height:1.5pt" o:hralign="center" o:hrstd="t" o:hr="t" fillcolor="#a0a0a0" stroked="f"/>
        </w:pict>
      </w:r>
    </w:p>
    <w:p w:rsidR="00000000" w:rsidRDefault="00AE54EE">
      <w:pPr>
        <w:ind w:firstLine="450"/>
        <w:divId w:val="1569916908"/>
        <w:rPr>
          <w:rFonts w:eastAsia="Times New Roman"/>
        </w:rPr>
      </w:pPr>
    </w:p>
    <w:p w:rsidR="00000000" w:rsidRDefault="00AE54EE">
      <w:pPr>
        <w:divId w:val="185482457"/>
        <w:rPr>
          <w:rFonts w:eastAsia="Times New Roman"/>
        </w:rPr>
      </w:pPr>
      <w:r>
        <w:rPr>
          <w:rFonts w:eastAsia="Times New Roman"/>
          <w:b/>
          <w:bCs/>
          <w:color w:val="000000"/>
          <w:sz w:val="20"/>
          <w:szCs w:val="20"/>
        </w:rPr>
        <w:t>Material Cash Requirements</w:t>
      </w:r>
    </w:p>
    <w:p w:rsidR="00000000" w:rsidRDefault="00AE54EE">
      <w:pPr>
        <w:ind w:firstLine="450"/>
        <w:divId w:val="1756244075"/>
        <w:rPr>
          <w:rFonts w:eastAsia="Times New Roman"/>
        </w:rPr>
      </w:pPr>
      <w:r>
        <w:rPr>
          <w:rFonts w:eastAsia="Times New Roman"/>
          <w:color w:val="000000"/>
          <w:sz w:val="20"/>
          <w:szCs w:val="20"/>
        </w:rPr>
        <w:t>At December 31, 2021, we had cont</w:t>
      </w:r>
      <w:r>
        <w:rPr>
          <w:rFonts w:eastAsia="Times New Roman"/>
          <w:color w:val="000000"/>
          <w:sz w:val="20"/>
          <w:szCs w:val="20"/>
        </w:rPr>
        <w:t>ractual cash obligations to repay debt, to purchase goods and services and to make payments under operating leases. Payments due under these long-term obligations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263"/>
        <w:gridCol w:w="38"/>
        <w:gridCol w:w="120"/>
        <w:gridCol w:w="971"/>
        <w:gridCol w:w="36"/>
        <w:gridCol w:w="36"/>
        <w:gridCol w:w="36"/>
        <w:gridCol w:w="36"/>
        <w:gridCol w:w="120"/>
        <w:gridCol w:w="927"/>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915744162"/>
        </w:trPr>
        <w:tc>
          <w:tcPr>
            <w:tcW w:w="50" w:type="pct"/>
            <w:vAlign w:val="center"/>
            <w:hideMark/>
          </w:tcPr>
          <w:p w:rsidR="00000000" w:rsidRDefault="00AE54EE">
            <w:pPr>
              <w:ind w:firstLine="450"/>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915744162"/>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Payment Due</w:t>
            </w: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915744162"/>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Within 1 Year</w:t>
            </w:r>
          </w:p>
        </w:tc>
        <w:tc>
          <w:tcPr>
            <w:tcW w:w="0" w:type="auto"/>
            <w:gridSpan w:val="3"/>
            <w:vAlign w:val="center"/>
            <w:hideMark/>
          </w:tcPr>
          <w:p w:rsidR="00000000" w:rsidRDefault="00AE54EE">
            <w:pPr>
              <w:spacing w:after="100"/>
              <w:jc w:val="center"/>
              <w:rPr>
                <w:rFonts w:eastAsia="Times New Roman"/>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915744162"/>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91574416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Long-term debt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6,994 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91574416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847865383"/>
              <w:rPr>
                <w:rFonts w:eastAsia="Times New Roman"/>
              </w:rPr>
            </w:pPr>
            <w:r>
              <w:rPr>
                <w:rFonts w:eastAsia="Times New Roman"/>
                <w:color w:val="000000"/>
                <w:sz w:val="20"/>
                <w:szCs w:val="20"/>
              </w:rPr>
              <w:t>Purchase obligation</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4,365 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3,414 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91574416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Operating and finance lease commitments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915744162"/>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Interest on long-term debt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2,257 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915744162"/>
        </w:trPr>
        <w:tc>
          <w:tcPr>
            <w:tcW w:w="0" w:type="auto"/>
            <w:gridSpan w:val="3"/>
            <w:shd w:val="clear" w:color="auto" w:fill="CCEEFF"/>
            <w:tcMar>
              <w:top w:w="30" w:type="dxa"/>
              <w:left w:w="20" w:type="dxa"/>
              <w:bottom w:w="30" w:type="dxa"/>
              <w:right w:w="20" w:type="dxa"/>
            </w:tcMar>
            <w:hideMark/>
          </w:tcPr>
          <w:p w:rsidR="00000000" w:rsidRDefault="00AE54EE">
            <w:pPr>
              <w:spacing w:after="100"/>
              <w:divId w:val="414977225"/>
              <w:rPr>
                <w:rFonts w:eastAsia="Times New Roman"/>
              </w:rPr>
            </w:pPr>
            <w:r>
              <w:rPr>
                <w:rFonts w:eastAsia="Times New Roman"/>
                <w:color w:val="000000"/>
                <w:sz w:val="20"/>
                <w:szCs w:val="20"/>
              </w:rPr>
              <w:t>Minimum pension contribution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915744162"/>
        </w:trPr>
        <w:tc>
          <w:tcPr>
            <w:tcW w:w="0" w:type="auto"/>
            <w:gridSpan w:val="3"/>
            <w:shd w:val="clear" w:color="auto" w:fill="FFFFFF"/>
            <w:tcMar>
              <w:top w:w="30" w:type="dxa"/>
              <w:left w:w="20" w:type="dxa"/>
              <w:bottom w:w="30" w:type="dxa"/>
              <w:right w:w="20" w:type="dxa"/>
            </w:tcMar>
            <w:hideMark/>
          </w:tcPr>
          <w:p w:rsidR="00000000" w:rsidRDefault="00AE54EE">
            <w:pPr>
              <w:spacing w:after="100"/>
              <w:divId w:val="59137946"/>
              <w:rPr>
                <w:rFonts w:eastAsia="Times New Roman"/>
              </w:rPr>
            </w:pPr>
            <w:r>
              <w:rPr>
                <w:rFonts w:eastAsia="Times New Roman"/>
                <w:color w:val="000000"/>
                <w:sz w:val="20"/>
                <w:szCs w:val="20"/>
              </w:rPr>
              <w:t>Tota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14,891 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hanging="360"/>
        <w:divId w:val="1283342574"/>
        <w:rPr>
          <w:rFonts w:eastAsia="Times New Roman"/>
        </w:rPr>
      </w:pPr>
      <w:r>
        <w:rPr>
          <w:rFonts w:eastAsia="Times New Roman"/>
          <w:color w:val="000000"/>
          <w:sz w:val="16"/>
          <w:szCs w:val="16"/>
        </w:rPr>
        <w:t>_______________</w:t>
      </w:r>
    </w:p>
    <w:p w:rsidR="00000000" w:rsidRDefault="00AE54EE">
      <w:pPr>
        <w:ind w:hanging="360"/>
        <w:divId w:val="199821999"/>
        <w:rPr>
          <w:rFonts w:eastAsia="Times New Roman"/>
        </w:rPr>
      </w:pPr>
      <w:r>
        <w:rPr>
          <w:rFonts w:eastAsia="Times New Roman"/>
          <w:color w:val="000000"/>
          <w:sz w:val="16"/>
          <w:szCs w:val="16"/>
        </w:rPr>
        <w:t xml:space="preserve">(1) </w:t>
      </w:r>
      <w:r>
        <w:rPr>
          <w:rFonts w:eastAsia="Times New Roman"/>
          <w:color w:val="000000"/>
          <w:sz w:val="16"/>
          <w:szCs w:val="16"/>
        </w:rPr>
        <w:t>The purchase obligations of $4.4 billion included $715 million of purchase obligations related to cost-plus type contracts where our costs are fully reimbursable.</w:t>
      </w:r>
    </w:p>
    <w:p w:rsidR="00000000" w:rsidRDefault="00AE54EE">
      <w:pPr>
        <w:ind w:hanging="360"/>
        <w:divId w:val="1934239352"/>
        <w:rPr>
          <w:rFonts w:eastAsia="Times New Roman"/>
        </w:rPr>
      </w:pPr>
      <w:r>
        <w:rPr>
          <w:rFonts w:eastAsia="Times New Roman"/>
          <w:color w:val="000000"/>
          <w:sz w:val="16"/>
          <w:szCs w:val="16"/>
        </w:rPr>
        <w:t>(2) Amount includes fiscal 2021 minimum contributions to non-U.S. pension plans. Contribution</w:t>
      </w:r>
      <w:r>
        <w:rPr>
          <w:rFonts w:eastAsia="Times New Roman"/>
          <w:color w:val="000000"/>
          <w:sz w:val="16"/>
          <w:szCs w:val="16"/>
        </w:rPr>
        <w:t>s beyond fiscal 2021 have not been determined. As a result of voluntary contributions made to our U.S. qualified defined benefit pension plans during the two quarters ended January 3, 2020, fiscal 2018 and 2017, we made no material contributions to our U.S</w:t>
      </w:r>
      <w:r>
        <w:rPr>
          <w:rFonts w:eastAsia="Times New Roman"/>
          <w:color w:val="000000"/>
          <w:sz w:val="16"/>
          <w:szCs w:val="16"/>
        </w:rPr>
        <w:t>. qualified defined benefit pension plans in fiscal 2021 or 2020 and are not required to make any contributions to these plans during fiscal 2022.</w:t>
      </w:r>
    </w:p>
    <w:p w:rsidR="00000000" w:rsidRDefault="00AE54EE">
      <w:pPr>
        <w:ind w:hanging="360"/>
        <w:divId w:val="1729768633"/>
        <w:rPr>
          <w:rFonts w:eastAsia="Times New Roman"/>
        </w:rPr>
      </w:pPr>
      <w:r>
        <w:rPr>
          <w:rFonts w:eastAsia="Times New Roman"/>
          <w:color w:val="000000"/>
          <w:sz w:val="16"/>
          <w:szCs w:val="16"/>
        </w:rPr>
        <w:t>(3) The above table does not include unrecognized tax benefits of $587 million.</w:t>
      </w:r>
    </w:p>
    <w:p w:rsidR="00000000" w:rsidRDefault="00AE54EE">
      <w:pPr>
        <w:divId w:val="1363944964"/>
        <w:rPr>
          <w:rFonts w:eastAsia="Times New Roman"/>
        </w:rPr>
      </w:pPr>
      <w:r>
        <w:rPr>
          <w:rFonts w:eastAsia="Times New Roman"/>
          <w:b/>
          <w:bCs/>
          <w:color w:val="000000"/>
          <w:sz w:val="20"/>
          <w:szCs w:val="20"/>
        </w:rPr>
        <w:t>Commercial Commitments</w:t>
      </w:r>
    </w:p>
    <w:p w:rsidR="00000000" w:rsidRDefault="00AE54EE">
      <w:pPr>
        <w:ind w:firstLine="450"/>
        <w:divId w:val="2138840831"/>
        <w:rPr>
          <w:rFonts w:eastAsia="Times New Roman"/>
        </w:rPr>
      </w:pPr>
      <w:r>
        <w:rPr>
          <w:rFonts w:eastAsia="Times New Roman"/>
          <w:color w:val="000000"/>
          <w:sz w:val="20"/>
          <w:szCs w:val="20"/>
        </w:rPr>
        <w:t>We hav</w:t>
      </w:r>
      <w:r>
        <w:rPr>
          <w:rFonts w:eastAsia="Times New Roman"/>
          <w:color w:val="000000"/>
          <w:sz w:val="20"/>
          <w:szCs w:val="20"/>
        </w:rPr>
        <w:t>e entered into commercial commitments in the normal course of business including surety bonds, standby letter of credit agreements and other arrangements with financial institutions and customers primarily relating to the guarantee of future performance on</w:t>
      </w:r>
      <w:r>
        <w:rPr>
          <w:rFonts w:eastAsia="Times New Roman"/>
          <w:color w:val="000000"/>
          <w:sz w:val="20"/>
          <w:szCs w:val="20"/>
        </w:rPr>
        <w:t xml:space="preserve"> certain contracts to provide products and services to customers or to obtain insurance policies with our insurance carriers. At December 31, 2021, we had commercial commitments on outstanding surety bonds, standby letters of credit and other arrangements,</w:t>
      </w:r>
      <w:r>
        <w:rPr>
          <w:rFonts w:eastAsia="Times New Roman"/>
          <w:color w:val="000000"/>
          <w:sz w:val="20"/>
          <w:szCs w:val="20"/>
        </w:rPr>
        <w:t xml:space="preserv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261"/>
        <w:gridCol w:w="37"/>
        <w:gridCol w:w="121"/>
        <w:gridCol w:w="969"/>
        <w:gridCol w:w="36"/>
        <w:gridCol w:w="36"/>
        <w:gridCol w:w="36"/>
        <w:gridCol w:w="36"/>
        <w:gridCol w:w="121"/>
        <w:gridCol w:w="931"/>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2138840831"/>
        </w:trPr>
        <w:tc>
          <w:tcPr>
            <w:tcW w:w="50" w:type="pct"/>
            <w:vAlign w:val="center"/>
            <w:hideMark/>
          </w:tcPr>
          <w:p w:rsidR="00000000" w:rsidRDefault="00AE54EE">
            <w:pPr>
              <w:ind w:firstLine="450"/>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Five Year</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Expiration of Commitments</w:t>
            </w: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Commercial Commitment Total</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 xml:space="preserve">Less than </w:t>
            </w:r>
            <w:r>
              <w:rPr>
                <w:rFonts w:eastAsia="Times New Roman"/>
                <w:b/>
                <w:bCs/>
                <w:color w:val="000000"/>
                <w:sz w:val="16"/>
                <w:szCs w:val="16"/>
              </w:rPr>
              <w:br/>
              <w:t>1 Year</w:t>
            </w:r>
          </w:p>
        </w:tc>
        <w:tc>
          <w:tcPr>
            <w:tcW w:w="0" w:type="auto"/>
            <w:gridSpan w:val="3"/>
            <w:vAlign w:val="center"/>
            <w:hideMark/>
          </w:tcPr>
          <w:p w:rsidR="00000000" w:rsidRDefault="00AE54EE">
            <w:pPr>
              <w:spacing w:after="100"/>
              <w:jc w:val="center"/>
              <w:rPr>
                <w:rFonts w:eastAsia="Times New Roman"/>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Surety bonds used for:</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Bids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Performance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Standby letters of credit used for: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Down payments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Performance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Warranty</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138840831"/>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commitments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firstLine="450"/>
        <w:divId w:val="1088693983"/>
        <w:rPr>
          <w:rFonts w:eastAsia="Times New Roman"/>
        </w:rPr>
      </w:pPr>
      <w:r>
        <w:rPr>
          <w:rFonts w:eastAsia="Times New Roman"/>
          <w:color w:val="000000"/>
          <w:sz w:val="20"/>
          <w:szCs w:val="20"/>
        </w:rPr>
        <w:t>The surety bonds and standby letters of credit used for performance are primarily related to our Public Safety business sector. As is customary in bidding for and completing network infrastructure projects for public safety systems, contractors are require</w:t>
      </w:r>
      <w:r>
        <w:rPr>
          <w:rFonts w:eastAsia="Times New Roman"/>
          <w:color w:val="000000"/>
          <w:sz w:val="20"/>
          <w:szCs w:val="20"/>
        </w:rPr>
        <w:t>d to procure surety bonds and/or standby letters of credit for bids, performance, warranty and other purposes (collectively, “Performance Bonds”). Such Performance Bonds normally have maturities of up to three years and are standard in the industry as a wa</w:t>
      </w:r>
      <w:r>
        <w:rPr>
          <w:rFonts w:eastAsia="Times New Roman"/>
          <w:color w:val="000000"/>
          <w:sz w:val="20"/>
          <w:szCs w:val="20"/>
        </w:rPr>
        <w:t>y to provide customers a mechanism to seek redress if a contractor does not satisfy performance requirements under a contract. Typically, a customer is permitted to draw on a Performance Bond if we do not fulfill all terms of a project contract. In such an</w:t>
      </w:r>
      <w:r>
        <w:rPr>
          <w:rFonts w:eastAsia="Times New Roman"/>
          <w:color w:val="000000"/>
          <w:sz w:val="20"/>
          <w:szCs w:val="20"/>
        </w:rPr>
        <w:t xml:space="preserve"> event, we would be obligated to reimburse the financial institution that issued the Performance Bond for the amounts paid. It has been rare for our Public Safety business sector to have a Performance Bond drawn upon. In addition, pursuant to the terms und</w:t>
      </w:r>
      <w:r>
        <w:rPr>
          <w:rFonts w:eastAsia="Times New Roman"/>
          <w:color w:val="000000"/>
          <w:sz w:val="20"/>
          <w:szCs w:val="20"/>
        </w:rPr>
        <w:t xml:space="preserve">er which we procure Performance Bonds, if our credit ratings are lowered to below “investment grade,” we may be required to provide collateral to support a portion of the outstanding amount of Performance Bonds. Such a downgrade could increase the cost of </w:t>
      </w:r>
      <w:r>
        <w:rPr>
          <w:rFonts w:eastAsia="Times New Roman"/>
          <w:color w:val="000000"/>
          <w:sz w:val="20"/>
          <w:szCs w:val="20"/>
        </w:rPr>
        <w:t>the issuance of Performance Bonds and could make it more difficult to procure Performance Bonds, which would adversely impact our ability to compete for contract awards. Such collateral requirements could also result in less liquidity for other operational</w:t>
      </w:r>
      <w:r>
        <w:rPr>
          <w:rFonts w:eastAsia="Times New Roman"/>
          <w:color w:val="000000"/>
          <w:sz w:val="20"/>
          <w:szCs w:val="20"/>
        </w:rPr>
        <w:t xml:space="preserve"> needs or corporate purposes. In addition, any future disruptions, uncertainty or volatility in financial and insurance markets could also adversely affect our ability to obtain Performance Bonds and may result in higher funding costs.</w:t>
      </w:r>
    </w:p>
    <w:p w:rsidR="00000000" w:rsidRDefault="00AE54EE">
      <w:pPr>
        <w:ind w:firstLine="450"/>
        <w:jc w:val="center"/>
        <w:divId w:val="1367558681"/>
        <w:rPr>
          <w:rFonts w:eastAsia="Times New Roman"/>
        </w:rPr>
      </w:pPr>
      <w:r>
        <w:rPr>
          <w:rFonts w:eastAsia="Times New Roman"/>
          <w:color w:val="000000"/>
          <w:sz w:val="20"/>
          <w:szCs w:val="20"/>
        </w:rPr>
        <w:t>53</w:t>
      </w:r>
    </w:p>
    <w:p w:rsidR="00000000" w:rsidRDefault="00AE54EE">
      <w:pPr>
        <w:rPr>
          <w:rFonts w:eastAsia="Times New Roman"/>
        </w:rPr>
      </w:pPr>
      <w:r>
        <w:rPr>
          <w:rFonts w:eastAsia="Times New Roman"/>
        </w:rPr>
        <w:pict>
          <v:rect id="_x0000_i1081" style="width:0;height:1.5pt" o:hralign="center" o:hrstd="t" o:hr="t" fillcolor="#a0a0a0" stroked="f"/>
        </w:pict>
      </w:r>
    </w:p>
    <w:p w:rsidR="00000000" w:rsidRDefault="00AE54EE">
      <w:pPr>
        <w:ind w:firstLine="450"/>
        <w:divId w:val="86393436"/>
        <w:rPr>
          <w:rFonts w:eastAsia="Times New Roman"/>
        </w:rPr>
      </w:pPr>
    </w:p>
    <w:p w:rsidR="00000000" w:rsidRDefault="00AE54EE">
      <w:pPr>
        <w:divId w:val="331420744"/>
        <w:rPr>
          <w:rFonts w:eastAsia="Times New Roman"/>
        </w:rPr>
      </w:pPr>
      <w:r>
        <w:rPr>
          <w:rFonts w:eastAsia="Times New Roman"/>
          <w:b/>
          <w:bCs/>
          <w:color w:val="000000"/>
          <w:sz w:val="20"/>
          <w:szCs w:val="20"/>
        </w:rPr>
        <w:t>Financial Risk Management</w:t>
      </w:r>
    </w:p>
    <w:p w:rsidR="00000000" w:rsidRDefault="00AE54EE">
      <w:pPr>
        <w:ind w:firstLine="450"/>
        <w:divId w:val="275449291"/>
        <w:rPr>
          <w:rFonts w:eastAsia="Times New Roman"/>
        </w:rPr>
      </w:pPr>
      <w:r>
        <w:rPr>
          <w:rFonts w:eastAsia="Times New Roman"/>
          <w:color w:val="000000"/>
          <w:sz w:val="20"/>
          <w:szCs w:val="20"/>
        </w:rPr>
        <w:t>In the normal course of business, we are exposed to risks associated with foreign currency exchange rates and changes in interest rates. We employ established policies and procedures governing</w:t>
      </w:r>
      <w:r>
        <w:rPr>
          <w:rFonts w:eastAsia="Times New Roman"/>
          <w:color w:val="000000"/>
          <w:sz w:val="20"/>
          <w:szCs w:val="20"/>
        </w:rPr>
        <w:t xml:space="preserve"> the use of financial instruments to manage our exposure to such risks.</w:t>
      </w:r>
    </w:p>
    <w:p w:rsidR="00000000" w:rsidRDefault="00AE54EE">
      <w:pPr>
        <w:ind w:firstLine="450"/>
        <w:divId w:val="1215652738"/>
        <w:rPr>
          <w:rFonts w:eastAsia="Times New Roman"/>
        </w:rPr>
      </w:pPr>
      <w:r>
        <w:rPr>
          <w:rFonts w:eastAsia="Times New Roman"/>
          <w:b/>
          <w:bCs/>
          <w:i/>
          <w:iCs/>
          <w:color w:val="000000"/>
          <w:sz w:val="20"/>
          <w:szCs w:val="20"/>
        </w:rPr>
        <w:t>Foreign Exchange and Currency:</w:t>
      </w:r>
      <w:r>
        <w:rPr>
          <w:rFonts w:eastAsia="Times New Roman"/>
          <w:color w:val="000000"/>
          <w:sz w:val="20"/>
          <w:szCs w:val="20"/>
        </w:rPr>
        <w:t> Our U.S. and foreign businesses enter into contracts with customers, subcontractors or vendors that are denominated in currencies other than functional c</w:t>
      </w:r>
      <w:r>
        <w:rPr>
          <w:rFonts w:eastAsia="Times New Roman"/>
          <w:color w:val="000000"/>
          <w:sz w:val="20"/>
          <w:szCs w:val="20"/>
        </w:rPr>
        <w:t>urrencies of such businesses. We use foreign currency forward contracts and options to hedge both balance sheet and off-balance sheet future foreign currency commitments. Factors that could impact the effectiveness of our hedging programs for foreign curre</w:t>
      </w:r>
      <w:r>
        <w:rPr>
          <w:rFonts w:eastAsia="Times New Roman"/>
          <w:color w:val="000000"/>
          <w:sz w:val="20"/>
          <w:szCs w:val="20"/>
        </w:rPr>
        <w:t>ncy include accuracy of sales estimates, volatility of currency markets and the cost and availability of hedging instruments. A 10 percent change in currency exchange rates for our foreign currency derivatives held at December 31, 2021 would not have had a</w:t>
      </w:r>
      <w:r>
        <w:rPr>
          <w:rFonts w:eastAsia="Times New Roman"/>
          <w:color w:val="000000"/>
          <w:sz w:val="20"/>
          <w:szCs w:val="20"/>
        </w:rPr>
        <w:t xml:space="preserve"> material impact on the fair value of such instruments or our results of operations or cash flows. This quantification of exposure to the market risk associated with foreign currency financial instruments does not take into account the offsetting impact of</w:t>
      </w:r>
      <w:r>
        <w:rPr>
          <w:rFonts w:eastAsia="Times New Roman"/>
          <w:color w:val="000000"/>
          <w:sz w:val="20"/>
          <w:szCs w:val="20"/>
        </w:rPr>
        <w:t xml:space="preserve"> changes in the fair value of our foreign denominated assets, liabilities and firm commitments. See </w:t>
      </w:r>
      <w:r>
        <w:rPr>
          <w:rFonts w:eastAsia="Times New Roman"/>
          <w:i/>
          <w:iCs/>
          <w:color w:val="000000"/>
          <w:sz w:val="20"/>
          <w:szCs w:val="20"/>
        </w:rPr>
        <w:t>Note 19: Derivative Instruments and Hedging Activities</w:t>
      </w:r>
      <w:r>
        <w:rPr>
          <w:rFonts w:eastAsia="Times New Roman"/>
          <w:color w:val="000000"/>
          <w:sz w:val="20"/>
          <w:szCs w:val="20"/>
        </w:rPr>
        <w:t xml:space="preserve"> in the Notes for additional information.</w:t>
      </w:r>
    </w:p>
    <w:p w:rsidR="00000000" w:rsidRDefault="00AE54EE">
      <w:pPr>
        <w:ind w:firstLine="450"/>
        <w:divId w:val="154418649"/>
        <w:rPr>
          <w:rFonts w:eastAsia="Times New Roman"/>
        </w:rPr>
      </w:pPr>
      <w:r>
        <w:rPr>
          <w:rFonts w:eastAsia="Times New Roman"/>
          <w:b/>
          <w:bCs/>
          <w:i/>
          <w:iCs/>
          <w:color w:val="000000"/>
          <w:sz w:val="20"/>
          <w:szCs w:val="20"/>
        </w:rPr>
        <w:t>Interest Rates:</w:t>
      </w:r>
      <w:r>
        <w:rPr>
          <w:rFonts w:eastAsia="Times New Roman"/>
          <w:color w:val="000000"/>
          <w:sz w:val="20"/>
          <w:szCs w:val="20"/>
        </w:rPr>
        <w:t> As of December 31, 2021, we had long-term fi</w:t>
      </w:r>
      <w:r>
        <w:rPr>
          <w:rFonts w:eastAsia="Times New Roman"/>
          <w:color w:val="000000"/>
          <w:sz w:val="20"/>
          <w:szCs w:val="20"/>
        </w:rPr>
        <w:t xml:space="preserve">xed-rate debt obligations. The fair value of these obligations is impacted by changes in interest rates; however, a 10 percent change in interest rates for our long-term fixed-rate debt obligations at December 31, 2021 would not have had a material impact </w:t>
      </w:r>
      <w:r>
        <w:rPr>
          <w:rFonts w:eastAsia="Times New Roman"/>
          <w:color w:val="000000"/>
          <w:sz w:val="20"/>
          <w:szCs w:val="20"/>
        </w:rPr>
        <w:t>on the fair value of these obligations. There is no interest-rate risk associated with long-term fixed-rate debt obligations on our results of operations and cash flows unless existing obligations are refinanced upon maturity at then-current interest rates</w:t>
      </w:r>
      <w:r>
        <w:rPr>
          <w:rFonts w:eastAsia="Times New Roman"/>
          <w:color w:val="000000"/>
          <w:sz w:val="20"/>
          <w:szCs w:val="20"/>
        </w:rPr>
        <w:t>, because the interest rates are fixed until maturity, and because our long-term fixed-rate debt is not putable to us (i.e., not required to be redeemed by us prior to maturity). We can give no assurances, however, that interest rates will not change signi</w:t>
      </w:r>
      <w:r>
        <w:rPr>
          <w:rFonts w:eastAsia="Times New Roman"/>
          <w:color w:val="000000"/>
          <w:sz w:val="20"/>
          <w:szCs w:val="20"/>
        </w:rPr>
        <w:t xml:space="preserve">ficantly or have a material effect on the fair value of our long-term fixed-rate debt obligations over the next twelve months. See </w:t>
      </w:r>
      <w:r>
        <w:rPr>
          <w:rFonts w:eastAsia="Times New Roman"/>
          <w:i/>
          <w:iCs/>
          <w:color w:val="000000"/>
          <w:sz w:val="20"/>
          <w:szCs w:val="20"/>
        </w:rPr>
        <w:t>Note 13: Debt</w:t>
      </w:r>
      <w:r>
        <w:rPr>
          <w:rFonts w:eastAsia="Times New Roman"/>
          <w:color w:val="000000"/>
          <w:sz w:val="20"/>
          <w:szCs w:val="20"/>
        </w:rPr>
        <w:t xml:space="preserve"> in the Notes for information regarding the maturities of our long-term fixed-rate debt obligations. </w:t>
      </w:r>
    </w:p>
    <w:p w:rsidR="00000000" w:rsidRDefault="00AE54EE">
      <w:pPr>
        <w:ind w:firstLine="450"/>
        <w:divId w:val="1287347827"/>
        <w:rPr>
          <w:rFonts w:eastAsia="Times New Roman"/>
        </w:rPr>
      </w:pPr>
      <w:r>
        <w:rPr>
          <w:rFonts w:eastAsia="Times New Roman"/>
          <w:color w:val="000000"/>
          <w:sz w:val="20"/>
          <w:szCs w:val="20"/>
        </w:rPr>
        <w:t>We use der</w:t>
      </w:r>
      <w:r>
        <w:rPr>
          <w:rFonts w:eastAsia="Times New Roman"/>
          <w:color w:val="000000"/>
          <w:sz w:val="20"/>
          <w:szCs w:val="20"/>
        </w:rPr>
        <w:t>ivative instruments from time to time to manage our exposure to interest rate risk associated with our anticipated issuance of new long-term fixed-rate notes to repay at maturity our existing long-term fixed-rate debt obligations. If the derivative instrum</w:t>
      </w:r>
      <w:r>
        <w:rPr>
          <w:rFonts w:eastAsia="Times New Roman"/>
          <w:color w:val="000000"/>
          <w:sz w:val="20"/>
          <w:szCs w:val="20"/>
        </w:rPr>
        <w:t>ent is designated as a cash flow hedge, gains and losses from changes in the fair value of such instrument are deferred and included as a component of accumulated other comprehensive loss and reclassified to interest expense in the period in which the hedg</w:t>
      </w:r>
      <w:r>
        <w:rPr>
          <w:rFonts w:eastAsia="Times New Roman"/>
          <w:color w:val="000000"/>
          <w:sz w:val="20"/>
          <w:szCs w:val="20"/>
        </w:rPr>
        <w:t xml:space="preserve">ed transaction affects earnings. See </w:t>
      </w:r>
      <w:r>
        <w:rPr>
          <w:rFonts w:eastAsia="Times New Roman"/>
          <w:i/>
          <w:iCs/>
          <w:color w:val="000000"/>
          <w:sz w:val="20"/>
          <w:szCs w:val="20"/>
        </w:rPr>
        <w:t>Note 19: Derivative Instruments and Hedging Activities</w:t>
      </w:r>
      <w:r>
        <w:rPr>
          <w:rFonts w:eastAsia="Times New Roman"/>
          <w:color w:val="000000"/>
          <w:sz w:val="20"/>
          <w:szCs w:val="20"/>
        </w:rPr>
        <w:t xml:space="preserve"> in the Notes for additional information.</w:t>
      </w:r>
    </w:p>
    <w:p w:rsidR="00000000" w:rsidRDefault="00AE54EE">
      <w:pPr>
        <w:ind w:firstLine="450"/>
        <w:divId w:val="2014988143"/>
        <w:rPr>
          <w:rFonts w:eastAsia="Times New Roman"/>
        </w:rPr>
      </w:pPr>
      <w:r>
        <w:rPr>
          <w:rFonts w:eastAsia="Times New Roman"/>
          <w:color w:val="000000"/>
          <w:sz w:val="20"/>
          <w:szCs w:val="20"/>
        </w:rPr>
        <w:t>At December 31, 2021, we had no outstanding treasury lock agreements (“treasury locks”). In connection with the L3Harris Me</w:t>
      </w:r>
      <w:r>
        <w:rPr>
          <w:rFonts w:eastAsia="Times New Roman"/>
          <w:color w:val="000000"/>
          <w:sz w:val="20"/>
          <w:szCs w:val="20"/>
        </w:rPr>
        <w:t>rger, we assumed two treasury locks that had been initiated in January 2019 to hedge against fluctuations in interest payments due to changes in the benchmark interest rate (10-year U.S. Treasury rate) associated with the anticipated issuance of debt to re</w:t>
      </w:r>
      <w:r>
        <w:rPr>
          <w:rFonts w:eastAsia="Times New Roman"/>
          <w:color w:val="000000"/>
          <w:sz w:val="20"/>
          <w:szCs w:val="20"/>
        </w:rPr>
        <w:t xml:space="preserve">deem or repay our 4.95% 2021 Notes. These treasury locks were terminated as planned in connection with the issuance of our 1.80% 2031 Notes during the fourth quarter of 2020, and because interest rates decreased during the period of the treasury locks, we </w:t>
      </w:r>
      <w:r>
        <w:rPr>
          <w:rFonts w:eastAsia="Times New Roman"/>
          <w:color w:val="000000"/>
          <w:sz w:val="20"/>
          <w:szCs w:val="20"/>
        </w:rPr>
        <w:t>made a $113 million cash payment to our counterparty and recorded an after-tax loss of $58 million in the “Accumulated other comprehensive loss” line item of our Consolidated Balance Sheet. The accumulated other comprehensive loss balance will be amortized</w:t>
      </w:r>
      <w:r>
        <w:rPr>
          <w:rFonts w:eastAsia="Times New Roman"/>
          <w:color w:val="000000"/>
          <w:sz w:val="20"/>
          <w:szCs w:val="20"/>
        </w:rPr>
        <w:t xml:space="preserve"> to interest expense over the life of the 1.80% 2031 Notes. We classified the cash outflow from the termination of these treasury locks as cash used in financing activities in our Consolidated Statement of Cash Flows. See </w:t>
      </w:r>
      <w:r>
        <w:rPr>
          <w:rFonts w:eastAsia="Times New Roman"/>
          <w:i/>
          <w:iCs/>
          <w:color w:val="000000"/>
          <w:sz w:val="20"/>
          <w:szCs w:val="20"/>
        </w:rPr>
        <w:t>Note 19: Derivative Instruments an</w:t>
      </w:r>
      <w:r>
        <w:rPr>
          <w:rFonts w:eastAsia="Times New Roman"/>
          <w:i/>
          <w:iCs/>
          <w:color w:val="000000"/>
          <w:sz w:val="20"/>
          <w:szCs w:val="20"/>
        </w:rPr>
        <w:t>d Hedging Activities</w:t>
      </w:r>
      <w:r>
        <w:rPr>
          <w:rFonts w:eastAsia="Times New Roman"/>
          <w:color w:val="000000"/>
          <w:sz w:val="20"/>
          <w:szCs w:val="20"/>
        </w:rPr>
        <w:t xml:space="preserve"> in the Notes for additional information.</w:t>
      </w:r>
    </w:p>
    <w:p w:rsidR="00000000" w:rsidRDefault="00AE54EE">
      <w:pPr>
        <w:ind w:firstLine="450"/>
        <w:divId w:val="2017923441"/>
        <w:rPr>
          <w:rFonts w:eastAsia="Times New Roman"/>
        </w:rPr>
      </w:pPr>
      <w:r>
        <w:rPr>
          <w:rFonts w:eastAsia="Times New Roman"/>
          <w:color w:val="000000"/>
          <w:sz w:val="20"/>
          <w:szCs w:val="20"/>
        </w:rPr>
        <w:t xml:space="preserve">At December 31, 2021, we also had long-term variable-rate debt obligations of $250 million of Floating Rate Notes due March 10, 2023. These debt obligations bear interest that is variable based </w:t>
      </w:r>
      <w:r>
        <w:rPr>
          <w:rFonts w:eastAsia="Times New Roman"/>
          <w:color w:val="000000"/>
          <w:sz w:val="20"/>
          <w:szCs w:val="20"/>
        </w:rPr>
        <w:t xml:space="preserve">on certain short-term indices, thus exposing us to interest-rate risk; however, a 10 percent change in interest rates for these debt obligations at December 31, 2021 would not have had a material impact on our results of operations or cash flows. See </w:t>
      </w:r>
      <w:r>
        <w:rPr>
          <w:rFonts w:eastAsia="Times New Roman"/>
          <w:i/>
          <w:iCs/>
          <w:color w:val="000000"/>
          <w:sz w:val="20"/>
          <w:szCs w:val="20"/>
        </w:rPr>
        <w:t xml:space="preserve">Note </w:t>
      </w:r>
      <w:r>
        <w:rPr>
          <w:rFonts w:eastAsia="Times New Roman"/>
          <w:i/>
          <w:iCs/>
          <w:color w:val="000000"/>
          <w:sz w:val="20"/>
          <w:szCs w:val="20"/>
        </w:rPr>
        <w:t xml:space="preserve">13: Debt </w:t>
      </w:r>
      <w:r>
        <w:rPr>
          <w:rFonts w:eastAsia="Times New Roman"/>
          <w:color w:val="000000"/>
          <w:sz w:val="20"/>
          <w:szCs w:val="20"/>
        </w:rPr>
        <w:t>in the Notes</w:t>
      </w:r>
      <w:r>
        <w:rPr>
          <w:rFonts w:eastAsia="Times New Roman"/>
          <w:i/>
          <w:iCs/>
          <w:color w:val="000000"/>
          <w:sz w:val="20"/>
          <w:szCs w:val="20"/>
        </w:rPr>
        <w:t xml:space="preserve"> </w:t>
      </w:r>
      <w:r>
        <w:rPr>
          <w:rFonts w:eastAsia="Times New Roman"/>
          <w:color w:val="000000"/>
          <w:sz w:val="20"/>
          <w:szCs w:val="20"/>
        </w:rPr>
        <w:t>for further information.</w:t>
      </w:r>
    </w:p>
    <w:p w:rsidR="00000000" w:rsidRDefault="00AE54EE">
      <w:pPr>
        <w:ind w:firstLine="450"/>
        <w:divId w:val="958681479"/>
        <w:rPr>
          <w:rFonts w:eastAsia="Times New Roman"/>
        </w:rPr>
      </w:pPr>
      <w:r>
        <w:rPr>
          <w:rFonts w:eastAsia="Times New Roman"/>
          <w:color w:val="000000"/>
          <w:sz w:val="20"/>
          <w:szCs w:val="20"/>
        </w:rPr>
        <w:t xml:space="preserve">We have also used short-term variable-rate debt borrowings, primarily under our commercial paper program, which are subject to interest rate risk. We utilize our commercial paper program to satisfy short-term </w:t>
      </w:r>
      <w:r>
        <w:rPr>
          <w:rFonts w:eastAsia="Times New Roman"/>
          <w:color w:val="000000"/>
          <w:sz w:val="20"/>
          <w:szCs w:val="20"/>
        </w:rPr>
        <w:t>cash requirements, including bridge financing for strategic acquisitions until longer-term financing arrangements are put in place, temporarily funding repurchases under our share repurchase programs and temporarily funding redemption of long-term debt. Th</w:t>
      </w:r>
      <w:r>
        <w:rPr>
          <w:rFonts w:eastAsia="Times New Roman"/>
          <w:color w:val="000000"/>
          <w:sz w:val="20"/>
          <w:szCs w:val="20"/>
        </w:rPr>
        <w:t>e interest rate risk associated with such debt on our results of operations and cash flows is not material due to its temporary nature.</w:t>
      </w:r>
    </w:p>
    <w:p w:rsidR="00000000" w:rsidRDefault="00AE54EE">
      <w:pPr>
        <w:divId w:val="1360862917"/>
        <w:rPr>
          <w:rFonts w:eastAsia="Times New Roman"/>
        </w:rPr>
      </w:pPr>
      <w:r>
        <w:rPr>
          <w:rFonts w:eastAsia="Times New Roman"/>
          <w:b/>
          <w:bCs/>
          <w:color w:val="000000"/>
          <w:sz w:val="20"/>
          <w:szCs w:val="20"/>
        </w:rPr>
        <w:t>Impact of Foreign Exchange</w:t>
      </w:r>
    </w:p>
    <w:p w:rsidR="00000000" w:rsidRDefault="00AE54EE">
      <w:pPr>
        <w:ind w:firstLine="450"/>
        <w:divId w:val="90400115"/>
        <w:rPr>
          <w:rFonts w:eastAsia="Times New Roman"/>
        </w:rPr>
      </w:pPr>
      <w:r>
        <w:rPr>
          <w:rFonts w:eastAsia="Times New Roman"/>
          <w:color w:val="000000"/>
          <w:sz w:val="20"/>
          <w:szCs w:val="20"/>
        </w:rPr>
        <w:t>In fiscal 2021, 40 percent of our international business was transacted in local currency environments compared with 32 percent in fiscal 2020, 40 percent in the two quarters ended January 3, 2020 and 18 percent in fiscal 2019. The impact of translating th</w:t>
      </w:r>
      <w:r>
        <w:rPr>
          <w:rFonts w:eastAsia="Times New Roman"/>
          <w:color w:val="000000"/>
          <w:sz w:val="20"/>
          <w:szCs w:val="20"/>
        </w:rPr>
        <w:t>e assets and liabilities of these operations to U.S. Dollars is included as a component of shareholders’ equity. As of December 31, 2021, the cumulative foreign currency translation adjustment included in shareholders’ equity was a $118 million loss compar</w:t>
      </w:r>
      <w:r>
        <w:rPr>
          <w:rFonts w:eastAsia="Times New Roman"/>
          <w:color w:val="000000"/>
          <w:sz w:val="20"/>
          <w:szCs w:val="20"/>
        </w:rPr>
        <w:t xml:space="preserve">ed with a $58 million loss at January 1, 2021. We utilize foreign currency hedging instruments to minimize the </w:t>
      </w:r>
    </w:p>
    <w:p w:rsidR="00000000" w:rsidRDefault="00AE54EE">
      <w:pPr>
        <w:ind w:firstLine="450"/>
        <w:jc w:val="center"/>
        <w:divId w:val="264657821"/>
        <w:rPr>
          <w:rFonts w:eastAsia="Times New Roman"/>
        </w:rPr>
      </w:pPr>
      <w:r>
        <w:rPr>
          <w:rFonts w:eastAsia="Times New Roman"/>
          <w:color w:val="000000"/>
          <w:sz w:val="20"/>
          <w:szCs w:val="20"/>
        </w:rPr>
        <w:t>54</w:t>
      </w:r>
    </w:p>
    <w:p w:rsidR="00000000" w:rsidRDefault="00AE54EE">
      <w:pPr>
        <w:rPr>
          <w:rFonts w:eastAsia="Times New Roman"/>
        </w:rPr>
      </w:pPr>
      <w:r>
        <w:rPr>
          <w:rFonts w:eastAsia="Times New Roman"/>
        </w:rPr>
        <w:pict>
          <v:rect id="_x0000_i1082" style="width:0;height:1.5pt" o:hralign="center" o:hrstd="t" o:hr="t" fillcolor="#a0a0a0" stroked="f"/>
        </w:pict>
      </w:r>
    </w:p>
    <w:p w:rsidR="00000000" w:rsidRDefault="00AE54EE">
      <w:pPr>
        <w:ind w:firstLine="450"/>
        <w:divId w:val="1313564567"/>
        <w:rPr>
          <w:rFonts w:eastAsia="Times New Roman"/>
        </w:rPr>
      </w:pPr>
    </w:p>
    <w:p w:rsidR="00000000" w:rsidRDefault="00AE54EE">
      <w:pPr>
        <w:divId w:val="367528321"/>
        <w:rPr>
          <w:rFonts w:eastAsia="Times New Roman"/>
        </w:rPr>
      </w:pPr>
      <w:r>
        <w:rPr>
          <w:rFonts w:eastAsia="Times New Roman"/>
          <w:color w:val="000000"/>
          <w:sz w:val="20"/>
          <w:szCs w:val="20"/>
        </w:rPr>
        <w:t>currency risk of international transactions. Gains and losses resulting from currency rate fluctuation</w:t>
      </w:r>
      <w:r>
        <w:rPr>
          <w:rFonts w:eastAsia="Times New Roman"/>
          <w:color w:val="000000"/>
          <w:sz w:val="20"/>
          <w:szCs w:val="20"/>
        </w:rPr>
        <w:t>s did not have a material effect on our results in fiscal 2021 or 2020, the two quarters ended January 3, 2020 or fiscal 2019.</w:t>
      </w:r>
    </w:p>
    <w:p w:rsidR="00000000" w:rsidRDefault="00AE54EE">
      <w:pPr>
        <w:divId w:val="727191958"/>
        <w:rPr>
          <w:rFonts w:eastAsia="Times New Roman"/>
        </w:rPr>
      </w:pPr>
      <w:r>
        <w:rPr>
          <w:rFonts w:eastAsia="Times New Roman"/>
          <w:b/>
          <w:bCs/>
          <w:color w:val="000000"/>
          <w:sz w:val="20"/>
          <w:szCs w:val="20"/>
        </w:rPr>
        <w:t>Impact of Inflation</w:t>
      </w:r>
    </w:p>
    <w:p w:rsidR="00000000" w:rsidRDefault="00AE54EE">
      <w:pPr>
        <w:ind w:firstLine="450"/>
        <w:divId w:val="647438954"/>
        <w:rPr>
          <w:rFonts w:eastAsia="Times New Roman"/>
        </w:rPr>
      </w:pPr>
      <w:r>
        <w:rPr>
          <w:rFonts w:eastAsia="Times New Roman"/>
          <w:color w:val="000000"/>
          <w:sz w:val="20"/>
          <w:szCs w:val="20"/>
        </w:rPr>
        <w:t>To the extent feasible, we have consistently followed the practice of adjusting our prices to reflect the imp</w:t>
      </w:r>
      <w:r>
        <w:rPr>
          <w:rFonts w:eastAsia="Times New Roman"/>
          <w:color w:val="000000"/>
          <w:sz w:val="20"/>
          <w:szCs w:val="20"/>
        </w:rPr>
        <w:t>act of inflation on salaries and fringe benefits for employees and the cost of purchased materials and services. While recent reports show a sharp increase in inflation in late 2021, inflation and changing prices did not have a significantly adverse impact</w:t>
      </w:r>
      <w:r>
        <w:rPr>
          <w:rFonts w:eastAsia="Times New Roman"/>
          <w:color w:val="000000"/>
          <w:sz w:val="20"/>
          <w:szCs w:val="20"/>
        </w:rPr>
        <w:t xml:space="preserve"> our gross margin, revenue or operating income in fiscal 2021 or 2020, the two quarters ended January 3, 2020 or fiscal 2019. However, our fixed-price contracts could subject us to losses in the event of a significant increase in inflation. See “Item 1A. R</w:t>
      </w:r>
      <w:r>
        <w:rPr>
          <w:rFonts w:eastAsia="Times New Roman"/>
          <w:color w:val="000000"/>
          <w:sz w:val="20"/>
          <w:szCs w:val="20"/>
        </w:rPr>
        <w:t>isk Factors” of this Report for more information regarding the risk of inflation to our business.</w:t>
      </w:r>
    </w:p>
    <w:p w:rsidR="00000000" w:rsidRDefault="00AE54EE">
      <w:pPr>
        <w:divId w:val="1618682122"/>
        <w:rPr>
          <w:rFonts w:eastAsia="Times New Roman"/>
        </w:rPr>
      </w:pPr>
      <w:r>
        <w:rPr>
          <w:rFonts w:eastAsia="Times New Roman"/>
          <w:b/>
          <w:bCs/>
          <w:color w:val="000000"/>
          <w:sz w:val="20"/>
          <w:szCs w:val="20"/>
        </w:rPr>
        <w:t>CRITICAL ACCOUNTING POLICIES AND ESTIMATES</w:t>
      </w:r>
    </w:p>
    <w:p w:rsidR="00000000" w:rsidRDefault="00AE54EE">
      <w:pPr>
        <w:ind w:firstLine="450"/>
        <w:divId w:val="526911223"/>
        <w:rPr>
          <w:rFonts w:eastAsia="Times New Roman"/>
        </w:rPr>
      </w:pPr>
      <w:r>
        <w:rPr>
          <w:rFonts w:eastAsia="Times New Roman"/>
          <w:color w:val="000000"/>
          <w:sz w:val="20"/>
          <w:szCs w:val="20"/>
        </w:rPr>
        <w:t>The following is not intended to be a comprehensive list of our accounting policies or estimates. Our significant a</w:t>
      </w:r>
      <w:r>
        <w:rPr>
          <w:rFonts w:eastAsia="Times New Roman"/>
          <w:color w:val="000000"/>
          <w:sz w:val="20"/>
          <w:szCs w:val="20"/>
        </w:rPr>
        <w:t xml:space="preserve">ccounting policies are more fully described in </w:t>
      </w:r>
      <w:r>
        <w:rPr>
          <w:rFonts w:eastAsia="Times New Roman"/>
          <w:i/>
          <w:iCs/>
          <w:color w:val="000000"/>
          <w:sz w:val="20"/>
          <w:szCs w:val="20"/>
        </w:rPr>
        <w:t>Note 1: Significant Accounting Policies</w:t>
      </w:r>
      <w:r>
        <w:rPr>
          <w:rFonts w:eastAsia="Times New Roman"/>
          <w:color w:val="000000"/>
          <w:sz w:val="20"/>
          <w:szCs w:val="20"/>
        </w:rPr>
        <w:t xml:space="preserve"> in the Notes. In preparing our financial statements and accounting for the underlying transactions and balances, we apply our accounting policies and estimates as disclo</w:t>
      </w:r>
      <w:r>
        <w:rPr>
          <w:rFonts w:eastAsia="Times New Roman"/>
          <w:color w:val="000000"/>
          <w:sz w:val="20"/>
          <w:szCs w:val="20"/>
        </w:rPr>
        <w:t>sed in the Notes. We consider the policies and estimates discussed below as critical to an understanding of our financial statements because their application places the most significant demands on our judgment, with financial reporting results dependent o</w:t>
      </w:r>
      <w:r>
        <w:rPr>
          <w:rFonts w:eastAsia="Times New Roman"/>
          <w:color w:val="000000"/>
          <w:sz w:val="20"/>
          <w:szCs w:val="20"/>
        </w:rPr>
        <w:t>n estimates about the effect of matters that are inherently uncertain and may change in subsequent periods. Specific risks for these critical accounting estimates are described in the following paragraphs. The impact and any associated risks related to the</w:t>
      </w:r>
      <w:r>
        <w:rPr>
          <w:rFonts w:eastAsia="Times New Roman"/>
          <w:color w:val="000000"/>
          <w:sz w:val="20"/>
          <w:szCs w:val="20"/>
        </w:rPr>
        <w:t>se estimates on our business operations are discussed throughout this MD&amp;A where such estimates affect our reported and expected financial results. Senior management has discussed the development and selection of the critical accounting policies and estima</w:t>
      </w:r>
      <w:r>
        <w:rPr>
          <w:rFonts w:eastAsia="Times New Roman"/>
          <w:color w:val="000000"/>
          <w:sz w:val="20"/>
          <w:szCs w:val="20"/>
        </w:rPr>
        <w:t>tes and the related disclosure included herein with the Audit Committee of our Board of Directors. Preparation of this Report requires us to make estimates and assumptions that affect the reported amount of assets, liabilities, revenue, expenses and backlo</w:t>
      </w:r>
      <w:r>
        <w:rPr>
          <w:rFonts w:eastAsia="Times New Roman"/>
          <w:color w:val="000000"/>
          <w:sz w:val="20"/>
          <w:szCs w:val="20"/>
        </w:rPr>
        <w:t>g as well as disclosure of contingent assets and liabilities. Actual results may differ from those estimates.</w:t>
      </w:r>
    </w:p>
    <w:p w:rsidR="00000000" w:rsidRDefault="00AE54EE">
      <w:pPr>
        <w:ind w:firstLine="450"/>
        <w:divId w:val="940188282"/>
        <w:rPr>
          <w:rFonts w:eastAsia="Times New Roman"/>
        </w:rPr>
      </w:pPr>
      <w:r>
        <w:rPr>
          <w:rFonts w:eastAsia="Times New Roman"/>
          <w:color w:val="000000"/>
          <w:sz w:val="20"/>
          <w:szCs w:val="20"/>
        </w:rPr>
        <w:t>Besides estimates that meet the “critical” accounting estimate criteria, we make many other accounting estimates in preparing our financial statem</w:t>
      </w:r>
      <w:r>
        <w:rPr>
          <w:rFonts w:eastAsia="Times New Roman"/>
          <w:color w:val="000000"/>
          <w:sz w:val="20"/>
          <w:szCs w:val="20"/>
        </w:rPr>
        <w:t>ents and related disclosures. All estimates, whether or not deemed “critical,” affect reported amounts of assets, liabilities, revenue and expenses as well as disclosures of contingent assets and liabilities. Estimates are based on experience and other inf</w:t>
      </w:r>
      <w:r>
        <w:rPr>
          <w:rFonts w:eastAsia="Times New Roman"/>
          <w:color w:val="000000"/>
          <w:sz w:val="20"/>
          <w:szCs w:val="20"/>
        </w:rPr>
        <w:t>ormation available prior to the issuance of the financial statements. Materially different results can occur as circumstances change and additional information becomes known, including for estimates that we do not deem “critical.”</w:t>
      </w:r>
    </w:p>
    <w:p w:rsidR="00000000" w:rsidRDefault="00AE54EE">
      <w:pPr>
        <w:divId w:val="1189026488"/>
        <w:rPr>
          <w:rFonts w:eastAsia="Times New Roman"/>
        </w:rPr>
      </w:pPr>
      <w:r>
        <w:rPr>
          <w:rFonts w:eastAsia="Times New Roman"/>
          <w:b/>
          <w:bCs/>
          <w:color w:val="000000"/>
          <w:sz w:val="20"/>
          <w:szCs w:val="20"/>
        </w:rPr>
        <w:t>Revenue Recognition</w:t>
      </w:r>
    </w:p>
    <w:p w:rsidR="00000000" w:rsidRDefault="00AE54EE">
      <w:pPr>
        <w:ind w:firstLine="450"/>
        <w:divId w:val="376202160"/>
        <w:rPr>
          <w:rFonts w:eastAsia="Times New Roman"/>
        </w:rPr>
      </w:pPr>
      <w:r>
        <w:rPr>
          <w:rFonts w:eastAsia="Times New Roman"/>
          <w:color w:val="000000"/>
          <w:sz w:val="20"/>
          <w:szCs w:val="20"/>
        </w:rPr>
        <w:t>A sig</w:t>
      </w:r>
      <w:r>
        <w:rPr>
          <w:rFonts w:eastAsia="Times New Roman"/>
          <w:color w:val="000000"/>
          <w:sz w:val="20"/>
          <w:szCs w:val="20"/>
        </w:rPr>
        <w:t xml:space="preserve">nificant portion of our business is derived from development and production contracts. Revenue and profit related to development and production contracts are generally recognized over time, typically using the percentage of completion (“POC”) cost-to-cost </w:t>
      </w:r>
      <w:r>
        <w:rPr>
          <w:rFonts w:eastAsia="Times New Roman"/>
          <w:color w:val="000000"/>
          <w:sz w:val="20"/>
          <w:szCs w:val="20"/>
        </w:rPr>
        <w:t>method of revenue recognition, whereby we measure our progress towards completion of the performance obligation based on the ratio of costs incurred to date to estimated costs at completion under the contract. Because costs incurred represent work performe</w:t>
      </w:r>
      <w:r>
        <w:rPr>
          <w:rFonts w:eastAsia="Times New Roman"/>
          <w:color w:val="000000"/>
          <w:sz w:val="20"/>
          <w:szCs w:val="20"/>
        </w:rPr>
        <w:t>d, we believe this method best depicts the transfer of control of the asset to the customer. Under the POC cost-to-cost method of revenue recognition, a single estimated profit margin is used to recognize profit for each performance obligation over its per</w:t>
      </w:r>
      <w:r>
        <w:rPr>
          <w:rFonts w:eastAsia="Times New Roman"/>
          <w:color w:val="000000"/>
          <w:sz w:val="20"/>
          <w:szCs w:val="20"/>
        </w:rPr>
        <w:t>iod of performance. Recognition of profit on a contract requires estimates of the total cost at completion and transaction price and the measurement of progress towards completion. Due to the long-term nature of many of our contracts, developing the estima</w:t>
      </w:r>
      <w:r>
        <w:rPr>
          <w:rFonts w:eastAsia="Times New Roman"/>
          <w:color w:val="000000"/>
          <w:sz w:val="20"/>
          <w:szCs w:val="20"/>
        </w:rPr>
        <w:t>ted total cost at completion and total transaction price often requires judgment. Factors that must be considered in estimating the cost of the work to be completed include: the nature and complexity of the work to be performed, subcontractor performance a</w:t>
      </w:r>
      <w:r>
        <w:rPr>
          <w:rFonts w:eastAsia="Times New Roman"/>
          <w:color w:val="000000"/>
          <w:sz w:val="20"/>
          <w:szCs w:val="20"/>
        </w:rPr>
        <w:t>nd the risk and impact of delayed performance. Factors that must be considered in estimating the total transaction price include contractual cost or performance incentives (such as incentive fees, award fees and penalties) and other forms of variable consi</w:t>
      </w:r>
      <w:r>
        <w:rPr>
          <w:rFonts w:eastAsia="Times New Roman"/>
          <w:color w:val="000000"/>
          <w:sz w:val="20"/>
          <w:szCs w:val="20"/>
        </w:rPr>
        <w:t xml:space="preserve">deration as well as our historical experience and our expectation for performance on the contract. These variable amounts generally are awarded upon achievement of certain negotiated performance metrics, program milestones or cost targets and can be based </w:t>
      </w:r>
      <w:r>
        <w:rPr>
          <w:rFonts w:eastAsia="Times New Roman"/>
          <w:color w:val="000000"/>
          <w:sz w:val="20"/>
          <w:szCs w:val="20"/>
        </w:rPr>
        <w:t>upon customer discretion. We include such estimated amounts in the transaction price to the extent it is probable that a significant reversal of cumulative revenue recognized will not occur when the uncertainty associated with the variable consideration is</w:t>
      </w:r>
      <w:r>
        <w:rPr>
          <w:rFonts w:eastAsia="Times New Roman"/>
          <w:color w:val="000000"/>
          <w:sz w:val="20"/>
          <w:szCs w:val="20"/>
        </w:rPr>
        <w:t xml:space="preserve"> resolved.</w:t>
      </w:r>
    </w:p>
    <w:p w:rsidR="00000000" w:rsidRDefault="00AE54EE">
      <w:pPr>
        <w:ind w:firstLine="450"/>
        <w:divId w:val="2020886678"/>
        <w:rPr>
          <w:rFonts w:eastAsia="Times New Roman"/>
        </w:rPr>
      </w:pPr>
      <w:r>
        <w:rPr>
          <w:rFonts w:eastAsia="Times New Roman"/>
          <w:color w:val="000000"/>
          <w:sz w:val="20"/>
          <w:szCs w:val="20"/>
        </w:rPr>
        <w:t>At the outset of each contract, we gauge its complexity and perceived risks and establish an estimated total cost at completion in line with these expectations. After establishing the estimated total cost at completion, we follow a standard esti</w:t>
      </w:r>
      <w:r>
        <w:rPr>
          <w:rFonts w:eastAsia="Times New Roman"/>
          <w:color w:val="000000"/>
          <w:sz w:val="20"/>
          <w:szCs w:val="20"/>
        </w:rPr>
        <w:t xml:space="preserve">mate at completion (“EAC”) process in which we review the progress and performance on our ongoing contracts at least quarterly and, in many cases, more frequently. If we successfully retire risks associated with the technical, schedule and cost aspects of </w:t>
      </w:r>
      <w:r>
        <w:rPr>
          <w:rFonts w:eastAsia="Times New Roman"/>
          <w:color w:val="000000"/>
          <w:sz w:val="20"/>
          <w:szCs w:val="20"/>
        </w:rPr>
        <w:t>a contract, we may lower our estimated total cost at completion commensurate with the retirement of these risks. Conversely, if we are not successful in retiring these risks, we may increase our estimated total cost at completion. Additionally, as the cont</w:t>
      </w:r>
      <w:r>
        <w:rPr>
          <w:rFonts w:eastAsia="Times New Roman"/>
          <w:color w:val="000000"/>
          <w:sz w:val="20"/>
          <w:szCs w:val="20"/>
        </w:rPr>
        <w:t>ract progresses, our estimates of total transaction price may increase or decrease if, for example, we receive award fees that are higher or lower than expected. When adjustments in estimated total costs at completion or in estimated total transaction pric</w:t>
      </w:r>
      <w:r>
        <w:rPr>
          <w:rFonts w:eastAsia="Times New Roman"/>
          <w:color w:val="000000"/>
          <w:sz w:val="20"/>
          <w:szCs w:val="20"/>
        </w:rPr>
        <w:t xml:space="preserve">e are determined, the related impact on operating income is recognized using the cumulative catch-up method, which recognizes in the </w:t>
      </w:r>
    </w:p>
    <w:p w:rsidR="00000000" w:rsidRDefault="00AE54EE">
      <w:pPr>
        <w:ind w:firstLine="450"/>
        <w:jc w:val="center"/>
        <w:divId w:val="889878159"/>
        <w:rPr>
          <w:rFonts w:eastAsia="Times New Roman"/>
        </w:rPr>
      </w:pPr>
      <w:r>
        <w:rPr>
          <w:rFonts w:eastAsia="Times New Roman"/>
          <w:color w:val="000000"/>
          <w:sz w:val="20"/>
          <w:szCs w:val="20"/>
        </w:rPr>
        <w:t>55</w:t>
      </w:r>
    </w:p>
    <w:p w:rsidR="00000000" w:rsidRDefault="00AE54EE">
      <w:pPr>
        <w:rPr>
          <w:rFonts w:eastAsia="Times New Roman"/>
        </w:rPr>
      </w:pPr>
      <w:r>
        <w:rPr>
          <w:rFonts w:eastAsia="Times New Roman"/>
        </w:rPr>
        <w:pict>
          <v:rect id="_x0000_i1083" style="width:0;height:1.5pt" o:hralign="center" o:hrstd="t" o:hr="t" fillcolor="#a0a0a0" stroked="f"/>
        </w:pict>
      </w:r>
    </w:p>
    <w:p w:rsidR="00000000" w:rsidRDefault="00AE54EE">
      <w:pPr>
        <w:ind w:firstLine="450"/>
        <w:divId w:val="1469779782"/>
        <w:rPr>
          <w:rFonts w:eastAsia="Times New Roman"/>
        </w:rPr>
      </w:pPr>
    </w:p>
    <w:p w:rsidR="00000000" w:rsidRDefault="00AE54EE">
      <w:pPr>
        <w:divId w:val="2045979971"/>
        <w:rPr>
          <w:rFonts w:eastAsia="Times New Roman"/>
        </w:rPr>
      </w:pPr>
      <w:r>
        <w:rPr>
          <w:rFonts w:eastAsia="Times New Roman"/>
          <w:color w:val="000000"/>
          <w:sz w:val="20"/>
          <w:szCs w:val="20"/>
        </w:rPr>
        <w:t>current period the cumulative effect of such adjustments for all prior periods. Any anticipated losses on these contracts are fully recognized in the period in which the losses become evident.</w:t>
      </w:r>
    </w:p>
    <w:p w:rsidR="00000000" w:rsidRDefault="00AE54EE">
      <w:pPr>
        <w:ind w:firstLine="450"/>
        <w:divId w:val="2131438150"/>
        <w:rPr>
          <w:rFonts w:eastAsia="Times New Roman"/>
        </w:rPr>
      </w:pPr>
      <w:r>
        <w:rPr>
          <w:rFonts w:eastAsia="Times New Roman"/>
          <w:color w:val="000000"/>
          <w:sz w:val="20"/>
          <w:szCs w:val="20"/>
        </w:rPr>
        <w:t>EAC adjustments had the following impacts to operating income f</w:t>
      </w:r>
      <w:r>
        <w:rPr>
          <w:rFonts w:eastAsia="Times New Roman"/>
          <w:color w:val="000000"/>
          <w:sz w:val="20"/>
          <w:szCs w:val="20"/>
        </w:rPr>
        <w:t>or the periods presented:</w:t>
      </w:r>
    </w:p>
    <w:tbl>
      <w:tblPr>
        <w:tblW w:w="4755" w:type="pct"/>
        <w:tblCellMar>
          <w:top w:w="15" w:type="dxa"/>
          <w:left w:w="15" w:type="dxa"/>
          <w:bottom w:w="15" w:type="dxa"/>
          <w:right w:w="15" w:type="dxa"/>
        </w:tblCellMar>
        <w:tblLook w:val="04A0" w:firstRow="1" w:lastRow="0" w:firstColumn="1" w:lastColumn="0" w:noHBand="0" w:noVBand="1"/>
      </w:tblPr>
      <w:tblGrid>
        <w:gridCol w:w="38"/>
        <w:gridCol w:w="3513"/>
        <w:gridCol w:w="36"/>
        <w:gridCol w:w="121"/>
        <w:gridCol w:w="874"/>
        <w:gridCol w:w="36"/>
        <w:gridCol w:w="36"/>
        <w:gridCol w:w="36"/>
        <w:gridCol w:w="36"/>
        <w:gridCol w:w="121"/>
        <w:gridCol w:w="828"/>
        <w:gridCol w:w="37"/>
        <w:gridCol w:w="36"/>
        <w:gridCol w:w="36"/>
        <w:gridCol w:w="36"/>
        <w:gridCol w:w="121"/>
        <w:gridCol w:w="828"/>
        <w:gridCol w:w="36"/>
        <w:gridCol w:w="36"/>
        <w:gridCol w:w="36"/>
        <w:gridCol w:w="36"/>
        <w:gridCol w:w="120"/>
        <w:gridCol w:w="830"/>
        <w:gridCol w:w="36"/>
      </w:tblGrid>
      <w:tr w:rsidR="00000000">
        <w:trPr>
          <w:divId w:val="721714222"/>
        </w:trPr>
        <w:tc>
          <w:tcPr>
            <w:tcW w:w="50" w:type="pct"/>
            <w:vAlign w:val="center"/>
            <w:hideMark/>
          </w:tcPr>
          <w:p w:rsidR="00000000" w:rsidRDefault="00AE54EE">
            <w:pPr>
              <w:ind w:firstLine="450"/>
              <w:rPr>
                <w:rFonts w:eastAsia="Times New Roman"/>
              </w:rPr>
            </w:pPr>
          </w:p>
        </w:tc>
        <w:tc>
          <w:tcPr>
            <w:tcW w:w="22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8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8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8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8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721714222"/>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721714222"/>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721714222"/>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72171422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Favorable adjustments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21714222"/>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Unfavorable adjustments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2171422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operating income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438455746"/>
        <w:rPr>
          <w:rFonts w:eastAsia="Times New Roman"/>
        </w:rPr>
      </w:pPr>
      <w:r>
        <w:rPr>
          <w:rFonts w:eastAsia="Times New Roman"/>
          <w:color w:val="000000"/>
          <w:sz w:val="20"/>
          <w:szCs w:val="20"/>
        </w:rPr>
        <w:t>There were no individual impacts to operating income due to EAC adjustments in fiscal 2021, fiscal 2020, the two quarters ended January 3, 2020 or fiscal 2019 that were material to our r</w:t>
      </w:r>
      <w:r>
        <w:rPr>
          <w:rFonts w:eastAsia="Times New Roman"/>
          <w:color w:val="000000"/>
          <w:sz w:val="20"/>
          <w:szCs w:val="20"/>
        </w:rPr>
        <w:t>esults of operations on a consolidated or segment basis for such periods.</w:t>
      </w:r>
    </w:p>
    <w:p w:rsidR="00000000" w:rsidRDefault="00AE54EE">
      <w:pPr>
        <w:ind w:firstLine="450"/>
        <w:divId w:val="556748071"/>
        <w:rPr>
          <w:rFonts w:eastAsia="Times New Roman"/>
        </w:rPr>
      </w:pPr>
      <w:r>
        <w:rPr>
          <w:rFonts w:eastAsia="Times New Roman"/>
          <w:color w:val="000000"/>
          <w:sz w:val="20"/>
          <w:szCs w:val="20"/>
        </w:rPr>
        <w:t>We recognize revenue from numerous contracts with multiple performance obligations. For these contracts, we allocate the transaction price to each performance obligation based on the</w:t>
      </w:r>
      <w:r>
        <w:rPr>
          <w:rFonts w:eastAsia="Times New Roman"/>
          <w:color w:val="000000"/>
          <w:sz w:val="20"/>
          <w:szCs w:val="20"/>
        </w:rPr>
        <w:t xml:space="preserve"> relative standalone selling price of the good or service underlying each performance obligation. The standalone selling price represents the amount for which we would sell the good or service to a customer on a standalone basis (i.e., not sold as bundled </w:t>
      </w:r>
      <w:r>
        <w:rPr>
          <w:rFonts w:eastAsia="Times New Roman"/>
          <w:color w:val="000000"/>
          <w:sz w:val="20"/>
          <w:szCs w:val="20"/>
        </w:rPr>
        <w:t xml:space="preserve">sale with any other products or services). The allocation of transaction price among separate performance obligations may impact the timing of revenue recognition but will not change the total revenue recognized on the contract. </w:t>
      </w:r>
    </w:p>
    <w:p w:rsidR="00000000" w:rsidRDefault="00AE54EE">
      <w:pPr>
        <w:ind w:firstLine="450"/>
        <w:divId w:val="1821143826"/>
        <w:rPr>
          <w:rFonts w:eastAsia="Times New Roman"/>
        </w:rPr>
      </w:pPr>
      <w:r>
        <w:rPr>
          <w:rFonts w:eastAsia="Times New Roman"/>
          <w:color w:val="000000"/>
          <w:sz w:val="20"/>
          <w:szCs w:val="20"/>
        </w:rPr>
        <w:t xml:space="preserve">A substantial majority of </w:t>
      </w:r>
      <w:r>
        <w:rPr>
          <w:rFonts w:eastAsia="Times New Roman"/>
          <w:color w:val="000000"/>
          <w:sz w:val="20"/>
          <w:szCs w:val="20"/>
        </w:rPr>
        <w:t>our revenue is derived from contracts with the U.S. Government, including foreign military sales contracts. These contracts are subject to the FAR and the prices of our contract deliverables are typically based on our estimated or actual costs plus a reaso</w:t>
      </w:r>
      <w:r>
        <w:rPr>
          <w:rFonts w:eastAsia="Times New Roman"/>
          <w:color w:val="000000"/>
          <w:sz w:val="20"/>
          <w:szCs w:val="20"/>
        </w:rPr>
        <w:t>nable profit margin. As a result, the standalone selling prices of the goods and services in these contracts are typically equal to the selling prices stated in the contract, thereby eliminating the need to allocate (or reallocate) the transaction price to</w:t>
      </w:r>
      <w:r>
        <w:rPr>
          <w:rFonts w:eastAsia="Times New Roman"/>
          <w:color w:val="000000"/>
          <w:sz w:val="20"/>
          <w:szCs w:val="20"/>
        </w:rPr>
        <w:t xml:space="preserve"> the multiple performance obligations. In our non-U.S. Government contracts, when standalone selling prices are not directly observable, we also generally use the expected cost plus margin approach to determine standalone selling price. In determining the </w:t>
      </w:r>
      <w:r>
        <w:rPr>
          <w:rFonts w:eastAsia="Times New Roman"/>
          <w:color w:val="000000"/>
          <w:sz w:val="20"/>
          <w:szCs w:val="20"/>
        </w:rPr>
        <w:t>appropriate margin under the cost plus margin approach, we consider historical margins on similar products sold to similar customers or within similar geographies where objective evidence is available. We may also consider our cost structure and profit obj</w:t>
      </w:r>
      <w:r>
        <w:rPr>
          <w:rFonts w:eastAsia="Times New Roman"/>
          <w:color w:val="000000"/>
          <w:sz w:val="20"/>
          <w:szCs w:val="20"/>
        </w:rPr>
        <w:t>ectives, the nature of the proposal, the effects of customization of pricing, our practices used to establish pricing of bundled products, the expected technological life of the product, margins earned on similar contracts with different customers and othe</w:t>
      </w:r>
      <w:r>
        <w:rPr>
          <w:rFonts w:eastAsia="Times New Roman"/>
          <w:color w:val="000000"/>
          <w:sz w:val="20"/>
          <w:szCs w:val="20"/>
        </w:rPr>
        <w:t xml:space="preserve">r factors to determine the appropriate margin. </w:t>
      </w:r>
    </w:p>
    <w:p w:rsidR="00000000" w:rsidRDefault="00AE54EE">
      <w:pPr>
        <w:divId w:val="353384846"/>
        <w:rPr>
          <w:rFonts w:eastAsia="Times New Roman"/>
        </w:rPr>
      </w:pPr>
      <w:r>
        <w:rPr>
          <w:rFonts w:eastAsia="Times New Roman"/>
          <w:b/>
          <w:bCs/>
          <w:color w:val="000000"/>
          <w:sz w:val="20"/>
          <w:szCs w:val="20"/>
        </w:rPr>
        <w:t>Postretirement Benefit Plans</w:t>
      </w:r>
    </w:p>
    <w:p w:rsidR="00000000" w:rsidRDefault="00AE54EE">
      <w:pPr>
        <w:ind w:firstLine="450"/>
        <w:divId w:val="526412605"/>
        <w:rPr>
          <w:rFonts w:eastAsia="Times New Roman"/>
        </w:rPr>
      </w:pPr>
      <w:r>
        <w:rPr>
          <w:rFonts w:eastAsia="Times New Roman"/>
          <w:color w:val="000000"/>
          <w:sz w:val="20"/>
          <w:szCs w:val="20"/>
        </w:rPr>
        <w:t>Certain of our current and former employees participate in defined benefit pension and other postretirement defined benefit plans (collectively, referred to as “defined benefit pl</w:t>
      </w:r>
      <w:r>
        <w:rPr>
          <w:rFonts w:eastAsia="Times New Roman"/>
          <w:color w:val="000000"/>
          <w:sz w:val="20"/>
          <w:szCs w:val="20"/>
        </w:rPr>
        <w:t>ans”) in the United States, Canada, United Kingdom and Germany, which are sponsored by L3Harris. The determination of projected benefit obligations and the recognition of expenses related to defined benefit plans are dependent on various assumptions. These</w:t>
      </w:r>
      <w:r>
        <w:rPr>
          <w:rFonts w:eastAsia="Times New Roman"/>
          <w:color w:val="000000"/>
          <w:sz w:val="20"/>
          <w:szCs w:val="20"/>
        </w:rPr>
        <w:t xml:space="preserve"> major assumptions primarily relate to discount rates, long-term expected rates of return on plan assets, rate of future compensation increases, mortality, termination and other factors (some of which are disclosed in </w:t>
      </w:r>
      <w:r>
        <w:rPr>
          <w:rFonts w:eastAsia="Times New Roman"/>
          <w:i/>
          <w:iCs/>
          <w:color w:val="000000"/>
          <w:sz w:val="20"/>
          <w:szCs w:val="20"/>
        </w:rPr>
        <w:t>Note 14: Pension and Other Postretirem</w:t>
      </w:r>
      <w:r>
        <w:rPr>
          <w:rFonts w:eastAsia="Times New Roman"/>
          <w:i/>
          <w:iCs/>
          <w:color w:val="000000"/>
          <w:sz w:val="20"/>
          <w:szCs w:val="20"/>
        </w:rPr>
        <w:t>ent Benefits</w:t>
      </w:r>
      <w:r>
        <w:rPr>
          <w:rFonts w:eastAsia="Times New Roman"/>
          <w:color w:val="000000"/>
          <w:sz w:val="20"/>
          <w:szCs w:val="20"/>
        </w:rPr>
        <w:t xml:space="preserve"> in the Notes). Actual results that differ from our assumptions are accumulated and generally amortized for each plan to the extent required over the estimated future life expectancy or, if applicable, the future working lifetime of the plan’s </w:t>
      </w:r>
      <w:r>
        <w:rPr>
          <w:rFonts w:eastAsia="Times New Roman"/>
          <w:color w:val="000000"/>
          <w:sz w:val="20"/>
          <w:szCs w:val="20"/>
        </w:rPr>
        <w:t xml:space="preserve">active participants. </w:t>
      </w:r>
    </w:p>
    <w:p w:rsidR="00000000" w:rsidRDefault="00AE54EE">
      <w:pPr>
        <w:ind w:firstLine="450"/>
        <w:divId w:val="595291298"/>
        <w:rPr>
          <w:rFonts w:eastAsia="Times New Roman"/>
        </w:rPr>
      </w:pPr>
      <w:r>
        <w:rPr>
          <w:rFonts w:eastAsia="Times New Roman"/>
          <w:color w:val="000000"/>
          <w:sz w:val="20"/>
          <w:szCs w:val="20"/>
        </w:rPr>
        <w:t>As part of our accounting for the L3Harris Merger, we completed a valuation and re-measurement of all L3 pension and other postretirement benefit (“OPEB”) plans as of the June 29, 2019 closing date of the L3Harris Merger and we record</w:t>
      </w:r>
      <w:r>
        <w:rPr>
          <w:rFonts w:eastAsia="Times New Roman"/>
          <w:color w:val="000000"/>
          <w:sz w:val="20"/>
          <w:szCs w:val="20"/>
        </w:rPr>
        <w:t>ed a $233 million increase to L3’s pension and OPEB liability as of June 29, 2019 based on the results of this valuation. The total L3 pension and OPEB liability assumed by L3Harris was $1.4 billion at June 29, 2019. The discount rate assumption used was a</w:t>
      </w:r>
      <w:r>
        <w:rPr>
          <w:rFonts w:eastAsia="Times New Roman"/>
          <w:color w:val="000000"/>
          <w:sz w:val="20"/>
          <w:szCs w:val="20"/>
        </w:rPr>
        <w:t xml:space="preserve"> yield curve rather than a single interest rate. For the pension plans, the average June 29, 2019 discount rate used was 3.54 percent for U.S. plans and 2.95 percent for Canadian plans. For OPEB plans, the average June 29, 2019 discount rate used was 3.31 </w:t>
      </w:r>
      <w:r>
        <w:rPr>
          <w:rFonts w:eastAsia="Times New Roman"/>
          <w:color w:val="000000"/>
          <w:sz w:val="20"/>
          <w:szCs w:val="20"/>
        </w:rPr>
        <w:t xml:space="preserve">percent for U.S. plans and 2.92 percent for Canadian plans. </w:t>
      </w:r>
    </w:p>
    <w:p w:rsidR="00000000" w:rsidRDefault="00AE54EE">
      <w:pPr>
        <w:ind w:firstLine="450"/>
        <w:divId w:val="916792189"/>
        <w:rPr>
          <w:rFonts w:eastAsia="Times New Roman"/>
        </w:rPr>
      </w:pPr>
      <w:r>
        <w:rPr>
          <w:rFonts w:eastAsia="Times New Roman"/>
          <w:b/>
          <w:bCs/>
          <w:i/>
          <w:iCs/>
          <w:color w:val="000000"/>
          <w:sz w:val="20"/>
          <w:szCs w:val="20"/>
        </w:rPr>
        <w:t xml:space="preserve">Significant Assumptions. </w:t>
      </w:r>
      <w:r>
        <w:rPr>
          <w:rFonts w:eastAsia="Times New Roman"/>
          <w:color w:val="000000"/>
          <w:sz w:val="20"/>
          <w:szCs w:val="20"/>
        </w:rPr>
        <w:t>We develop assumptions using relevant experience, in conjunction with market-related data for each plan. Assumptions are reviewed annually with third party consultants an</w:t>
      </w:r>
      <w:r>
        <w:rPr>
          <w:rFonts w:eastAsia="Times New Roman"/>
          <w:color w:val="000000"/>
          <w:sz w:val="20"/>
          <w:szCs w:val="20"/>
        </w:rPr>
        <w:t>d adjusted as appropriate. The table included below provides the weighted average assumptions used to estimate projected benefit obligations and net periodic benefit cost as they pertain to our defined benefit pension plans.</w:t>
      </w:r>
    </w:p>
    <w:p w:rsidR="00000000" w:rsidRDefault="00AE54EE">
      <w:pPr>
        <w:ind w:firstLine="450"/>
        <w:jc w:val="center"/>
        <w:divId w:val="291667839"/>
        <w:rPr>
          <w:rFonts w:eastAsia="Times New Roman"/>
        </w:rPr>
      </w:pPr>
      <w:r>
        <w:rPr>
          <w:rFonts w:eastAsia="Times New Roman"/>
          <w:color w:val="000000"/>
          <w:sz w:val="20"/>
          <w:szCs w:val="20"/>
        </w:rPr>
        <w:t>56</w:t>
      </w:r>
    </w:p>
    <w:p w:rsidR="00000000" w:rsidRDefault="00AE54EE">
      <w:pPr>
        <w:rPr>
          <w:rFonts w:eastAsia="Times New Roman"/>
        </w:rPr>
      </w:pPr>
      <w:r>
        <w:rPr>
          <w:rFonts w:eastAsia="Times New Roman"/>
        </w:rPr>
        <w:pict>
          <v:rect id="_x0000_i1084" style="width:0;height:1.5pt" o:hralign="center" o:hrstd="t" o:hr="t" fillcolor="#a0a0a0" stroked="f"/>
        </w:pict>
      </w:r>
    </w:p>
    <w:p w:rsidR="00000000" w:rsidRDefault="00AE54EE">
      <w:pPr>
        <w:ind w:firstLine="450"/>
        <w:divId w:val="780494565"/>
        <w:rPr>
          <w:rFonts w:eastAsia="Times New Roman"/>
        </w:rPr>
      </w:pPr>
    </w:p>
    <w:tbl>
      <w:tblPr>
        <w:tblW w:w="4906" w:type="pct"/>
        <w:tblCellMar>
          <w:top w:w="15" w:type="dxa"/>
          <w:left w:w="15" w:type="dxa"/>
          <w:bottom w:w="15" w:type="dxa"/>
          <w:right w:w="15" w:type="dxa"/>
        </w:tblCellMar>
        <w:tblLook w:val="04A0" w:firstRow="1" w:lastRow="0" w:firstColumn="1" w:lastColumn="0" w:noHBand="0" w:noVBand="1"/>
      </w:tblPr>
      <w:tblGrid>
        <w:gridCol w:w="61"/>
        <w:gridCol w:w="5237"/>
        <w:gridCol w:w="37"/>
        <w:gridCol w:w="61"/>
        <w:gridCol w:w="1228"/>
        <w:gridCol w:w="36"/>
        <w:gridCol w:w="36"/>
        <w:gridCol w:w="36"/>
        <w:gridCol w:w="36"/>
        <w:gridCol w:w="46"/>
        <w:gridCol w:w="1228"/>
        <w:gridCol w:w="36"/>
        <w:gridCol w:w="36"/>
        <w:gridCol w:w="36"/>
      </w:tblGrid>
      <w:tr w:rsidR="00000000">
        <w:trPr>
          <w:divId w:val="1560244793"/>
        </w:trPr>
        <w:tc>
          <w:tcPr>
            <w:tcW w:w="50" w:type="pct"/>
            <w:vAlign w:val="center"/>
            <w:hideMark/>
          </w:tcPr>
          <w:p w:rsidR="00000000" w:rsidRDefault="00AE54EE">
            <w:pPr>
              <w:ind w:firstLine="450"/>
              <w:rPr>
                <w:rFonts w:eastAsia="Times New Roman"/>
              </w:rPr>
            </w:pPr>
          </w:p>
        </w:tc>
        <w:tc>
          <w:tcPr>
            <w:tcW w:w="325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56024479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Obligation assumptions as of:</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560244793"/>
        </w:trPr>
        <w:tc>
          <w:tcPr>
            <w:tcW w:w="0" w:type="auto"/>
            <w:gridSpan w:val="3"/>
            <w:shd w:val="clear" w:color="auto" w:fill="CCEE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Discount rate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2.75%</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2.31%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560244793"/>
        </w:trPr>
        <w:tc>
          <w:tcPr>
            <w:tcW w:w="0" w:type="auto"/>
            <w:gridSpan w:val="3"/>
            <w:shd w:val="clear" w:color="auto" w:fill="FFFF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Rate of future compensation increase</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3.01%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3.01%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560244793"/>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Cash balance interest crediting rate</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3.50%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3.50%</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560244793"/>
          <w:trHeight w:val="300"/>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56024479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Cost assumptions for fiscal periods ended:</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560244793"/>
        </w:trPr>
        <w:tc>
          <w:tcPr>
            <w:tcW w:w="0" w:type="auto"/>
            <w:gridSpan w:val="3"/>
            <w:shd w:val="clear" w:color="auto" w:fill="FFFF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 xml:space="preserve">Discount rate to determine service cost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2.26%</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2.87%</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560244793"/>
        </w:trPr>
        <w:tc>
          <w:tcPr>
            <w:tcW w:w="0" w:type="auto"/>
            <w:gridSpan w:val="3"/>
            <w:shd w:val="clear" w:color="auto" w:fill="CCEE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Discount rate to determine interest cost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1.80%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2.74%</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560244793"/>
        </w:trPr>
        <w:tc>
          <w:tcPr>
            <w:tcW w:w="0" w:type="auto"/>
            <w:gridSpan w:val="3"/>
            <w:shd w:val="clear" w:color="auto" w:fill="FFFF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Expected return on plan assets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7.43%</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7.68%</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560244793"/>
        </w:trPr>
        <w:tc>
          <w:tcPr>
            <w:tcW w:w="0" w:type="auto"/>
            <w:gridSpan w:val="3"/>
            <w:shd w:val="clear" w:color="auto" w:fill="CCEE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Rate of future compensation increase</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3.01%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2.80%</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560244793"/>
        </w:trPr>
        <w:tc>
          <w:tcPr>
            <w:tcW w:w="0" w:type="auto"/>
            <w:gridSpan w:val="3"/>
            <w:shd w:val="clear" w:color="auto" w:fill="FFFF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Cash balance interest crediting rate</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3.50%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3.50%</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ind w:firstLine="450"/>
        <w:divId w:val="303434942"/>
        <w:rPr>
          <w:rFonts w:eastAsia="Times New Roman"/>
        </w:rPr>
      </w:pPr>
      <w:r>
        <w:rPr>
          <w:rFonts w:eastAsia="Times New Roman"/>
          <w:color w:val="000000"/>
          <w:sz w:val="20"/>
          <w:szCs w:val="20"/>
        </w:rPr>
        <w:t>Key assumptions for the Salaried Pension Plan (our largest defined benefit plan, with 86% of the total projected benefit obligation as of December 31, 2021) included a discount rate for obligation assumptions of 2.75%, a cash balance interest crediting rat</w:t>
      </w:r>
      <w:r>
        <w:rPr>
          <w:rFonts w:eastAsia="Times New Roman"/>
          <w:color w:val="000000"/>
          <w:sz w:val="20"/>
          <w:szCs w:val="20"/>
        </w:rPr>
        <w:t>e of 3.50% and expected return on plan assets of 7.50% for fiscal 2021, which is being maintained at 7.50% for fiscal 2022. There is also a frozen pension equity benefit that assumes a 3.25% interest crediting rate.</w:t>
      </w:r>
    </w:p>
    <w:p w:rsidR="00000000" w:rsidRDefault="00AE54EE">
      <w:pPr>
        <w:ind w:firstLine="450"/>
        <w:divId w:val="1831171985"/>
        <w:rPr>
          <w:rFonts w:eastAsia="Times New Roman"/>
        </w:rPr>
      </w:pPr>
      <w:r>
        <w:rPr>
          <w:rFonts w:eastAsia="Times New Roman"/>
          <w:b/>
          <w:bCs/>
          <w:i/>
          <w:iCs/>
          <w:color w:val="000000"/>
          <w:sz w:val="20"/>
          <w:szCs w:val="20"/>
        </w:rPr>
        <w:t>Expected Return on Plan Assets.</w:t>
      </w:r>
      <w:r>
        <w:rPr>
          <w:rFonts w:eastAsia="Times New Roman"/>
          <w:i/>
          <w:iCs/>
          <w:color w:val="000000"/>
          <w:sz w:val="20"/>
          <w:szCs w:val="20"/>
        </w:rPr>
        <w:t xml:space="preserve"> </w:t>
      </w:r>
      <w:r>
        <w:rPr>
          <w:rFonts w:eastAsia="Times New Roman"/>
          <w:color w:val="000000"/>
          <w:sz w:val="20"/>
          <w:szCs w:val="20"/>
        </w:rPr>
        <w:t>Substant</w:t>
      </w:r>
      <w:r>
        <w:rPr>
          <w:rFonts w:eastAsia="Times New Roman"/>
          <w:color w:val="000000"/>
          <w:sz w:val="20"/>
          <w:szCs w:val="20"/>
        </w:rPr>
        <w:t xml:space="preserve">ially all of our plan assets are managed on a commingled basis in a master investment trust. We determine our expected return on plan assets by evaluating both historical returns and estimates of future returns. Specifically, we consider the plan’s actual </w:t>
      </w:r>
      <w:r>
        <w:rPr>
          <w:rFonts w:eastAsia="Times New Roman"/>
          <w:color w:val="000000"/>
          <w:sz w:val="20"/>
          <w:szCs w:val="20"/>
        </w:rPr>
        <w:t xml:space="preserve">historical annual return on assets over the past 15, 20 and 25 years and historical broad market returns over long-term time frames based on our strategic allocation, which is detailed in </w:t>
      </w:r>
      <w:r>
        <w:rPr>
          <w:rFonts w:eastAsia="Times New Roman"/>
          <w:i/>
          <w:iCs/>
          <w:color w:val="000000"/>
          <w:sz w:val="20"/>
          <w:szCs w:val="20"/>
        </w:rPr>
        <w:t>Note 14: Pension and Other Postretirement Benefits</w:t>
      </w:r>
      <w:r>
        <w:rPr>
          <w:rFonts w:eastAsia="Times New Roman"/>
          <w:color w:val="000000"/>
          <w:sz w:val="20"/>
          <w:szCs w:val="20"/>
        </w:rPr>
        <w:t xml:space="preserve"> in the Notes. Fut</w:t>
      </w:r>
      <w:r>
        <w:rPr>
          <w:rFonts w:eastAsia="Times New Roman"/>
          <w:color w:val="000000"/>
          <w:sz w:val="20"/>
          <w:szCs w:val="20"/>
        </w:rPr>
        <w:t>ure returns are based on independent estimates of long-term asset class returns. Based on this approach, the weighted average long-term annual rate of return on assets was estimated to be 7.43% for both fiscal 2021 and fiscal 2022.</w:t>
      </w:r>
    </w:p>
    <w:p w:rsidR="00000000" w:rsidRDefault="00AE54EE">
      <w:pPr>
        <w:ind w:firstLine="450"/>
        <w:divId w:val="255867168"/>
        <w:rPr>
          <w:rFonts w:eastAsia="Times New Roman"/>
        </w:rPr>
      </w:pPr>
      <w:r>
        <w:rPr>
          <w:rFonts w:eastAsia="Times New Roman"/>
          <w:b/>
          <w:bCs/>
          <w:i/>
          <w:iCs/>
          <w:color w:val="000000"/>
          <w:sz w:val="20"/>
          <w:szCs w:val="20"/>
        </w:rPr>
        <w:t>Discount Rate.</w:t>
      </w:r>
      <w:r>
        <w:rPr>
          <w:rFonts w:eastAsia="Times New Roman"/>
          <w:i/>
          <w:iCs/>
          <w:color w:val="000000"/>
          <w:sz w:val="20"/>
          <w:szCs w:val="20"/>
        </w:rPr>
        <w:t xml:space="preserve"> </w:t>
      </w:r>
      <w:r>
        <w:rPr>
          <w:rFonts w:eastAsia="Times New Roman"/>
          <w:color w:val="000000"/>
          <w:sz w:val="20"/>
          <w:szCs w:val="20"/>
        </w:rPr>
        <w:t>The disco</w:t>
      </w:r>
      <w:r>
        <w:rPr>
          <w:rFonts w:eastAsia="Times New Roman"/>
          <w:color w:val="000000"/>
          <w:sz w:val="20"/>
          <w:szCs w:val="20"/>
        </w:rPr>
        <w:t>unt rate is used to calculate the present value of expected future benefit payments at the measurement date. A decrease in the discount rate increases the present value of benefit obligations and generally decreases pension expense. The discount rate assum</w:t>
      </w:r>
      <w:r>
        <w:rPr>
          <w:rFonts w:eastAsia="Times New Roman"/>
          <w:color w:val="000000"/>
          <w:sz w:val="20"/>
          <w:szCs w:val="20"/>
        </w:rPr>
        <w:t>ption is based on current investment yields of high-quality fixed income investments during the retirement benefits maturity period. The pension discount rate is determined by considering an interest rate yield curve comprising AAA/AA bonds, with maturitie</w:t>
      </w:r>
      <w:r>
        <w:rPr>
          <w:rFonts w:eastAsia="Times New Roman"/>
          <w:color w:val="000000"/>
          <w:sz w:val="20"/>
          <w:szCs w:val="20"/>
        </w:rPr>
        <w:t xml:space="preserve">s between zero and thirty years, developed by the plan’s actuaries. Annual benefit payments are then discounted to present value using this yield curve to develop a single discount rate matching the plan’s characteristics. </w:t>
      </w:r>
    </w:p>
    <w:p w:rsidR="00000000" w:rsidRDefault="00AE54EE">
      <w:pPr>
        <w:ind w:firstLine="450"/>
        <w:divId w:val="559244673"/>
        <w:rPr>
          <w:rFonts w:eastAsia="Times New Roman"/>
        </w:rPr>
      </w:pPr>
      <w:r>
        <w:rPr>
          <w:rFonts w:eastAsia="Times New Roman"/>
          <w:b/>
          <w:bCs/>
          <w:i/>
          <w:iCs/>
          <w:color w:val="000000"/>
          <w:sz w:val="20"/>
          <w:szCs w:val="20"/>
        </w:rPr>
        <w:t>Sensitivity Analysis</w:t>
      </w:r>
    </w:p>
    <w:p w:rsidR="00000000" w:rsidRDefault="00AE54EE">
      <w:pPr>
        <w:ind w:firstLine="450"/>
        <w:divId w:val="1035427166"/>
        <w:rPr>
          <w:rFonts w:eastAsia="Times New Roman"/>
        </w:rPr>
      </w:pPr>
      <w:r>
        <w:rPr>
          <w:rFonts w:eastAsia="Times New Roman"/>
          <w:b/>
          <w:bCs/>
          <w:i/>
          <w:iCs/>
          <w:color w:val="000000"/>
          <w:sz w:val="20"/>
          <w:szCs w:val="20"/>
        </w:rPr>
        <w:t>Pension Exp</w:t>
      </w:r>
      <w:r>
        <w:rPr>
          <w:rFonts w:eastAsia="Times New Roman"/>
          <w:b/>
          <w:bCs/>
          <w:i/>
          <w:iCs/>
          <w:color w:val="000000"/>
          <w:sz w:val="20"/>
          <w:szCs w:val="20"/>
        </w:rPr>
        <w:t>ense.</w:t>
      </w:r>
      <w:r>
        <w:rPr>
          <w:rFonts w:eastAsia="Times New Roman"/>
          <w:i/>
          <w:iCs/>
          <w:color w:val="000000"/>
          <w:sz w:val="20"/>
          <w:szCs w:val="20"/>
        </w:rPr>
        <w:t xml:space="preserve"> </w:t>
      </w:r>
      <w:r>
        <w:rPr>
          <w:rFonts w:eastAsia="Times New Roman"/>
          <w:color w:val="000000"/>
          <w:sz w:val="20"/>
          <w:szCs w:val="20"/>
        </w:rPr>
        <w:t>A 25 basis point change in the long-term expected rate of return on plan assets and discount rate would have the following effect on the combined U.S. defined benefit pension plans’ pension expense for the next twelve months:</w:t>
      </w:r>
    </w:p>
    <w:tbl>
      <w:tblPr>
        <w:tblW w:w="5000" w:type="pct"/>
        <w:tblCellMar>
          <w:top w:w="15" w:type="dxa"/>
          <w:left w:w="15" w:type="dxa"/>
          <w:bottom w:w="15" w:type="dxa"/>
          <w:right w:w="15" w:type="dxa"/>
        </w:tblCellMar>
        <w:tblLook w:val="04A0" w:firstRow="1" w:lastRow="0" w:firstColumn="1" w:lastColumn="0" w:noHBand="0" w:noVBand="1"/>
      </w:tblPr>
      <w:tblGrid>
        <w:gridCol w:w="39"/>
        <w:gridCol w:w="5749"/>
        <w:gridCol w:w="37"/>
        <w:gridCol w:w="122"/>
        <w:gridCol w:w="1046"/>
        <w:gridCol w:w="37"/>
        <w:gridCol w:w="37"/>
        <w:gridCol w:w="37"/>
        <w:gridCol w:w="36"/>
        <w:gridCol w:w="121"/>
        <w:gridCol w:w="1009"/>
        <w:gridCol w:w="36"/>
      </w:tblGrid>
      <w:tr w:rsidR="00000000">
        <w:trPr>
          <w:divId w:val="2029092626"/>
        </w:trPr>
        <w:tc>
          <w:tcPr>
            <w:tcW w:w="50" w:type="pct"/>
            <w:vAlign w:val="center"/>
            <w:hideMark/>
          </w:tcPr>
          <w:p w:rsidR="00000000" w:rsidRDefault="00AE54EE">
            <w:pPr>
              <w:ind w:firstLine="450"/>
              <w:rPr>
                <w:rFonts w:eastAsia="Times New Roman"/>
              </w:rPr>
            </w:pPr>
          </w:p>
        </w:tc>
        <w:tc>
          <w:tcPr>
            <w:tcW w:w="348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5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5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202909262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Increase/(Decrease)</w:t>
            </w:r>
            <w:r>
              <w:rPr>
                <w:rFonts w:eastAsia="Times New Roman"/>
                <w:b/>
                <w:bCs/>
                <w:color w:val="000000"/>
                <w:sz w:val="16"/>
                <w:szCs w:val="16"/>
              </w:rPr>
              <w:br/>
              <w:t>in Pension Expense</w:t>
            </w:r>
          </w:p>
        </w:tc>
      </w:tr>
      <w:tr w:rsidR="00000000">
        <w:trPr>
          <w:divId w:val="202909262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25 Basis</w:t>
            </w:r>
            <w:r>
              <w:rPr>
                <w:rFonts w:eastAsia="Times New Roman"/>
                <w:b/>
                <w:bCs/>
                <w:color w:val="000000"/>
                <w:sz w:val="16"/>
                <w:szCs w:val="16"/>
              </w:rPr>
              <w:br/>
              <w:t>Point Increase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25 Basis</w:t>
            </w:r>
            <w:r>
              <w:rPr>
                <w:rFonts w:eastAsia="Times New Roman"/>
                <w:b/>
                <w:bCs/>
                <w:color w:val="000000"/>
                <w:sz w:val="16"/>
                <w:szCs w:val="16"/>
              </w:rPr>
              <w:br/>
              <w:t>Point Decrease</w:t>
            </w:r>
          </w:p>
        </w:tc>
      </w:tr>
      <w:tr w:rsidR="00000000">
        <w:trPr>
          <w:divId w:val="2029092626"/>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02909262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Long-term rate of return on assets used to determine net periodic benefit cost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2909262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Discount rate used to determine net periodic benefit cost</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275646520"/>
        <w:rPr>
          <w:rFonts w:eastAsia="Times New Roman"/>
        </w:rPr>
      </w:pPr>
      <w:r>
        <w:rPr>
          <w:rFonts w:eastAsia="Times New Roman"/>
          <w:b/>
          <w:bCs/>
          <w:i/>
          <w:iCs/>
          <w:color w:val="000000"/>
          <w:sz w:val="20"/>
          <w:szCs w:val="20"/>
        </w:rPr>
        <w:t>Projected Benefit Obligation.</w:t>
      </w:r>
      <w:r>
        <w:rPr>
          <w:rFonts w:eastAsia="Times New Roman"/>
          <w:i/>
          <w:iCs/>
          <w:color w:val="000000"/>
          <w:sz w:val="20"/>
          <w:szCs w:val="20"/>
        </w:rPr>
        <w:t xml:space="preserve"> </w:t>
      </w:r>
      <w:r>
        <w:rPr>
          <w:rFonts w:eastAsia="Times New Roman"/>
          <w:color w:val="000000"/>
          <w:sz w:val="20"/>
          <w:szCs w:val="20"/>
        </w:rPr>
        <w:t>Funded status is derived by subtracting the respective year-end values of the projected benefit obligations (“PBO”) from the fair value of plan assets. The sensitivity of the PBO to changes in the discount rate varies depending on the magnitude and directi</w:t>
      </w:r>
      <w:r>
        <w:rPr>
          <w:rFonts w:eastAsia="Times New Roman"/>
          <w:color w:val="000000"/>
          <w:sz w:val="20"/>
          <w:szCs w:val="20"/>
        </w:rPr>
        <w:t>on of the change in the discount rate. We estimate that a decrease of 25 basis points in the discount rate of the combined U.S. defined benefit pension plans would increase the PBO by approximately $276 million and an increase of 25 basis points would decr</w:t>
      </w:r>
      <w:r>
        <w:rPr>
          <w:rFonts w:eastAsia="Times New Roman"/>
          <w:color w:val="000000"/>
          <w:sz w:val="20"/>
          <w:szCs w:val="20"/>
        </w:rPr>
        <w:t>ease the PBO by approximately $262 million.</w:t>
      </w:r>
    </w:p>
    <w:p w:rsidR="00000000" w:rsidRDefault="00AE54EE">
      <w:pPr>
        <w:ind w:firstLine="450"/>
        <w:divId w:val="1433013749"/>
        <w:rPr>
          <w:rFonts w:eastAsia="Times New Roman"/>
        </w:rPr>
      </w:pPr>
      <w:r>
        <w:rPr>
          <w:rFonts w:eastAsia="Times New Roman"/>
          <w:b/>
          <w:bCs/>
          <w:i/>
          <w:iCs/>
          <w:color w:val="000000"/>
          <w:sz w:val="20"/>
          <w:szCs w:val="20"/>
        </w:rPr>
        <w:t xml:space="preserve">Fair Value of Plan Assets. </w:t>
      </w:r>
      <w:r>
        <w:rPr>
          <w:rFonts w:eastAsia="Times New Roman"/>
          <w:color w:val="000000"/>
          <w:sz w:val="20"/>
          <w:szCs w:val="20"/>
        </w:rPr>
        <w:t>The plan assets of our defined benefit plans comprise a broad range of investments, including domestic and international equity securities, fixed income investments, interests in privat</w:t>
      </w:r>
      <w:r>
        <w:rPr>
          <w:rFonts w:eastAsia="Times New Roman"/>
          <w:color w:val="000000"/>
          <w:sz w:val="20"/>
          <w:szCs w:val="20"/>
        </w:rPr>
        <w:t>e equity and hedge funds and cash and cash equivalents.</w:t>
      </w:r>
    </w:p>
    <w:p w:rsidR="00000000" w:rsidRDefault="00AE54EE">
      <w:pPr>
        <w:ind w:firstLine="450"/>
        <w:divId w:val="1922181306"/>
        <w:rPr>
          <w:rFonts w:eastAsia="Times New Roman"/>
        </w:rPr>
      </w:pPr>
      <w:r>
        <w:rPr>
          <w:rFonts w:eastAsia="Times New Roman"/>
          <w:color w:val="000000"/>
          <w:sz w:val="20"/>
          <w:szCs w:val="20"/>
        </w:rPr>
        <w:t>A portion of our defined benefit plans asset portfolio is comprised of investments in private equity and hedge funds. The private equity and hedge fund investments are generally measured using the val</w:t>
      </w:r>
      <w:r>
        <w:rPr>
          <w:rFonts w:eastAsia="Times New Roman"/>
          <w:color w:val="000000"/>
          <w:sz w:val="20"/>
          <w:szCs w:val="20"/>
        </w:rPr>
        <w:t>uation of the underlying investments or at net asset value. However, in certain instances, the values reported by the asset managers were not current at the measurement date. Consequently, we have estimated adjustments to the last reported value where nece</w:t>
      </w:r>
      <w:r>
        <w:rPr>
          <w:rFonts w:eastAsia="Times New Roman"/>
          <w:color w:val="000000"/>
          <w:sz w:val="20"/>
          <w:szCs w:val="20"/>
        </w:rPr>
        <w:t xml:space="preserve">ssary to measure the assets at fair value at the measurement date. These adjustments consider information received from the asset managers, as well as general market </w:t>
      </w:r>
    </w:p>
    <w:p w:rsidR="00000000" w:rsidRDefault="00AE54EE">
      <w:pPr>
        <w:ind w:firstLine="450"/>
        <w:jc w:val="center"/>
        <w:divId w:val="62265149"/>
        <w:rPr>
          <w:rFonts w:eastAsia="Times New Roman"/>
        </w:rPr>
      </w:pPr>
      <w:r>
        <w:rPr>
          <w:rFonts w:eastAsia="Times New Roman"/>
          <w:color w:val="000000"/>
          <w:sz w:val="20"/>
          <w:szCs w:val="20"/>
        </w:rPr>
        <w:t>57</w:t>
      </w:r>
    </w:p>
    <w:p w:rsidR="00000000" w:rsidRDefault="00AE54EE">
      <w:pPr>
        <w:rPr>
          <w:rFonts w:eastAsia="Times New Roman"/>
        </w:rPr>
      </w:pPr>
      <w:r>
        <w:rPr>
          <w:rFonts w:eastAsia="Times New Roman"/>
        </w:rPr>
        <w:pict>
          <v:rect id="_x0000_i1085" style="width:0;height:1.5pt" o:hralign="center" o:hrstd="t" o:hr="t" fillcolor="#a0a0a0" stroked="f"/>
        </w:pict>
      </w:r>
    </w:p>
    <w:p w:rsidR="00000000" w:rsidRDefault="00AE54EE">
      <w:pPr>
        <w:ind w:firstLine="450"/>
        <w:divId w:val="247471155"/>
        <w:rPr>
          <w:rFonts w:eastAsia="Times New Roman"/>
        </w:rPr>
      </w:pPr>
    </w:p>
    <w:p w:rsidR="00000000" w:rsidRDefault="00AE54EE">
      <w:pPr>
        <w:divId w:val="26953516"/>
        <w:rPr>
          <w:rFonts w:eastAsia="Times New Roman"/>
        </w:rPr>
      </w:pPr>
      <w:r>
        <w:rPr>
          <w:rFonts w:eastAsia="Times New Roman"/>
          <w:color w:val="000000"/>
          <w:sz w:val="20"/>
          <w:szCs w:val="20"/>
        </w:rPr>
        <w:t xml:space="preserve">information. Asset values for other positions were generally measured using market observable prices. See </w:t>
      </w:r>
      <w:r>
        <w:rPr>
          <w:rFonts w:eastAsia="Times New Roman"/>
          <w:i/>
          <w:iCs/>
          <w:color w:val="000000"/>
          <w:sz w:val="20"/>
          <w:szCs w:val="20"/>
        </w:rPr>
        <w:t>Note 14: Pension and Other Postretirement Benefits</w:t>
      </w:r>
      <w:r>
        <w:rPr>
          <w:rFonts w:eastAsia="Times New Roman"/>
          <w:color w:val="000000"/>
          <w:sz w:val="20"/>
          <w:szCs w:val="20"/>
        </w:rPr>
        <w:t xml:space="preserve"> in the Notes for further information.</w:t>
      </w:r>
    </w:p>
    <w:p w:rsidR="00000000" w:rsidRDefault="00AE54EE">
      <w:pPr>
        <w:divId w:val="1986351017"/>
        <w:rPr>
          <w:rFonts w:eastAsia="Times New Roman"/>
        </w:rPr>
      </w:pPr>
      <w:r>
        <w:rPr>
          <w:rFonts w:eastAsia="Times New Roman"/>
          <w:b/>
          <w:bCs/>
          <w:color w:val="000000"/>
          <w:sz w:val="20"/>
          <w:szCs w:val="20"/>
        </w:rPr>
        <w:t>Goodwill</w:t>
      </w:r>
    </w:p>
    <w:p w:rsidR="00000000" w:rsidRDefault="00AE54EE">
      <w:pPr>
        <w:ind w:firstLine="450"/>
        <w:divId w:val="878781052"/>
        <w:rPr>
          <w:rFonts w:eastAsia="Times New Roman"/>
        </w:rPr>
      </w:pPr>
      <w:r>
        <w:rPr>
          <w:rFonts w:eastAsia="Times New Roman"/>
          <w:color w:val="000000"/>
          <w:sz w:val="20"/>
          <w:szCs w:val="20"/>
        </w:rPr>
        <w:t>Goodwill in ou</w:t>
      </w:r>
      <w:r>
        <w:rPr>
          <w:rFonts w:eastAsia="Times New Roman"/>
          <w:color w:val="000000"/>
          <w:sz w:val="20"/>
          <w:szCs w:val="20"/>
        </w:rPr>
        <w:t>r Consolidated Balance Sheet as of December 31, 2021 and January 1, 2021 was $18.2 billion and $18.9 billion, respectively. Goodwill is not amortized. We perform annual (or under certain circumstances, more frequent) impairment tests of our goodwill. We id</w:t>
      </w:r>
      <w:r>
        <w:rPr>
          <w:rFonts w:eastAsia="Times New Roman"/>
          <w:color w:val="000000"/>
          <w:sz w:val="20"/>
          <w:szCs w:val="20"/>
        </w:rPr>
        <w:t>entify potential impairment by comparing the fair value of each of our reporting units with its carrying amount, including goodwill, which is adjusted for allocations of Corporate assets and liabilities as appropriate. If the fair value of a reporting unit</w:t>
      </w:r>
      <w:r>
        <w:rPr>
          <w:rFonts w:eastAsia="Times New Roman"/>
          <w:color w:val="000000"/>
          <w:sz w:val="20"/>
          <w:szCs w:val="20"/>
        </w:rPr>
        <w:t xml:space="preserve"> exceeds its carrying amount, goodwill of the reporting unit is considered not impaired. If the carrying amount of a reporting unit exceeds its fair value, an impairment loss is recognized in an amount equal to that excess. </w:t>
      </w:r>
    </w:p>
    <w:p w:rsidR="00000000" w:rsidRDefault="00AE54EE">
      <w:pPr>
        <w:ind w:firstLine="450"/>
        <w:divId w:val="2017612076"/>
        <w:rPr>
          <w:rFonts w:eastAsia="Times New Roman"/>
        </w:rPr>
      </w:pPr>
      <w:r>
        <w:rPr>
          <w:rFonts w:eastAsia="Times New Roman"/>
          <w:i/>
          <w:iCs/>
          <w:color w:val="000000"/>
          <w:sz w:val="20"/>
          <w:szCs w:val="20"/>
        </w:rPr>
        <w:t>Business disposal group goodwil</w:t>
      </w:r>
      <w:r>
        <w:rPr>
          <w:rFonts w:eastAsia="Times New Roman"/>
          <w:i/>
          <w:iCs/>
          <w:color w:val="000000"/>
          <w:sz w:val="20"/>
          <w:szCs w:val="20"/>
        </w:rPr>
        <w:t>l allocation.</w:t>
      </w:r>
      <w:r>
        <w:rPr>
          <w:rFonts w:eastAsia="Times New Roman"/>
          <w:color w:val="000000"/>
          <w:sz w:val="20"/>
          <w:szCs w:val="20"/>
        </w:rPr>
        <w:t xml:space="preserve"> As described in more detail in </w:t>
      </w:r>
      <w:r>
        <w:rPr>
          <w:rFonts w:eastAsia="Times New Roman"/>
          <w:i/>
          <w:iCs/>
          <w:color w:val="000000"/>
          <w:sz w:val="20"/>
          <w:szCs w:val="20"/>
        </w:rPr>
        <w:t>Note 3: Business Divestitures and Asset Sales</w:t>
      </w:r>
      <w:r>
        <w:rPr>
          <w:rFonts w:eastAsia="Times New Roman"/>
          <w:color w:val="000000"/>
          <w:sz w:val="20"/>
          <w:szCs w:val="20"/>
        </w:rPr>
        <w:t xml:space="preserve"> in the Notes, during fiscal 2021 and 2020 we determined the criteria to be classified as held for sale were met with respect to each of the disposal groups below. Be</w:t>
      </w:r>
      <w:r>
        <w:rPr>
          <w:rFonts w:eastAsia="Times New Roman"/>
          <w:color w:val="000000"/>
          <w:sz w:val="20"/>
          <w:szCs w:val="20"/>
        </w:rPr>
        <w:t xml:space="preserve">cause the divestiture of these business disposal groups represented the disposal of a portion of a reporting unit (except the military training business, which represented an entire reporting unit), we assigned goodwill to the business disposal group on a </w:t>
      </w:r>
      <w:r>
        <w:rPr>
          <w:rFonts w:eastAsia="Times New Roman"/>
          <w:color w:val="000000"/>
          <w:sz w:val="20"/>
          <w:szCs w:val="20"/>
        </w:rPr>
        <w:t xml:space="preserve">relative fair value basis. For purposes of allocating goodwill to the disposal groups below, we determined the fair value of each disposal group based on the respective negotiated selling price (or estimated net cash proceeds, in the case of no negotiated </w:t>
      </w:r>
      <w:r>
        <w:rPr>
          <w:rFonts w:eastAsia="Times New Roman"/>
          <w:color w:val="000000"/>
          <w:sz w:val="20"/>
          <w:szCs w:val="20"/>
        </w:rPr>
        <w:t>selling price), and the fair value of the retained businesses of the respective reporting unit based on a combination of market-based valuation techniques, utilizing quoted market prices and comparable publicly reported transactions and projected discounte</w:t>
      </w:r>
      <w:r>
        <w:rPr>
          <w:rFonts w:eastAsia="Times New Roman"/>
          <w:color w:val="000000"/>
          <w:sz w:val="20"/>
          <w:szCs w:val="20"/>
        </w:rPr>
        <w:t xml:space="preserve">d cash flows. These fair value determinations are categorized as Level 3 in the fair value hierarchy due to their use of internal projections and unobservable measurement inputs. See </w:t>
      </w:r>
      <w:r>
        <w:rPr>
          <w:rFonts w:eastAsia="Times New Roman"/>
          <w:i/>
          <w:iCs/>
          <w:color w:val="000000"/>
          <w:sz w:val="20"/>
          <w:szCs w:val="20"/>
        </w:rPr>
        <w:t>Note 1: Significant Accounting Policies</w:t>
      </w:r>
      <w:r>
        <w:rPr>
          <w:rFonts w:eastAsia="Times New Roman"/>
          <w:color w:val="000000"/>
          <w:sz w:val="20"/>
          <w:szCs w:val="20"/>
        </w:rPr>
        <w:t xml:space="preserve"> in the Notes for additional infor</w:t>
      </w:r>
      <w:r>
        <w:rPr>
          <w:rFonts w:eastAsia="Times New Roman"/>
          <w:color w:val="000000"/>
          <w:sz w:val="20"/>
          <w:szCs w:val="20"/>
        </w:rPr>
        <w:t>mation regarding the fair value hierarchy.</w:t>
      </w:r>
    </w:p>
    <w:p w:rsidR="00000000" w:rsidRDefault="00AE54EE">
      <w:pPr>
        <w:ind w:firstLine="450"/>
        <w:divId w:val="773940756"/>
        <w:rPr>
          <w:rFonts w:eastAsia="Times New Roman"/>
        </w:rPr>
      </w:pPr>
      <w:r>
        <w:rPr>
          <w:rFonts w:eastAsia="Times New Roman"/>
          <w:color w:val="000000"/>
          <w:sz w:val="20"/>
          <w:szCs w:val="20"/>
        </w:rPr>
        <w:t>In conjunction with the relative fair value allocation, we tested goodwill assigned to each of the disposal group businesses below and goodwill assigned to the retained businesses of their reporting units for impa</w:t>
      </w:r>
      <w:r>
        <w:rPr>
          <w:rFonts w:eastAsia="Times New Roman"/>
          <w:color w:val="000000"/>
          <w:sz w:val="20"/>
          <w:szCs w:val="20"/>
        </w:rPr>
        <w:t>irment and concluded that, except as noted in the following table, no goodwill impairment existed at the time the held for sale criteria were met.</w:t>
      </w:r>
    </w:p>
    <w:tbl>
      <w:tblPr>
        <w:tblW w:w="5000" w:type="pct"/>
        <w:tblCellMar>
          <w:top w:w="15" w:type="dxa"/>
          <w:left w:w="15" w:type="dxa"/>
          <w:bottom w:w="15" w:type="dxa"/>
          <w:right w:w="15" w:type="dxa"/>
        </w:tblCellMar>
        <w:tblLook w:val="04A0" w:firstRow="1" w:lastRow="0" w:firstColumn="1" w:lastColumn="0" w:noHBand="0" w:noVBand="1"/>
      </w:tblPr>
      <w:tblGrid>
        <w:gridCol w:w="41"/>
        <w:gridCol w:w="2227"/>
        <w:gridCol w:w="40"/>
        <w:gridCol w:w="56"/>
        <w:gridCol w:w="1663"/>
        <w:gridCol w:w="38"/>
        <w:gridCol w:w="36"/>
        <w:gridCol w:w="36"/>
        <w:gridCol w:w="36"/>
        <w:gridCol w:w="53"/>
        <w:gridCol w:w="1046"/>
        <w:gridCol w:w="37"/>
        <w:gridCol w:w="36"/>
        <w:gridCol w:w="36"/>
        <w:gridCol w:w="36"/>
        <w:gridCol w:w="121"/>
        <w:gridCol w:w="643"/>
        <w:gridCol w:w="36"/>
        <w:gridCol w:w="36"/>
        <w:gridCol w:w="36"/>
        <w:gridCol w:w="36"/>
        <w:gridCol w:w="121"/>
        <w:gridCol w:w="878"/>
        <w:gridCol w:w="36"/>
        <w:gridCol w:w="36"/>
        <w:gridCol w:w="36"/>
        <w:gridCol w:w="36"/>
        <w:gridCol w:w="121"/>
        <w:gridCol w:w="681"/>
        <w:gridCol w:w="36"/>
      </w:tblGrid>
      <w:tr w:rsidR="00000000">
        <w:trPr>
          <w:divId w:val="1529297183"/>
        </w:trPr>
        <w:tc>
          <w:tcPr>
            <w:tcW w:w="50" w:type="pct"/>
            <w:vAlign w:val="center"/>
            <w:hideMark/>
          </w:tcPr>
          <w:p w:rsidR="00000000" w:rsidRDefault="00AE54EE">
            <w:pPr>
              <w:ind w:firstLine="450"/>
              <w:rPr>
                <w:rFonts w:eastAsia="Times New Roman"/>
              </w:rPr>
            </w:pPr>
          </w:p>
        </w:tc>
        <w:tc>
          <w:tcPr>
            <w:tcW w:w="147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14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7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5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5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5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52929718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Business Segment</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Date of Divestiture</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Goodwill Allocation</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divId w:val="769862333"/>
              <w:rPr>
                <w:rFonts w:eastAsia="Times New Roman"/>
              </w:rPr>
            </w:pPr>
            <w:r>
              <w:rPr>
                <w:rFonts w:eastAsia="Times New Roman"/>
                <w:b/>
                <w:bCs/>
                <w:color w:val="000000"/>
                <w:sz w:val="16"/>
                <w:szCs w:val="16"/>
              </w:rPr>
              <w:t>Goodwill Impairmen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Remaining Goodwill</w:t>
            </w:r>
          </w:p>
        </w:tc>
      </w:tr>
      <w:tr w:rsidR="00000000">
        <w:trPr>
          <w:divId w:val="152929718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29718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i/>
                <w:iCs/>
                <w:color w:val="000000"/>
                <w:sz w:val="20"/>
                <w:szCs w:val="20"/>
              </w:rPr>
              <w:t>Fiscal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29718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Narda-MITEQ business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December 6,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29718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ESSCO business</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November 26,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29718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Electron Devices business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October 1,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29718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VSE disposal group</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30,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29718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CPS business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2,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29718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Military training business</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2,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297183"/>
          <w:trHeight w:val="280"/>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29718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i/>
                <w:iCs/>
                <w:color w:val="000000"/>
                <w:sz w:val="20"/>
                <w:szCs w:val="20"/>
              </w:rPr>
              <w:t>Fiscal 2020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297183"/>
        </w:trPr>
        <w:tc>
          <w:tcPr>
            <w:tcW w:w="0" w:type="auto"/>
            <w:gridSpan w:val="3"/>
            <w:shd w:val="clear" w:color="auto" w:fill="FFFFFF"/>
            <w:tcMar>
              <w:top w:w="30" w:type="dxa"/>
              <w:left w:w="200" w:type="dxa"/>
              <w:bottom w:w="30" w:type="dxa"/>
              <w:right w:w="20" w:type="dxa"/>
            </w:tcMar>
            <w:vAlign w:val="bottom"/>
            <w:hideMark/>
          </w:tcPr>
          <w:p w:rsidR="00000000" w:rsidRDefault="00AE54EE">
            <w:pPr>
              <w:spacing w:after="100"/>
              <w:ind w:hanging="180"/>
              <w:rPr>
                <w:rFonts w:eastAsia="Times New Roman"/>
              </w:rPr>
            </w:pPr>
            <w:r>
              <w:rPr>
                <w:rFonts w:eastAsia="Times New Roman"/>
                <w:color w:val="000000"/>
                <w:sz w:val="20"/>
                <w:szCs w:val="20"/>
              </w:rPr>
              <w:t>EOTech business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Communication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31, 2020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297183"/>
        </w:trPr>
        <w:tc>
          <w:tcPr>
            <w:tcW w:w="0" w:type="auto"/>
            <w:gridSpan w:val="3"/>
            <w:shd w:val="clear" w:color="auto" w:fill="CCEEFF"/>
            <w:tcMar>
              <w:top w:w="30" w:type="dxa"/>
              <w:left w:w="200" w:type="dxa"/>
              <w:bottom w:w="30" w:type="dxa"/>
              <w:right w:w="20" w:type="dxa"/>
            </w:tcMar>
            <w:vAlign w:val="bottom"/>
            <w:hideMark/>
          </w:tcPr>
          <w:p w:rsidR="00000000" w:rsidRDefault="00AE54EE">
            <w:pPr>
              <w:spacing w:after="100"/>
              <w:ind w:hanging="180"/>
              <w:rPr>
                <w:rFonts w:eastAsia="Times New Roman"/>
              </w:rPr>
            </w:pPr>
            <w:r>
              <w:rPr>
                <w:rFonts w:eastAsia="Times New Roman"/>
                <w:color w:val="000000"/>
                <w:sz w:val="20"/>
                <w:szCs w:val="20"/>
              </w:rPr>
              <w:t>Applied Kilovolts business</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Space &amp; Airborne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May 15, 2020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297183"/>
        </w:trPr>
        <w:tc>
          <w:tcPr>
            <w:tcW w:w="0" w:type="auto"/>
            <w:gridSpan w:val="3"/>
            <w:shd w:val="clear" w:color="auto" w:fill="FFFFFF"/>
            <w:tcMar>
              <w:top w:w="30" w:type="dxa"/>
              <w:left w:w="200" w:type="dxa"/>
              <w:bottom w:w="30" w:type="dxa"/>
              <w:right w:w="20" w:type="dxa"/>
            </w:tcMar>
            <w:vAlign w:val="bottom"/>
            <w:hideMark/>
          </w:tcPr>
          <w:p w:rsidR="00000000" w:rsidRDefault="00AE54EE">
            <w:pPr>
              <w:spacing w:after="100"/>
              <w:ind w:hanging="180"/>
              <w:rPr>
                <w:rFonts w:eastAsia="Times New Roman"/>
              </w:rPr>
            </w:pPr>
            <w:r>
              <w:rPr>
                <w:rFonts w:eastAsia="Times New Roman"/>
                <w:color w:val="000000"/>
                <w:sz w:val="20"/>
                <w:szCs w:val="20"/>
              </w:rPr>
              <w:t>Airport security and automation business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May 4, 2020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297183"/>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52929718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52929718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52929718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divId w:val="1529297183"/>
        <w:rPr>
          <w:rFonts w:eastAsia="Times New Roman"/>
        </w:rPr>
      </w:pPr>
      <w:r>
        <w:rPr>
          <w:rFonts w:eastAsia="Times New Roman"/>
          <w:color w:val="000000"/>
          <w:sz w:val="16"/>
          <w:szCs w:val="16"/>
        </w:rPr>
        <w:t>_________________</w:t>
      </w:r>
    </w:p>
    <w:p w:rsidR="00000000" w:rsidRDefault="00AE54EE">
      <w:pPr>
        <w:ind w:hanging="360"/>
        <w:divId w:val="83262596"/>
        <w:rPr>
          <w:rFonts w:eastAsia="Times New Roman"/>
        </w:rPr>
      </w:pPr>
      <w:r>
        <w:rPr>
          <w:rFonts w:eastAsia="Times New Roman"/>
          <w:color w:val="000000"/>
          <w:sz w:val="16"/>
          <w:szCs w:val="16"/>
        </w:rPr>
        <w:t>(1)</w:t>
      </w:r>
      <w:r>
        <w:rPr>
          <w:rFonts w:eastAsia="Times New Roman"/>
          <w:color w:val="000000"/>
          <w:sz w:val="16"/>
          <w:szCs w:val="16"/>
        </w:rPr>
        <w:t>The non-cash impairment charges are included in the “Impairment of goodwill and other assets” line item in our Consolidated Statement of Income.</w:t>
      </w:r>
    </w:p>
    <w:p w:rsidR="00000000" w:rsidRDefault="00AE54EE">
      <w:pPr>
        <w:ind w:firstLine="450"/>
        <w:divId w:val="1895316240"/>
        <w:rPr>
          <w:rFonts w:eastAsia="Times New Roman"/>
        </w:rPr>
      </w:pPr>
      <w:r>
        <w:rPr>
          <w:rFonts w:eastAsia="Times New Roman"/>
          <w:i/>
          <w:iCs/>
          <w:color w:val="000000"/>
          <w:sz w:val="20"/>
          <w:szCs w:val="20"/>
        </w:rPr>
        <w:t>Commercial Aviation Solutions goodwill allocation.</w:t>
      </w:r>
      <w:r>
        <w:rPr>
          <w:rFonts w:eastAsia="Times New Roman"/>
          <w:color w:val="000000"/>
          <w:sz w:val="20"/>
          <w:szCs w:val="20"/>
        </w:rPr>
        <w:t xml:space="preserve"> As described in more detail in </w:t>
      </w:r>
      <w:r>
        <w:rPr>
          <w:rFonts w:eastAsia="Times New Roman"/>
          <w:i/>
          <w:iCs/>
          <w:color w:val="000000"/>
          <w:sz w:val="20"/>
          <w:szCs w:val="20"/>
        </w:rPr>
        <w:t>Note 10: Intangible Assets</w:t>
      </w:r>
      <w:r>
        <w:rPr>
          <w:rFonts w:eastAsia="Times New Roman"/>
          <w:color w:val="000000"/>
          <w:sz w:val="20"/>
          <w:szCs w:val="20"/>
        </w:rPr>
        <w:t xml:space="preserve"> and elsewhere in the Notes, during the quarter ended July 2, 2021, we adjusted our Aviation Systems segment reporting to better align our businesses and separated the CTS business from our Commercial Aviation Solutions reporting </w:t>
      </w:r>
      <w:r>
        <w:rPr>
          <w:rFonts w:eastAsia="Times New Roman"/>
          <w:color w:val="000000"/>
          <w:sz w:val="20"/>
          <w:szCs w:val="20"/>
        </w:rPr>
        <w:t>unit, creating a new CTS reporting unit within the Commercial Aviation Solutions sector of our Aviation Systems segment. We assigned $68 million of goodwill to the CTS reporting unit and $779 million of goodwill to the Commercial Aviation Solutions reporti</w:t>
      </w:r>
      <w:r>
        <w:rPr>
          <w:rFonts w:eastAsia="Times New Roman"/>
          <w:color w:val="000000"/>
          <w:sz w:val="20"/>
          <w:szCs w:val="20"/>
        </w:rPr>
        <w:t>ng unit on a relative fair value basis. In conjunction with the relative fair value allocation, we tested goodwill assigned to each new reporting unit and concluded that no goodwill impairment existed as of July 2, 2021.</w:t>
      </w:r>
    </w:p>
    <w:p w:rsidR="00000000" w:rsidRDefault="00AE54EE">
      <w:pPr>
        <w:ind w:firstLine="450"/>
        <w:divId w:val="1581870478"/>
        <w:rPr>
          <w:rFonts w:eastAsia="Times New Roman"/>
        </w:rPr>
      </w:pPr>
      <w:r>
        <w:rPr>
          <w:rFonts w:eastAsia="Times New Roman"/>
          <w:b/>
          <w:bCs/>
          <w:i/>
          <w:iCs/>
          <w:color w:val="000000"/>
          <w:sz w:val="20"/>
          <w:szCs w:val="20"/>
        </w:rPr>
        <w:t xml:space="preserve">Fiscal 2021 Impairment Tests. </w:t>
      </w:r>
      <w:r>
        <w:rPr>
          <w:rFonts w:eastAsia="Times New Roman"/>
          <w:color w:val="000000"/>
          <w:sz w:val="20"/>
          <w:szCs w:val="20"/>
        </w:rPr>
        <w:t>We pe</w:t>
      </w:r>
      <w:r>
        <w:rPr>
          <w:rFonts w:eastAsia="Times New Roman"/>
          <w:color w:val="000000"/>
          <w:sz w:val="20"/>
          <w:szCs w:val="20"/>
        </w:rPr>
        <w:t>rform an annual impairment test of our goodwill as of the first day of our fourth quarter of each fiscal year, and more frequently if we believe indicators of impairment exist. Following our fiscal year end change, we made a corresponding change to our ann</w:t>
      </w:r>
      <w:r>
        <w:rPr>
          <w:rFonts w:eastAsia="Times New Roman"/>
          <w:color w:val="000000"/>
          <w:sz w:val="20"/>
          <w:szCs w:val="20"/>
        </w:rPr>
        <w:t xml:space="preserve">ual impairment assessment date and continued to perform our annual impairment test on the first day of our fourth quarter, which was October 3, 2020 for fiscal 2020 and October 2, 2021 for fiscal 2021. </w:t>
      </w:r>
    </w:p>
    <w:p w:rsidR="00000000" w:rsidRDefault="00AE54EE">
      <w:pPr>
        <w:ind w:firstLine="450"/>
        <w:jc w:val="center"/>
        <w:divId w:val="18824752"/>
        <w:rPr>
          <w:rFonts w:eastAsia="Times New Roman"/>
        </w:rPr>
      </w:pPr>
      <w:r>
        <w:rPr>
          <w:rFonts w:eastAsia="Times New Roman"/>
          <w:color w:val="000000"/>
          <w:sz w:val="20"/>
          <w:szCs w:val="20"/>
        </w:rPr>
        <w:t>58</w:t>
      </w:r>
    </w:p>
    <w:p w:rsidR="00000000" w:rsidRDefault="00AE54EE">
      <w:pPr>
        <w:rPr>
          <w:rFonts w:eastAsia="Times New Roman"/>
        </w:rPr>
      </w:pPr>
      <w:r>
        <w:rPr>
          <w:rFonts w:eastAsia="Times New Roman"/>
        </w:rPr>
        <w:pict>
          <v:rect id="_x0000_i1086" style="width:0;height:1.5pt" o:hralign="center" o:hrstd="t" o:hr="t" fillcolor="#a0a0a0" stroked="f"/>
        </w:pict>
      </w:r>
    </w:p>
    <w:p w:rsidR="00000000" w:rsidRDefault="00AE54EE">
      <w:pPr>
        <w:ind w:firstLine="450"/>
        <w:divId w:val="119538576"/>
        <w:rPr>
          <w:rFonts w:eastAsia="Times New Roman"/>
        </w:rPr>
      </w:pPr>
    </w:p>
    <w:p w:rsidR="00000000" w:rsidRDefault="00AE54EE">
      <w:pPr>
        <w:ind w:firstLine="450"/>
        <w:divId w:val="773325279"/>
        <w:rPr>
          <w:rFonts w:eastAsia="Times New Roman"/>
        </w:rPr>
      </w:pPr>
      <w:r>
        <w:rPr>
          <w:rFonts w:eastAsia="Times New Roman"/>
          <w:color w:val="000000"/>
          <w:sz w:val="20"/>
          <w:szCs w:val="20"/>
        </w:rPr>
        <w:t>We test good</w:t>
      </w:r>
      <w:r>
        <w:rPr>
          <w:rFonts w:eastAsia="Times New Roman"/>
          <w:color w:val="000000"/>
          <w:sz w:val="20"/>
          <w:szCs w:val="20"/>
        </w:rPr>
        <w:t>will for impairment at a level within the Company referred to as the reporting unit, which is our business segment level or one level below the business segment. Some of our segments are comprised of several reporting units. Allocation of goodwill to sever</w:t>
      </w:r>
      <w:r>
        <w:rPr>
          <w:rFonts w:eastAsia="Times New Roman"/>
          <w:color w:val="000000"/>
          <w:sz w:val="20"/>
          <w:szCs w:val="20"/>
        </w:rPr>
        <w:t>al reporting units could make it more likely that we will have an impairment charge in the future. An impairment charge to any one of our reporting units could have a material impact on our financial condition and results of operations.</w:t>
      </w:r>
    </w:p>
    <w:p w:rsidR="00000000" w:rsidRDefault="00AE54EE">
      <w:pPr>
        <w:ind w:firstLine="450"/>
        <w:divId w:val="1384909239"/>
        <w:rPr>
          <w:rFonts w:eastAsia="Times New Roman"/>
        </w:rPr>
      </w:pPr>
      <w:r>
        <w:rPr>
          <w:rFonts w:eastAsia="Times New Roman"/>
          <w:color w:val="000000"/>
          <w:sz w:val="20"/>
          <w:szCs w:val="20"/>
        </w:rPr>
        <w:t>The process of eval</w:t>
      </w:r>
      <w:r>
        <w:rPr>
          <w:rFonts w:eastAsia="Times New Roman"/>
          <w:color w:val="000000"/>
          <w:sz w:val="20"/>
          <w:szCs w:val="20"/>
        </w:rPr>
        <w:t>uating the potential impairment of goodwill is highly subjective and requires significant judgment. To test goodwill for impairment, we may perform both qualitative and quantitative assessments. If we elect to perform a qualitative assessment for a certain</w:t>
      </w:r>
      <w:r>
        <w:rPr>
          <w:rFonts w:eastAsia="Times New Roman"/>
          <w:color w:val="000000"/>
          <w:sz w:val="20"/>
          <w:szCs w:val="20"/>
        </w:rPr>
        <w:t xml:space="preserve"> reporting unit, we evaluate events and circumstances impacting the reporting unit to determine the probability that goodwill is impaired. If we determine it is more-likely-than-not that the fair value of the reporting unit is less than its carrying amount</w:t>
      </w:r>
      <w:r>
        <w:rPr>
          <w:rFonts w:eastAsia="Times New Roman"/>
          <w:color w:val="000000"/>
          <w:sz w:val="20"/>
          <w:szCs w:val="20"/>
        </w:rPr>
        <w:t xml:space="preserve">, we perform a quantitative assessment. </w:t>
      </w:r>
    </w:p>
    <w:p w:rsidR="00000000" w:rsidRDefault="00AE54EE">
      <w:pPr>
        <w:ind w:firstLine="450"/>
        <w:divId w:val="955910834"/>
        <w:rPr>
          <w:rFonts w:eastAsia="Times New Roman"/>
        </w:rPr>
      </w:pPr>
      <w:r>
        <w:rPr>
          <w:rFonts w:eastAsia="Times New Roman"/>
          <w:color w:val="000000"/>
          <w:sz w:val="20"/>
          <w:szCs w:val="20"/>
        </w:rPr>
        <w:t>Our qualitative assessment of the recoverability of goodwill, whether performed annually or based on specific events or circumstances, considers various macroeconomic, industry-specific and company-specific factors.</w:t>
      </w:r>
      <w:r>
        <w:rPr>
          <w:rFonts w:eastAsia="Times New Roman"/>
          <w:color w:val="000000"/>
          <w:sz w:val="20"/>
          <w:szCs w:val="20"/>
        </w:rPr>
        <w:t xml:space="preserve"> These factors include: (i) deterioration in the general economy; (ii) deterioration in the environment in which the company operates; (iii) increase in raw materials, labor or other costs; (iv) negative or declining cash flows; (v) changes in management, </w:t>
      </w:r>
      <w:r>
        <w:rPr>
          <w:rFonts w:eastAsia="Times New Roman"/>
          <w:color w:val="000000"/>
          <w:sz w:val="20"/>
          <w:szCs w:val="20"/>
        </w:rPr>
        <w:t xml:space="preserve">changes in strategy, or significant litigation; (vi) change in the composition or carrying amount of net assets or an expectation of disposing all or a portion of the reporting unit; or (vii) a sustained decrease in share price. </w:t>
      </w:r>
    </w:p>
    <w:p w:rsidR="00000000" w:rsidRDefault="00AE54EE">
      <w:pPr>
        <w:ind w:firstLine="450"/>
        <w:divId w:val="1190265402"/>
        <w:rPr>
          <w:rFonts w:eastAsia="Times New Roman"/>
        </w:rPr>
      </w:pPr>
      <w:r>
        <w:rPr>
          <w:rFonts w:eastAsia="Times New Roman"/>
          <w:color w:val="000000"/>
          <w:sz w:val="20"/>
          <w:szCs w:val="20"/>
        </w:rPr>
        <w:t>If we perform a quantitati</w:t>
      </w:r>
      <w:r>
        <w:rPr>
          <w:rFonts w:eastAsia="Times New Roman"/>
          <w:color w:val="000000"/>
          <w:sz w:val="20"/>
          <w:szCs w:val="20"/>
        </w:rPr>
        <w:t>ve assessment for a certain reporting unit, we calculate the fair value of that reporting unit and compare the fair value to the reporting unit’s net book value. We estimate fair values of our reporting units based on projected cash flows, and sales and/or</w:t>
      </w:r>
      <w:r>
        <w:rPr>
          <w:rFonts w:eastAsia="Times New Roman"/>
          <w:color w:val="000000"/>
          <w:sz w:val="20"/>
          <w:szCs w:val="20"/>
        </w:rPr>
        <w:t xml:space="preserve"> earnings multiples applied to the latest twelve months’ sales and earnings of our reporting units. Projected cash flows are based on our best estimate of future sales, operating costs and balance sheet metrics reflecting our view of the financial and mark</w:t>
      </w:r>
      <w:r>
        <w:rPr>
          <w:rFonts w:eastAsia="Times New Roman"/>
          <w:color w:val="000000"/>
          <w:sz w:val="20"/>
          <w:szCs w:val="20"/>
        </w:rPr>
        <w:t>et conditions of the underlying business; and the resulting cash flows are discounted using an appropriate discount rate that reflects the risk in the forecasted cash flows. The sales and earnings multiples applied to the sales and earnings of our reportin</w:t>
      </w:r>
      <w:r>
        <w:rPr>
          <w:rFonts w:eastAsia="Times New Roman"/>
          <w:color w:val="000000"/>
          <w:sz w:val="20"/>
          <w:szCs w:val="20"/>
        </w:rPr>
        <w:t>g units are based on current multiples of sales and earnings for similar businesses, and based on sales and earnings multiples paid for recent acquisitions of similar businesses made in the marketplace. We then assess whether any implied control premium, b</w:t>
      </w:r>
      <w:r>
        <w:rPr>
          <w:rFonts w:eastAsia="Times New Roman"/>
          <w:color w:val="000000"/>
          <w:sz w:val="20"/>
          <w:szCs w:val="20"/>
        </w:rPr>
        <w:t>ased on a comparison of fair value based purely on our stock price and outstanding shares with fair value determined by using all of the above-described models, is reasonable.</w:t>
      </w:r>
    </w:p>
    <w:p w:rsidR="00000000" w:rsidRDefault="00AE54EE">
      <w:pPr>
        <w:ind w:firstLine="450"/>
        <w:divId w:val="2041514968"/>
        <w:rPr>
          <w:rFonts w:eastAsia="Times New Roman"/>
        </w:rPr>
      </w:pPr>
      <w:r>
        <w:rPr>
          <w:rFonts w:eastAsia="Times New Roman"/>
          <w:color w:val="000000"/>
          <w:sz w:val="20"/>
          <w:szCs w:val="20"/>
        </w:rPr>
        <w:t xml:space="preserve">We performed our annual impairment test of all of our reporting units’ goodwill </w:t>
      </w:r>
      <w:r>
        <w:rPr>
          <w:rFonts w:eastAsia="Times New Roman"/>
          <w:color w:val="000000"/>
          <w:sz w:val="20"/>
          <w:szCs w:val="20"/>
        </w:rPr>
        <w:t>as of October 2, 2021 and concluded that for each of our reporting units no impairment existed. As of October 2, 2021, the fair value of our Broadband reporting unit exceeded its carrying value, which included $1.9 billion of goodwill, by 16 percent. Altho</w:t>
      </w:r>
      <w:r>
        <w:rPr>
          <w:rFonts w:eastAsia="Times New Roman"/>
          <w:color w:val="000000"/>
          <w:sz w:val="20"/>
          <w:szCs w:val="20"/>
        </w:rPr>
        <w:t>ugh no impairment exists for the Broadband reporting unit, an impairment of goodwill could result from a number of circumstances, including different assumptions used in determining the fair value of the reporting units; changes to U.S. Government spending</w:t>
      </w:r>
      <w:r>
        <w:rPr>
          <w:rFonts w:eastAsia="Times New Roman"/>
          <w:color w:val="000000"/>
          <w:sz w:val="20"/>
          <w:szCs w:val="20"/>
        </w:rPr>
        <w:t xml:space="preserve"> priorities or ability to win competitively awarded contracts; the rescission of significant contract awards as a result of competitors protesting or challenging contracts awarded to us; or a sharp increase in interest rates without a corresponding increas</w:t>
      </w:r>
      <w:r>
        <w:rPr>
          <w:rFonts w:eastAsia="Times New Roman"/>
          <w:color w:val="000000"/>
          <w:sz w:val="20"/>
          <w:szCs w:val="20"/>
        </w:rPr>
        <w:t xml:space="preserve">e in future revenue. </w:t>
      </w:r>
    </w:p>
    <w:p w:rsidR="00000000" w:rsidRDefault="00AE54EE">
      <w:pPr>
        <w:ind w:firstLine="450"/>
        <w:divId w:val="1589341924"/>
        <w:rPr>
          <w:rFonts w:eastAsia="Times New Roman"/>
        </w:rPr>
      </w:pPr>
      <w:r>
        <w:rPr>
          <w:rFonts w:eastAsia="Times New Roman"/>
          <w:b/>
          <w:bCs/>
          <w:i/>
          <w:iCs/>
          <w:color w:val="000000"/>
          <w:sz w:val="20"/>
          <w:szCs w:val="20"/>
        </w:rPr>
        <w:t xml:space="preserve">Fiscal 2020 Impairment Tests. </w:t>
      </w:r>
      <w:r>
        <w:rPr>
          <w:rFonts w:eastAsia="Times New Roman"/>
          <w:color w:val="000000"/>
          <w:sz w:val="20"/>
          <w:szCs w:val="20"/>
        </w:rPr>
        <w:t>Indications of potential impairment of goodwill related to our Commercial Aviation Solutions reporting unit (which is part of our Aviation Systems segment) were present at April 3, 2020 due to COVID and i</w:t>
      </w:r>
      <w:r>
        <w:rPr>
          <w:rFonts w:eastAsia="Times New Roman"/>
          <w:color w:val="000000"/>
          <w:sz w:val="20"/>
          <w:szCs w:val="20"/>
        </w:rPr>
        <w:t>ts impact on global air traffic and customer operations, resulting in a decrease in fiscal 2020 outlook for the reporting unit, which we considered to be a triggering event requiring an interim impairment test. Consequently, in connection with the preparat</w:t>
      </w:r>
      <w:r>
        <w:rPr>
          <w:rFonts w:eastAsia="Times New Roman"/>
          <w:color w:val="000000"/>
          <w:sz w:val="20"/>
          <w:szCs w:val="20"/>
        </w:rPr>
        <w:t xml:space="preserve">ion of our financial statements for the quarter ended April 3, 2020, we performed a quantitative impairment test. To test for potential impairment of goodwill related to our Commercial Aviation Solutions reporting unit, we prepared an estimate of the fair </w:t>
      </w:r>
      <w:r>
        <w:rPr>
          <w:rFonts w:eastAsia="Times New Roman"/>
          <w:color w:val="000000"/>
          <w:sz w:val="20"/>
          <w:szCs w:val="20"/>
        </w:rPr>
        <w:t>value of the reporting unit based on a combination of market-based valuation techniques, utilizing quoted market prices and comparable publicly reported transactions, and projected discounted cash flows. Given the level of uncertainty in the outlook for th</w:t>
      </w:r>
      <w:r>
        <w:rPr>
          <w:rFonts w:eastAsia="Times New Roman"/>
          <w:color w:val="000000"/>
          <w:sz w:val="20"/>
          <w:szCs w:val="20"/>
        </w:rPr>
        <w:t>e commercial aviation industry caused by the impact of COVID on global air traffic, our methodology for determining the fair value of the reporting unit placed the greatest weight on the expected fair value technique, and was dependent on our best estimate</w:t>
      </w:r>
      <w:r>
        <w:rPr>
          <w:rFonts w:eastAsia="Times New Roman"/>
          <w:color w:val="000000"/>
          <w:sz w:val="20"/>
          <w:szCs w:val="20"/>
        </w:rPr>
        <w:t xml:space="preserve">s of future sales, operating costs and balance sheet metrics under a range of scenarios for future economic conditions. We assigned a probability to each scenario to calculate a set of probability-weighted projected cash flows, and an appropriate discount </w:t>
      </w:r>
      <w:r>
        <w:rPr>
          <w:rFonts w:eastAsia="Times New Roman"/>
          <w:color w:val="000000"/>
          <w:sz w:val="20"/>
          <w:szCs w:val="20"/>
        </w:rPr>
        <w:t>rate reflecting the risk in the projected cash flows was used to discount the expected cash flows to present value.</w:t>
      </w:r>
    </w:p>
    <w:p w:rsidR="00000000" w:rsidRDefault="00AE54EE">
      <w:pPr>
        <w:ind w:firstLine="450"/>
        <w:divId w:val="1222406176"/>
        <w:rPr>
          <w:rFonts w:eastAsia="Times New Roman"/>
        </w:rPr>
      </w:pPr>
      <w:r>
        <w:rPr>
          <w:rFonts w:eastAsia="Times New Roman"/>
          <w:color w:val="000000"/>
          <w:sz w:val="20"/>
          <w:szCs w:val="20"/>
        </w:rPr>
        <w:t xml:space="preserve">As a result of this impairment test, we concluded that goodwill related to our Commercial Aviation Solutions reporting unit was impaired as </w:t>
      </w:r>
      <w:r>
        <w:rPr>
          <w:rFonts w:eastAsia="Times New Roman"/>
          <w:color w:val="000000"/>
          <w:sz w:val="20"/>
          <w:szCs w:val="20"/>
        </w:rPr>
        <w:t xml:space="preserve">of April 3, 2020 and recorded non-cash goodwill impairment charges of $296 million in the first quarter of fiscal 2020. </w:t>
      </w:r>
    </w:p>
    <w:p w:rsidR="00000000" w:rsidRDefault="00AE54EE">
      <w:pPr>
        <w:ind w:firstLine="450"/>
        <w:divId w:val="373581574"/>
        <w:rPr>
          <w:rFonts w:eastAsia="Times New Roman"/>
        </w:rPr>
      </w:pPr>
      <w:r>
        <w:rPr>
          <w:rFonts w:eastAsia="Times New Roman"/>
          <w:color w:val="000000"/>
          <w:sz w:val="20"/>
          <w:szCs w:val="20"/>
        </w:rPr>
        <w:t>As adverse global economic and market conditions attributable to COVID, including projected declines and subsequent recovery in commerc</w:t>
      </w:r>
      <w:r>
        <w:rPr>
          <w:rFonts w:eastAsia="Times New Roman"/>
          <w:color w:val="000000"/>
          <w:sz w:val="20"/>
          <w:szCs w:val="20"/>
        </w:rPr>
        <w:t>ial air traffic and original equipment manufacturer production volumes, continued to develop during fiscal 2020, we continued to monitor for facts and circumstances that could negatively impact key valuation assumptions in determining the fair value of our</w:t>
      </w:r>
      <w:r>
        <w:rPr>
          <w:rFonts w:eastAsia="Times New Roman"/>
          <w:color w:val="000000"/>
          <w:sz w:val="20"/>
          <w:szCs w:val="20"/>
        </w:rPr>
        <w:t xml:space="preserve"> Commercial Aviation Solutions reporting unit, including recent valuations, expectations regarding the timing of a return to pre-COVID commercial flight activity and the associated level of uncertainty, long-term revenue and profitability projections, disc</w:t>
      </w:r>
      <w:r>
        <w:rPr>
          <w:rFonts w:eastAsia="Times New Roman"/>
          <w:color w:val="000000"/>
          <w:sz w:val="20"/>
          <w:szCs w:val="20"/>
        </w:rPr>
        <w:t xml:space="preserve">ount rates and general industry, market and macroeconomic conditions. As a result, we determined indications of </w:t>
      </w:r>
    </w:p>
    <w:p w:rsidR="00000000" w:rsidRDefault="00AE54EE">
      <w:pPr>
        <w:ind w:firstLine="450"/>
        <w:jc w:val="center"/>
        <w:divId w:val="1751733495"/>
        <w:rPr>
          <w:rFonts w:eastAsia="Times New Roman"/>
        </w:rPr>
      </w:pPr>
      <w:r>
        <w:rPr>
          <w:rFonts w:eastAsia="Times New Roman"/>
          <w:color w:val="000000"/>
          <w:sz w:val="20"/>
          <w:szCs w:val="20"/>
        </w:rPr>
        <w:t>59</w:t>
      </w:r>
    </w:p>
    <w:p w:rsidR="00000000" w:rsidRDefault="00AE54EE">
      <w:pPr>
        <w:rPr>
          <w:rFonts w:eastAsia="Times New Roman"/>
        </w:rPr>
      </w:pPr>
      <w:r>
        <w:rPr>
          <w:rFonts w:eastAsia="Times New Roman"/>
        </w:rPr>
        <w:pict>
          <v:rect id="_x0000_i1087" style="width:0;height:1.5pt" o:hralign="center" o:hrstd="t" o:hr="t" fillcolor="#a0a0a0" stroked="f"/>
        </w:pict>
      </w:r>
    </w:p>
    <w:p w:rsidR="00000000" w:rsidRDefault="00AE54EE">
      <w:pPr>
        <w:ind w:firstLine="450"/>
        <w:divId w:val="719405194"/>
        <w:rPr>
          <w:rFonts w:eastAsia="Times New Roman"/>
        </w:rPr>
      </w:pPr>
    </w:p>
    <w:p w:rsidR="00000000" w:rsidRDefault="00AE54EE">
      <w:pPr>
        <w:divId w:val="940651069"/>
        <w:rPr>
          <w:rFonts w:eastAsia="Times New Roman"/>
        </w:rPr>
      </w:pPr>
      <w:r>
        <w:rPr>
          <w:rFonts w:eastAsia="Times New Roman"/>
          <w:color w:val="000000"/>
          <w:sz w:val="20"/>
          <w:szCs w:val="20"/>
        </w:rPr>
        <w:t>further impairment of assets related to our Commercial Aviation Solutions reporting unit existed as of July 3, 2020 and again as of early December 2020 and recorded $54 million and $368 million of additional non-cash c</w:t>
      </w:r>
      <w:r>
        <w:rPr>
          <w:rFonts w:eastAsia="Times New Roman"/>
          <w:color w:val="000000"/>
          <w:sz w:val="20"/>
          <w:szCs w:val="20"/>
        </w:rPr>
        <w:t>harges for the impairment of goodwill and other assets during the second and fourth quarters of 2020, respectively. These charges are included in the “Impairment of goodwill and other assets” line item in our Consolidated Statement of Income for fiscal 202</w:t>
      </w:r>
      <w:r>
        <w:rPr>
          <w:rFonts w:eastAsia="Times New Roman"/>
          <w:color w:val="000000"/>
          <w:sz w:val="20"/>
          <w:szCs w:val="20"/>
        </w:rPr>
        <w:t>0 and are primarily not deductible for tax purposes.</w:t>
      </w:r>
    </w:p>
    <w:p w:rsidR="00000000" w:rsidRDefault="00AE54EE">
      <w:pPr>
        <w:ind w:firstLine="450"/>
        <w:divId w:val="1707178782"/>
        <w:rPr>
          <w:rFonts w:eastAsia="Times New Roman"/>
        </w:rPr>
      </w:pPr>
      <w:r>
        <w:rPr>
          <w:rFonts w:eastAsia="Times New Roman"/>
          <w:color w:val="000000"/>
          <w:sz w:val="20"/>
          <w:szCs w:val="20"/>
        </w:rPr>
        <w:t>We also performed our annual impairment test of all of our other reporting units goodwill as of October 3, 2020 and concluded that the estimated fair values for each of our other reporting units exceeded</w:t>
      </w:r>
      <w:r>
        <w:rPr>
          <w:rFonts w:eastAsia="Times New Roman"/>
          <w:color w:val="000000"/>
          <w:sz w:val="20"/>
          <w:szCs w:val="20"/>
        </w:rPr>
        <w:t xml:space="preserve"> their carrying values by greater than 10 percent. As of January 1, 2021, the Commercial Aviation Solutions reporting unit had $847 million of goodwill and the estimated fair value approximated the carrying value of the reporting unit.</w:t>
      </w:r>
    </w:p>
    <w:p w:rsidR="00000000" w:rsidRDefault="00AE54EE">
      <w:pPr>
        <w:ind w:firstLine="450"/>
        <w:divId w:val="1533683781"/>
        <w:rPr>
          <w:rFonts w:eastAsia="Times New Roman"/>
        </w:rPr>
      </w:pPr>
      <w:r>
        <w:rPr>
          <w:rFonts w:eastAsia="Times New Roman"/>
          <w:color w:val="000000"/>
          <w:sz w:val="20"/>
          <w:szCs w:val="20"/>
        </w:rPr>
        <w:t xml:space="preserve">See </w:t>
      </w:r>
      <w:r>
        <w:rPr>
          <w:rFonts w:eastAsia="Times New Roman"/>
          <w:i/>
          <w:iCs/>
          <w:color w:val="000000"/>
          <w:sz w:val="20"/>
          <w:szCs w:val="20"/>
        </w:rPr>
        <w:t>Note 9: Goodwill</w:t>
      </w:r>
      <w:r>
        <w:rPr>
          <w:rFonts w:eastAsia="Times New Roman"/>
          <w:color w:val="000000"/>
          <w:sz w:val="20"/>
          <w:szCs w:val="20"/>
        </w:rPr>
        <w:t xml:space="preserve"> in the Notes for additional information. </w:t>
      </w:r>
    </w:p>
    <w:p w:rsidR="00000000" w:rsidRDefault="00AE54EE">
      <w:pPr>
        <w:divId w:val="1863349853"/>
        <w:rPr>
          <w:rFonts w:eastAsia="Times New Roman"/>
        </w:rPr>
      </w:pPr>
      <w:r>
        <w:rPr>
          <w:rFonts w:eastAsia="Times New Roman"/>
          <w:b/>
          <w:bCs/>
          <w:color w:val="000000"/>
          <w:sz w:val="20"/>
          <w:szCs w:val="20"/>
        </w:rPr>
        <w:t>Accounting for Business Combinations</w:t>
      </w:r>
    </w:p>
    <w:p w:rsidR="00000000" w:rsidRDefault="00AE54EE">
      <w:pPr>
        <w:ind w:firstLine="450"/>
        <w:divId w:val="1921282290"/>
        <w:rPr>
          <w:rFonts w:eastAsia="Times New Roman"/>
        </w:rPr>
      </w:pPr>
      <w:r>
        <w:rPr>
          <w:rFonts w:eastAsia="Times New Roman"/>
          <w:color w:val="000000"/>
          <w:sz w:val="20"/>
          <w:szCs w:val="20"/>
        </w:rPr>
        <w:t>We follow the acquisition method of accounting to record identifiable assets acquired, liabilities assumed and noncontrolling interests recognized in connection with acquired b</w:t>
      </w:r>
      <w:r>
        <w:rPr>
          <w:rFonts w:eastAsia="Times New Roman"/>
          <w:color w:val="000000"/>
          <w:sz w:val="20"/>
          <w:szCs w:val="20"/>
        </w:rPr>
        <w:t>usinesses at their estimated fair value as of the date of acquisition.</w:t>
      </w:r>
    </w:p>
    <w:p w:rsidR="00000000" w:rsidRDefault="00AE54EE">
      <w:pPr>
        <w:ind w:firstLine="450"/>
        <w:divId w:val="398871439"/>
        <w:rPr>
          <w:rFonts w:eastAsia="Times New Roman"/>
        </w:rPr>
      </w:pPr>
      <w:r>
        <w:rPr>
          <w:rFonts w:eastAsia="Times New Roman"/>
          <w:color w:val="000000"/>
          <w:sz w:val="20"/>
          <w:szCs w:val="20"/>
        </w:rPr>
        <w:t>Identifiable intangible assets from business combinations are recognized at their estimated fair values as of the date of acquisition and generally consist of customer relationships, tr</w:t>
      </w:r>
      <w:r>
        <w:rPr>
          <w:rFonts w:eastAsia="Times New Roman"/>
          <w:color w:val="000000"/>
          <w:sz w:val="20"/>
          <w:szCs w:val="20"/>
        </w:rPr>
        <w:t>ade names, developed technology and in-process R&amp;D. Determination of the estimated fair value of identifiable intangible assets requires judgment. The fair value of customer contractual relationships is determined based on estimates and judgments regarding</w:t>
      </w:r>
      <w:r>
        <w:rPr>
          <w:rFonts w:eastAsia="Times New Roman"/>
          <w:color w:val="000000"/>
          <w:sz w:val="20"/>
          <w:szCs w:val="20"/>
        </w:rPr>
        <w:t xml:space="preserve"> future after-tax earnings and cash flows arising from follow-on sales on contract renewals expected from customer contractual relationships over their estimated lives, including the probability of expected future contract renewals and sales, less a contri</w:t>
      </w:r>
      <w:r>
        <w:rPr>
          <w:rFonts w:eastAsia="Times New Roman"/>
          <w:color w:val="000000"/>
          <w:sz w:val="20"/>
          <w:szCs w:val="20"/>
        </w:rPr>
        <w:t>butory asset charge, all of which is discounted to present value. The fair value of trade name identifiable intangible assets is determined utilizing the relief from royalty method. Under this form of the income approach, a royalty rate based on observed m</w:t>
      </w:r>
      <w:r>
        <w:rPr>
          <w:rFonts w:eastAsia="Times New Roman"/>
          <w:color w:val="000000"/>
          <w:sz w:val="20"/>
          <w:szCs w:val="20"/>
        </w:rPr>
        <w:t>arket royalties is applied to projected revenue supporting the trade name and discounted to present value using an appropriate discount rate. Identifiable intangible assets deemed to have indefinite lives are not amortized, but are subject to annual impair</w:t>
      </w:r>
      <w:r>
        <w:rPr>
          <w:rFonts w:eastAsia="Times New Roman"/>
          <w:color w:val="000000"/>
          <w:sz w:val="20"/>
          <w:szCs w:val="20"/>
        </w:rPr>
        <w:t>ment testing. Finite-lived identifiable intangible assets are amortized to expense over their useful lives, generally ranging from three to twenty years. The fair value of identifiable intangible assets acquired in connection with the L3Harris Merger was $</w:t>
      </w:r>
      <w:r>
        <w:rPr>
          <w:rFonts w:eastAsia="Times New Roman"/>
          <w:color w:val="000000"/>
          <w:sz w:val="20"/>
          <w:szCs w:val="20"/>
        </w:rPr>
        <w:t xml:space="preserve">8.5 billion. </w:t>
      </w:r>
    </w:p>
    <w:p w:rsidR="00000000" w:rsidRDefault="00AE54EE">
      <w:pPr>
        <w:ind w:firstLine="450"/>
        <w:divId w:val="1126239685"/>
        <w:rPr>
          <w:rFonts w:eastAsia="Times New Roman"/>
        </w:rPr>
      </w:pPr>
      <w:r>
        <w:rPr>
          <w:rFonts w:eastAsia="Times New Roman"/>
          <w:color w:val="000000"/>
          <w:sz w:val="20"/>
          <w:szCs w:val="20"/>
        </w:rPr>
        <w:t xml:space="preserve">We assess the recoverability of finite-lived identifiable intangible assets whenever events or changes in circumstances indicate the carrying amount of the assets may not be recoverable. We evaluate the recoverability of such assets based on </w:t>
      </w:r>
      <w:r>
        <w:rPr>
          <w:rFonts w:eastAsia="Times New Roman"/>
          <w:color w:val="000000"/>
          <w:sz w:val="20"/>
          <w:szCs w:val="20"/>
        </w:rPr>
        <w:t xml:space="preserve">the expectations of undiscounted cash flows of the assets. If the sum of expected future undiscounted cash flows were less than the carrying amount of the asset, a loss would be recognized for the difference between the fair value and the carrying amount. </w:t>
      </w:r>
      <w:r>
        <w:rPr>
          <w:rFonts w:eastAsia="Times New Roman"/>
          <w:color w:val="000000"/>
          <w:sz w:val="20"/>
          <w:szCs w:val="20"/>
        </w:rPr>
        <w:t xml:space="preserve">See </w:t>
      </w:r>
      <w:r>
        <w:rPr>
          <w:rFonts w:eastAsia="Times New Roman"/>
          <w:i/>
          <w:iCs/>
          <w:color w:val="000000"/>
          <w:sz w:val="20"/>
          <w:szCs w:val="20"/>
        </w:rPr>
        <w:t>Note 4: Business Combination</w:t>
      </w:r>
      <w:r>
        <w:rPr>
          <w:rFonts w:eastAsia="Times New Roman"/>
          <w:color w:val="000000"/>
          <w:sz w:val="20"/>
          <w:szCs w:val="20"/>
        </w:rPr>
        <w:t xml:space="preserve"> and </w:t>
      </w:r>
      <w:r>
        <w:rPr>
          <w:rFonts w:eastAsia="Times New Roman"/>
          <w:i/>
          <w:iCs/>
          <w:color w:val="000000"/>
          <w:sz w:val="20"/>
          <w:szCs w:val="20"/>
        </w:rPr>
        <w:t>Note 10: Intangible Assets</w:t>
      </w:r>
      <w:r>
        <w:rPr>
          <w:rFonts w:eastAsia="Times New Roman"/>
          <w:color w:val="000000"/>
          <w:sz w:val="20"/>
          <w:szCs w:val="20"/>
        </w:rPr>
        <w:t xml:space="preserve"> in the Notes for additional information. </w:t>
      </w:r>
    </w:p>
    <w:p w:rsidR="00000000" w:rsidRDefault="00AE54EE">
      <w:pPr>
        <w:divId w:val="1134448924"/>
        <w:rPr>
          <w:rFonts w:eastAsia="Times New Roman"/>
        </w:rPr>
      </w:pPr>
      <w:r>
        <w:rPr>
          <w:rFonts w:eastAsia="Times New Roman"/>
          <w:b/>
          <w:bCs/>
          <w:color w:val="000000"/>
          <w:sz w:val="20"/>
          <w:szCs w:val="20"/>
        </w:rPr>
        <w:t xml:space="preserve">Income Taxes </w:t>
      </w:r>
    </w:p>
    <w:p w:rsidR="00000000" w:rsidRDefault="00AE54EE">
      <w:pPr>
        <w:ind w:firstLine="450"/>
        <w:divId w:val="1175800699"/>
        <w:rPr>
          <w:rFonts w:eastAsia="Times New Roman"/>
        </w:rPr>
      </w:pPr>
      <w:r>
        <w:rPr>
          <w:rFonts w:eastAsia="Times New Roman"/>
          <w:color w:val="000000"/>
          <w:sz w:val="20"/>
          <w:szCs w:val="20"/>
        </w:rPr>
        <w:t>We record the estimated future tax effects of temporary differences between the tax basis of assets and liabilities and amounts reported</w:t>
      </w:r>
      <w:r>
        <w:rPr>
          <w:rFonts w:eastAsia="Times New Roman"/>
          <w:color w:val="000000"/>
          <w:sz w:val="20"/>
          <w:szCs w:val="20"/>
        </w:rPr>
        <w:t xml:space="preserve"> in our Consolidated Balance Sheet, as well as operating loss and tax credit carryforwards. We follow very specific and detailed guidelines in each tax jurisdiction regarding the recoverability of any tax assets recorded on the balance sheet and provide ne</w:t>
      </w:r>
      <w:r>
        <w:rPr>
          <w:rFonts w:eastAsia="Times New Roman"/>
          <w:color w:val="000000"/>
          <w:sz w:val="20"/>
          <w:szCs w:val="20"/>
        </w:rPr>
        <w:t>cessary valuation allowances as required. Future realization of deferred tax assets ultimately depends on the existence of sufficient taxable income of the appropriate character (for example, ordinary income or capital gain) within the carryback or carryfo</w:t>
      </w:r>
      <w:r>
        <w:rPr>
          <w:rFonts w:eastAsia="Times New Roman"/>
          <w:color w:val="000000"/>
          <w:sz w:val="20"/>
          <w:szCs w:val="20"/>
        </w:rPr>
        <w:t>rward periods available under the tax law. We regularly review our deferred tax assets for recoverability based on historical taxable income, projected future taxable income, the expected timing of the reversals of existing temporary differences and tax pl</w:t>
      </w:r>
      <w:r>
        <w:rPr>
          <w:rFonts w:eastAsia="Times New Roman"/>
          <w:color w:val="000000"/>
          <w:sz w:val="20"/>
          <w:szCs w:val="20"/>
        </w:rPr>
        <w:t>anning strategies. We have not made any material changes in the methodologies used to determine our tax valuation allowances during fiscal 2021, fiscal 2020, the two quarters ended January 3, 2020 or fiscal 2019.</w:t>
      </w:r>
    </w:p>
    <w:p w:rsidR="00000000" w:rsidRDefault="00AE54EE">
      <w:pPr>
        <w:ind w:firstLine="450"/>
        <w:divId w:val="1265529329"/>
        <w:rPr>
          <w:rFonts w:eastAsia="Times New Roman"/>
        </w:rPr>
      </w:pPr>
      <w:r>
        <w:rPr>
          <w:rFonts w:eastAsia="Times New Roman"/>
          <w:color w:val="000000"/>
          <w:sz w:val="20"/>
          <w:szCs w:val="20"/>
        </w:rPr>
        <w:t>Our Consolidated Balance Sheet as of Decemb</w:t>
      </w:r>
      <w:r>
        <w:rPr>
          <w:rFonts w:eastAsia="Times New Roman"/>
          <w:color w:val="000000"/>
          <w:sz w:val="20"/>
          <w:szCs w:val="20"/>
        </w:rPr>
        <w:t xml:space="preserve">er 31, 2021 included deferred tax assets of $85 million and deferred tax liabilities of $1.3 billion. This compares with deferred tax assets of $119 million and deferred tax liabilities of $1.2 billion as of January 1, 2021. For all jurisdictions in which </w:t>
      </w:r>
      <w:r>
        <w:rPr>
          <w:rFonts w:eastAsia="Times New Roman"/>
          <w:color w:val="000000"/>
          <w:sz w:val="20"/>
          <w:szCs w:val="20"/>
        </w:rPr>
        <w:t>we have net deferred tax assets, we expect that our existing levels of pre-tax earnings are sufficient to generate the amount of future taxable income needed to realize these tax assets. Our valuation allowance related to deferred income taxes, which is re</w:t>
      </w:r>
      <w:r>
        <w:rPr>
          <w:rFonts w:eastAsia="Times New Roman"/>
          <w:color w:val="000000"/>
          <w:sz w:val="20"/>
          <w:szCs w:val="20"/>
        </w:rPr>
        <w:t>flected in our Consolidated Balance Sheet, was $257 million as of December 31, 2021 compared with $165 million as of January 1, 2021. Although we make reasonable efforts to ensure the accuracy of our deferred tax assets, if we continue to operate at a loss</w:t>
      </w:r>
      <w:r>
        <w:rPr>
          <w:rFonts w:eastAsia="Times New Roman"/>
          <w:color w:val="000000"/>
          <w:sz w:val="20"/>
          <w:szCs w:val="20"/>
        </w:rPr>
        <w:t xml:space="preserve"> in certain jurisdictions, or are unable to generate sufficient future taxable income, or if there is a material change in the actual effective tax rates or time period within which the underlying temporary differences become taxable or deductible, or if t</w:t>
      </w:r>
      <w:r>
        <w:rPr>
          <w:rFonts w:eastAsia="Times New Roman"/>
          <w:color w:val="000000"/>
          <w:sz w:val="20"/>
          <w:szCs w:val="20"/>
        </w:rPr>
        <w:t>he potential impact of tax planning strategies changes, we could be required to increase the valuation allowance against all or a significant portion of our deferred tax assets resulting in a substantial increase in our effective tax rate and a material ad</w:t>
      </w:r>
      <w:r>
        <w:rPr>
          <w:rFonts w:eastAsia="Times New Roman"/>
          <w:color w:val="000000"/>
          <w:sz w:val="20"/>
          <w:szCs w:val="20"/>
        </w:rPr>
        <w:t>verse impact on our operating results.</w:t>
      </w:r>
    </w:p>
    <w:p w:rsidR="00000000" w:rsidRDefault="00AE54EE">
      <w:pPr>
        <w:ind w:firstLine="450"/>
        <w:divId w:val="1196313816"/>
        <w:rPr>
          <w:rFonts w:eastAsia="Times New Roman"/>
        </w:rPr>
      </w:pPr>
      <w:r>
        <w:rPr>
          <w:rFonts w:eastAsia="Times New Roman"/>
          <w:color w:val="000000"/>
          <w:sz w:val="20"/>
          <w:szCs w:val="20"/>
        </w:rPr>
        <w:t>The evaluation of tax positions taken in a filed tax return, or planned to be taken in a future tax return or claim, involves inherent uncertainty and requires the use of judgment. We evaluate our income tax positions</w:t>
      </w:r>
      <w:r>
        <w:rPr>
          <w:rFonts w:eastAsia="Times New Roman"/>
          <w:color w:val="000000"/>
          <w:sz w:val="20"/>
          <w:szCs w:val="20"/>
        </w:rPr>
        <w:t xml:space="preserve"> and record tax benefits for all years subject to examination based on our assessment of the facts and circumstances as of the reporting date. For tax positions where it </w:t>
      </w:r>
    </w:p>
    <w:p w:rsidR="00000000" w:rsidRDefault="00AE54EE">
      <w:pPr>
        <w:ind w:firstLine="450"/>
        <w:jc w:val="center"/>
        <w:divId w:val="363486306"/>
        <w:rPr>
          <w:rFonts w:eastAsia="Times New Roman"/>
        </w:rPr>
      </w:pPr>
      <w:r>
        <w:rPr>
          <w:rFonts w:eastAsia="Times New Roman"/>
          <w:color w:val="000000"/>
          <w:sz w:val="20"/>
          <w:szCs w:val="20"/>
        </w:rPr>
        <w:t>60</w:t>
      </w:r>
    </w:p>
    <w:p w:rsidR="00000000" w:rsidRDefault="00AE54EE">
      <w:pPr>
        <w:rPr>
          <w:rFonts w:eastAsia="Times New Roman"/>
        </w:rPr>
      </w:pPr>
      <w:r>
        <w:rPr>
          <w:rFonts w:eastAsia="Times New Roman"/>
        </w:rPr>
        <w:pict>
          <v:rect id="_x0000_i1088" style="width:0;height:1.5pt" o:hralign="center" o:hrstd="t" o:hr="t" fillcolor="#a0a0a0" stroked="f"/>
        </w:pict>
      </w:r>
    </w:p>
    <w:p w:rsidR="00000000" w:rsidRDefault="00AE54EE">
      <w:pPr>
        <w:ind w:firstLine="450"/>
        <w:divId w:val="1795244735"/>
        <w:rPr>
          <w:rFonts w:eastAsia="Times New Roman"/>
        </w:rPr>
      </w:pPr>
    </w:p>
    <w:p w:rsidR="00000000" w:rsidRDefault="00AE54EE">
      <w:pPr>
        <w:divId w:val="1171606671"/>
        <w:rPr>
          <w:rFonts w:eastAsia="Times New Roman"/>
        </w:rPr>
      </w:pPr>
      <w:r>
        <w:rPr>
          <w:rFonts w:eastAsia="Times New Roman"/>
          <w:color w:val="000000"/>
          <w:sz w:val="20"/>
          <w:szCs w:val="20"/>
        </w:rPr>
        <w:t>is more likely than not that a tax benefit w</w:t>
      </w:r>
      <w:r>
        <w:rPr>
          <w:rFonts w:eastAsia="Times New Roman"/>
          <w:color w:val="000000"/>
          <w:sz w:val="20"/>
          <w:szCs w:val="20"/>
        </w:rPr>
        <w:t>ill be realized, we record the largest amount of tax benefit with a greater than 50 percent probability of being realized upon ultimate settlement with the applicable taxing authority, assuming the taxing authority has full knowledge of all relevant inform</w:t>
      </w:r>
      <w:r>
        <w:rPr>
          <w:rFonts w:eastAsia="Times New Roman"/>
          <w:color w:val="000000"/>
          <w:sz w:val="20"/>
          <w:szCs w:val="20"/>
        </w:rPr>
        <w:t>ation. For income tax positions where it is not more likely than not that a tax benefit will be realized, we do not recognize a tax benefit in our Consolidated Financial Statements.</w:t>
      </w:r>
    </w:p>
    <w:p w:rsidR="00000000" w:rsidRDefault="00AE54EE">
      <w:pPr>
        <w:ind w:firstLine="450"/>
        <w:divId w:val="526218085"/>
        <w:rPr>
          <w:rFonts w:eastAsia="Times New Roman"/>
        </w:rPr>
      </w:pPr>
      <w:r>
        <w:rPr>
          <w:rFonts w:eastAsia="Times New Roman"/>
          <w:color w:val="000000"/>
          <w:sz w:val="20"/>
          <w:szCs w:val="20"/>
        </w:rPr>
        <w:t>As of December 31, 2021, we had $587 million of unrecognized tax benefits,</w:t>
      </w:r>
      <w:r>
        <w:rPr>
          <w:rFonts w:eastAsia="Times New Roman"/>
          <w:color w:val="000000"/>
          <w:sz w:val="20"/>
          <w:szCs w:val="20"/>
        </w:rPr>
        <w:t xml:space="preserve"> of which $488 million would favorably impact our future tax rates in the event that the tax benefits are eventually recognized. As of January 1, 2021, we had $542 million of unrecognized tax benefits, of which $453 million would favorably impact our futur</w:t>
      </w:r>
      <w:r>
        <w:rPr>
          <w:rFonts w:eastAsia="Times New Roman"/>
          <w:color w:val="000000"/>
          <w:sz w:val="20"/>
          <w:szCs w:val="20"/>
        </w:rPr>
        <w:t xml:space="preserve">e tax rates in the event that the tax benefits are eventually recognized. </w:t>
      </w:r>
    </w:p>
    <w:p w:rsidR="00000000" w:rsidRDefault="00AE54EE">
      <w:pPr>
        <w:ind w:firstLine="450"/>
        <w:divId w:val="101650807"/>
        <w:rPr>
          <w:rFonts w:eastAsia="Times New Roman"/>
        </w:rPr>
      </w:pPr>
      <w:r>
        <w:rPr>
          <w:rFonts w:eastAsia="Times New Roman"/>
          <w:color w:val="000000"/>
          <w:sz w:val="20"/>
          <w:szCs w:val="20"/>
        </w:rPr>
        <w:t>It is reasonably possible that there could be a significant decrease or increase to our unrecognized tax benefits during the course of the next twelve months as ongoing tax examinat</w:t>
      </w:r>
      <w:r>
        <w:rPr>
          <w:rFonts w:eastAsia="Times New Roman"/>
          <w:color w:val="000000"/>
          <w:sz w:val="20"/>
          <w:szCs w:val="20"/>
        </w:rPr>
        <w:t>ions continue, other tax examinations commence or various statutes of limitations expire. However, an estimate of the range of possible changes cannot be made for remaining unrecognized tax benefits because of the significant number of jurisdictions in whi</w:t>
      </w:r>
      <w:r>
        <w:rPr>
          <w:rFonts w:eastAsia="Times New Roman"/>
          <w:color w:val="000000"/>
          <w:sz w:val="20"/>
          <w:szCs w:val="20"/>
        </w:rPr>
        <w:t xml:space="preserve">ch we do business and the number of open tax periods. See </w:t>
      </w:r>
      <w:r>
        <w:rPr>
          <w:rFonts w:eastAsia="Times New Roman"/>
          <w:i/>
          <w:iCs/>
          <w:color w:val="000000"/>
          <w:sz w:val="20"/>
          <w:szCs w:val="20"/>
        </w:rPr>
        <w:t>Note 22: Income Taxes</w:t>
      </w:r>
      <w:r>
        <w:rPr>
          <w:rFonts w:eastAsia="Times New Roman"/>
          <w:color w:val="000000"/>
          <w:sz w:val="20"/>
          <w:szCs w:val="20"/>
        </w:rPr>
        <w:t xml:space="preserve"> in the Notes for additional information. </w:t>
      </w:r>
    </w:p>
    <w:p w:rsidR="00000000" w:rsidRDefault="00AE54EE">
      <w:pPr>
        <w:divId w:val="362171298"/>
        <w:rPr>
          <w:rFonts w:eastAsia="Times New Roman"/>
        </w:rPr>
      </w:pPr>
      <w:r>
        <w:rPr>
          <w:rFonts w:eastAsia="Times New Roman"/>
          <w:b/>
          <w:bCs/>
          <w:color w:val="000000"/>
          <w:sz w:val="20"/>
          <w:szCs w:val="20"/>
        </w:rPr>
        <w:t>Impact of Recently Issued Accounting Pronouncements</w:t>
      </w:r>
    </w:p>
    <w:p w:rsidR="00000000" w:rsidRDefault="00AE54EE">
      <w:pPr>
        <w:ind w:firstLine="450"/>
        <w:divId w:val="712733533"/>
        <w:rPr>
          <w:rFonts w:eastAsia="Times New Roman"/>
        </w:rPr>
      </w:pPr>
      <w:r>
        <w:rPr>
          <w:rFonts w:eastAsia="Times New Roman"/>
          <w:color w:val="000000"/>
          <w:sz w:val="20"/>
          <w:szCs w:val="20"/>
        </w:rPr>
        <w:t xml:space="preserve">Accounting pronouncements that have recently been issued but have not yet been implemented by us are described in </w:t>
      </w:r>
      <w:r>
        <w:rPr>
          <w:rFonts w:eastAsia="Times New Roman"/>
          <w:i/>
          <w:iCs/>
          <w:color w:val="000000"/>
          <w:sz w:val="20"/>
          <w:szCs w:val="20"/>
        </w:rPr>
        <w:t>Note 2: Accounting Changes or Recent Accounting Pronouncements</w:t>
      </w:r>
      <w:r>
        <w:rPr>
          <w:rFonts w:eastAsia="Times New Roman"/>
          <w:color w:val="000000"/>
          <w:sz w:val="20"/>
          <w:szCs w:val="20"/>
        </w:rPr>
        <w:t xml:space="preserve"> in the Notes, which describes the potential impact that these pronouncements ar</w:t>
      </w:r>
      <w:r>
        <w:rPr>
          <w:rFonts w:eastAsia="Times New Roman"/>
          <w:color w:val="000000"/>
          <w:sz w:val="20"/>
          <w:szCs w:val="20"/>
        </w:rPr>
        <w:t>e expected to have on our financial condition, results of operations, cash flows or equity.</w:t>
      </w:r>
    </w:p>
    <w:p w:rsidR="00000000" w:rsidRDefault="00AE54EE">
      <w:pPr>
        <w:divId w:val="1897007608"/>
        <w:rPr>
          <w:rFonts w:eastAsia="Times New Roman"/>
        </w:rPr>
      </w:pPr>
      <w:r>
        <w:rPr>
          <w:rFonts w:eastAsia="Times New Roman"/>
          <w:b/>
          <w:bCs/>
          <w:color w:val="000000"/>
          <w:sz w:val="20"/>
          <w:szCs w:val="20"/>
        </w:rPr>
        <w:t>FORWARD-LOOKING STATEMENTS AND FACTORS THAT MAY AFFECT FUTURE RESULTS</w:t>
      </w:r>
    </w:p>
    <w:p w:rsidR="00000000" w:rsidRDefault="00AE54EE">
      <w:pPr>
        <w:ind w:firstLine="450"/>
        <w:divId w:val="1865705484"/>
        <w:rPr>
          <w:rFonts w:eastAsia="Times New Roman"/>
        </w:rPr>
      </w:pPr>
      <w:r>
        <w:rPr>
          <w:rFonts w:eastAsia="Times New Roman"/>
          <w:color w:val="000000"/>
          <w:sz w:val="20"/>
          <w:szCs w:val="20"/>
        </w:rPr>
        <w:t>The following are some of the factors we believe could cause our actual results to differ mate</w:t>
      </w:r>
      <w:r>
        <w:rPr>
          <w:rFonts w:eastAsia="Times New Roman"/>
          <w:color w:val="000000"/>
          <w:sz w:val="20"/>
          <w:szCs w:val="20"/>
        </w:rPr>
        <w:t>rially from our historical results or our current expectations or projections. Other factors besides those listed here also could adversely affect us. See “Item 1A. Risk Factors” of this Report for more information regarding factors that might cause our re</w:t>
      </w:r>
      <w:r>
        <w:rPr>
          <w:rFonts w:eastAsia="Times New Roman"/>
          <w:color w:val="000000"/>
          <w:sz w:val="20"/>
          <w:szCs w:val="20"/>
        </w:rPr>
        <w:t>sults to differ materially from those expressed in or implied by the forward-looking statements contained in this Report.</w:t>
      </w:r>
    </w:p>
    <w:p w:rsidR="00000000" w:rsidRDefault="00AE54EE">
      <w:pPr>
        <w:ind w:hanging="360"/>
        <w:divId w:val="913316473"/>
        <w:rPr>
          <w:rFonts w:eastAsia="Times New Roman"/>
        </w:rPr>
      </w:pPr>
      <w:r>
        <w:rPr>
          <w:rFonts w:eastAsia="Times New Roman"/>
          <w:color w:val="000000"/>
          <w:sz w:val="20"/>
          <w:szCs w:val="20"/>
        </w:rPr>
        <w:t>•The effects of COVID could have a material adverse effect on our business operations, financial condition, results of operations, cas</w:t>
      </w:r>
      <w:r>
        <w:rPr>
          <w:rFonts w:eastAsia="Times New Roman"/>
          <w:color w:val="000000"/>
          <w:sz w:val="20"/>
          <w:szCs w:val="20"/>
        </w:rPr>
        <w:t>h flows and equity.</w:t>
      </w:r>
    </w:p>
    <w:p w:rsidR="00000000" w:rsidRDefault="00AE54EE">
      <w:pPr>
        <w:ind w:hanging="360"/>
        <w:divId w:val="424762262"/>
        <w:rPr>
          <w:rFonts w:eastAsia="Times New Roman"/>
        </w:rPr>
      </w:pPr>
      <w:r>
        <w:rPr>
          <w:rFonts w:eastAsia="Times New Roman"/>
          <w:color w:val="000000"/>
          <w:sz w:val="20"/>
          <w:szCs w:val="20"/>
        </w:rPr>
        <w:t>•We depend on U.S. Government customers for a significant portion of our revenue, and the loss of these relationships, a reduction in U.S. Government funding or a change in U.S. Government spending priorities could have an adverse impac</w:t>
      </w:r>
      <w:r>
        <w:rPr>
          <w:rFonts w:eastAsia="Times New Roman"/>
          <w:color w:val="000000"/>
          <w:sz w:val="20"/>
          <w:szCs w:val="20"/>
        </w:rPr>
        <w:t>t on our business, financial condition, results of operations, cash flows and equity.</w:t>
      </w:r>
    </w:p>
    <w:p w:rsidR="00000000" w:rsidRDefault="00AE54EE">
      <w:pPr>
        <w:ind w:hanging="360"/>
        <w:divId w:val="902642845"/>
        <w:rPr>
          <w:rFonts w:eastAsia="Times New Roman"/>
        </w:rPr>
      </w:pPr>
      <w:r>
        <w:rPr>
          <w:rFonts w:eastAsia="Times New Roman"/>
          <w:color w:val="000000"/>
          <w:sz w:val="20"/>
          <w:szCs w:val="20"/>
        </w:rPr>
        <w:t>•We depend significantly on U.S. Government contracts, which often are only partially funded, subject to immediate termination, and heavily regulated and audited. The ter</w:t>
      </w:r>
      <w:r>
        <w:rPr>
          <w:rFonts w:eastAsia="Times New Roman"/>
          <w:color w:val="000000"/>
          <w:sz w:val="20"/>
          <w:szCs w:val="20"/>
        </w:rPr>
        <w:t>mination or failure to fund, or negative audit findings for, one or more of these contracts could have an adverse impact on our business, financial condition, results of operations, cash flows and equity.</w:t>
      </w:r>
    </w:p>
    <w:p w:rsidR="00000000" w:rsidRDefault="00AE54EE">
      <w:pPr>
        <w:ind w:hanging="360"/>
        <w:divId w:val="1758014398"/>
        <w:rPr>
          <w:rFonts w:eastAsia="Times New Roman"/>
        </w:rPr>
      </w:pPr>
      <w:r>
        <w:rPr>
          <w:rFonts w:eastAsia="Times New Roman"/>
          <w:color w:val="000000"/>
          <w:sz w:val="20"/>
          <w:szCs w:val="20"/>
        </w:rPr>
        <w:t>•The U.S. Government’</w:t>
      </w:r>
      <w:r>
        <w:rPr>
          <w:rFonts w:eastAsia="Times New Roman"/>
          <w:color w:val="000000"/>
          <w:sz w:val="20"/>
          <w:szCs w:val="20"/>
        </w:rPr>
        <w:t>s budget deficit and the national debt, as well as any inability of the U.S. Government to complete its budget process for any government fiscal year and consequently having to shut down or operate on funding levels equivalent to its prior fiscal year purs</w:t>
      </w:r>
      <w:r>
        <w:rPr>
          <w:rFonts w:eastAsia="Times New Roman"/>
          <w:color w:val="000000"/>
          <w:sz w:val="20"/>
          <w:szCs w:val="20"/>
        </w:rPr>
        <w:t>uant to a “continuing resolution,” could have an adverse impact on our business, financial condition, results of operations, cash flows and equity.</w:t>
      </w:r>
    </w:p>
    <w:p w:rsidR="00000000" w:rsidRDefault="00AE54EE">
      <w:pPr>
        <w:ind w:hanging="360"/>
        <w:divId w:val="962156485"/>
        <w:rPr>
          <w:rFonts w:eastAsia="Times New Roman"/>
        </w:rPr>
      </w:pPr>
      <w:r>
        <w:rPr>
          <w:rFonts w:eastAsia="Times New Roman"/>
          <w:color w:val="000000"/>
          <w:sz w:val="20"/>
          <w:szCs w:val="20"/>
        </w:rPr>
        <w:t>•Our results of operations and cash flows are substantially affected by our mix of fixed-price, cost-plus an</w:t>
      </w:r>
      <w:r>
        <w:rPr>
          <w:rFonts w:eastAsia="Times New Roman"/>
          <w:color w:val="000000"/>
          <w:sz w:val="20"/>
          <w:szCs w:val="20"/>
        </w:rPr>
        <w:t>d time-and-material type contracts. In particular, our fixed-price contracts could subject us to losses in the event of cost overruns or a significant increase in inflation.</w:t>
      </w:r>
    </w:p>
    <w:p w:rsidR="00000000" w:rsidRDefault="00AE54EE">
      <w:pPr>
        <w:ind w:hanging="360"/>
        <w:divId w:val="1284918526"/>
        <w:rPr>
          <w:rFonts w:eastAsia="Times New Roman"/>
        </w:rPr>
      </w:pPr>
      <w:r>
        <w:rPr>
          <w:rFonts w:eastAsia="Times New Roman"/>
          <w:color w:val="000000"/>
          <w:sz w:val="20"/>
          <w:szCs w:val="20"/>
        </w:rPr>
        <w:t>•Our commercial aviation products, systems and services businesses are affected by</w:t>
      </w:r>
      <w:r>
        <w:rPr>
          <w:rFonts w:eastAsia="Times New Roman"/>
          <w:color w:val="000000"/>
          <w:sz w:val="20"/>
          <w:szCs w:val="20"/>
        </w:rPr>
        <w:t xml:space="preserve"> global demand and economic factors that could negatively impact our financial results.</w:t>
      </w:r>
    </w:p>
    <w:p w:rsidR="00000000" w:rsidRDefault="00AE54EE">
      <w:pPr>
        <w:ind w:hanging="360"/>
        <w:divId w:val="1456748987"/>
        <w:rPr>
          <w:rFonts w:eastAsia="Times New Roman"/>
        </w:rPr>
      </w:pPr>
      <w:r>
        <w:rPr>
          <w:rFonts w:eastAsia="Times New Roman"/>
          <w:color w:val="000000"/>
          <w:sz w:val="20"/>
          <w:szCs w:val="20"/>
        </w:rPr>
        <w:t xml:space="preserve">•We participate in markets that are often subject to uncertain economic conditions, which makes it difficult to estimate growth in our markets and, as a result, future </w:t>
      </w:r>
      <w:r>
        <w:rPr>
          <w:rFonts w:eastAsia="Times New Roman"/>
          <w:color w:val="000000"/>
          <w:sz w:val="20"/>
          <w:szCs w:val="20"/>
        </w:rPr>
        <w:t>income and expenditures.</w:t>
      </w:r>
    </w:p>
    <w:p w:rsidR="00000000" w:rsidRDefault="00AE54EE">
      <w:pPr>
        <w:ind w:hanging="360"/>
        <w:divId w:val="1695306829"/>
        <w:rPr>
          <w:rFonts w:eastAsia="Times New Roman"/>
        </w:rPr>
      </w:pPr>
      <w:r>
        <w:rPr>
          <w:rFonts w:eastAsia="Times New Roman"/>
          <w:color w:val="000000"/>
          <w:sz w:val="20"/>
          <w:szCs w:val="20"/>
        </w:rPr>
        <w:t>•We cannot predict the consequences of future geopolitical events, but they may adversely affect the markets in which we operate, our ability to insure against risks, our operations or our profitability.</w:t>
      </w:r>
    </w:p>
    <w:p w:rsidR="00000000" w:rsidRDefault="00AE54EE">
      <w:pPr>
        <w:ind w:hanging="360"/>
        <w:divId w:val="514734682"/>
        <w:rPr>
          <w:rFonts w:eastAsia="Times New Roman"/>
        </w:rPr>
      </w:pPr>
      <w:r>
        <w:rPr>
          <w:rFonts w:eastAsia="Times New Roman"/>
          <w:color w:val="000000"/>
          <w:sz w:val="20"/>
          <w:szCs w:val="20"/>
        </w:rPr>
        <w:t>•We derive a significant po</w:t>
      </w:r>
      <w:r>
        <w:rPr>
          <w:rFonts w:eastAsia="Times New Roman"/>
          <w:color w:val="000000"/>
          <w:sz w:val="20"/>
          <w:szCs w:val="20"/>
        </w:rPr>
        <w:t>rtion of our revenue from international operations and are subject to the risks of doing business internationally, including fluctuations in currency exchange rates.</w:t>
      </w:r>
    </w:p>
    <w:p w:rsidR="00000000" w:rsidRDefault="00AE54EE">
      <w:pPr>
        <w:ind w:hanging="360"/>
        <w:divId w:val="915817971"/>
        <w:rPr>
          <w:rFonts w:eastAsia="Times New Roman"/>
        </w:rPr>
      </w:pPr>
      <w:r>
        <w:rPr>
          <w:rFonts w:eastAsia="Times New Roman"/>
          <w:color w:val="000000"/>
          <w:sz w:val="20"/>
          <w:szCs w:val="20"/>
        </w:rPr>
        <w:t>•We are subject to government investigations, which could have a material adverse effect o</w:t>
      </w:r>
      <w:r>
        <w:rPr>
          <w:rFonts w:eastAsia="Times New Roman"/>
          <w:color w:val="000000"/>
          <w:sz w:val="20"/>
          <w:szCs w:val="20"/>
        </w:rPr>
        <w:t>n our business, financial condition, results of operations, cash flows and equity.</w:t>
      </w:r>
    </w:p>
    <w:p w:rsidR="00000000" w:rsidRDefault="00AE54EE">
      <w:pPr>
        <w:ind w:hanging="360"/>
        <w:divId w:val="495654454"/>
        <w:rPr>
          <w:rFonts w:eastAsia="Times New Roman"/>
        </w:rPr>
      </w:pPr>
      <w:r>
        <w:rPr>
          <w:rFonts w:eastAsia="Times New Roman"/>
          <w:color w:val="000000"/>
          <w:sz w:val="20"/>
          <w:szCs w:val="20"/>
        </w:rPr>
        <w:t>•We could be negatively impacted by a security breach, through cyber attack, cyber intrusion, insider threats or otherwise, or other significant disruption of our IT network</w:t>
      </w:r>
      <w:r>
        <w:rPr>
          <w:rFonts w:eastAsia="Times New Roman"/>
          <w:color w:val="000000"/>
          <w:sz w:val="20"/>
          <w:szCs w:val="20"/>
        </w:rPr>
        <w:t>s and related systems or of those we operate for certain of our customers.</w:t>
      </w:r>
    </w:p>
    <w:p w:rsidR="00000000" w:rsidRDefault="00AE54EE">
      <w:pPr>
        <w:ind w:hanging="360"/>
        <w:divId w:val="729574490"/>
        <w:rPr>
          <w:rFonts w:eastAsia="Times New Roman"/>
        </w:rPr>
      </w:pPr>
      <w:r>
        <w:rPr>
          <w:rFonts w:eastAsia="Times New Roman"/>
          <w:color w:val="000000"/>
          <w:sz w:val="20"/>
          <w:szCs w:val="20"/>
        </w:rPr>
        <w:t>•Our future success will depend on our ability to develop new products, systems, services and technologies that achieve market acceptance in our current and future markets.</w:t>
      </w:r>
    </w:p>
    <w:p w:rsidR="00000000" w:rsidRDefault="00AE54EE">
      <w:pPr>
        <w:ind w:hanging="360"/>
        <w:divId w:val="1367952772"/>
        <w:rPr>
          <w:rFonts w:eastAsia="Times New Roman"/>
        </w:rPr>
      </w:pPr>
      <w:r>
        <w:rPr>
          <w:rFonts w:eastAsia="Times New Roman"/>
          <w:color w:val="000000"/>
          <w:sz w:val="20"/>
          <w:szCs w:val="20"/>
        </w:rPr>
        <w:t>•We must</w:t>
      </w:r>
      <w:r>
        <w:rPr>
          <w:rFonts w:eastAsia="Times New Roman"/>
          <w:color w:val="000000"/>
          <w:sz w:val="20"/>
          <w:szCs w:val="20"/>
        </w:rPr>
        <w:t xml:space="preserve"> attract and retain key employees, and any failure to do so could seriously harm us.</w:t>
      </w:r>
    </w:p>
    <w:p w:rsidR="00000000" w:rsidRDefault="00AE54EE">
      <w:pPr>
        <w:ind w:firstLine="450"/>
        <w:jc w:val="center"/>
        <w:divId w:val="1383137561"/>
        <w:rPr>
          <w:rFonts w:eastAsia="Times New Roman"/>
        </w:rPr>
      </w:pPr>
      <w:r>
        <w:rPr>
          <w:rFonts w:eastAsia="Times New Roman"/>
          <w:color w:val="000000"/>
          <w:sz w:val="20"/>
          <w:szCs w:val="20"/>
        </w:rPr>
        <w:t>61</w:t>
      </w:r>
    </w:p>
    <w:p w:rsidR="00000000" w:rsidRDefault="00AE54EE">
      <w:pPr>
        <w:rPr>
          <w:rFonts w:eastAsia="Times New Roman"/>
        </w:rPr>
      </w:pPr>
      <w:r>
        <w:rPr>
          <w:rFonts w:eastAsia="Times New Roman"/>
        </w:rPr>
        <w:pict>
          <v:rect id="_x0000_i1089" style="width:0;height:1.5pt" o:hralign="center" o:hrstd="t" o:hr="t" fillcolor="#a0a0a0" stroked="f"/>
        </w:pict>
      </w:r>
    </w:p>
    <w:p w:rsidR="00000000" w:rsidRDefault="00AE54EE">
      <w:pPr>
        <w:ind w:firstLine="450"/>
        <w:divId w:val="670529065"/>
        <w:rPr>
          <w:rFonts w:eastAsia="Times New Roman"/>
        </w:rPr>
      </w:pPr>
    </w:p>
    <w:p w:rsidR="00000000" w:rsidRDefault="00AE54EE">
      <w:pPr>
        <w:ind w:hanging="360"/>
        <w:divId w:val="1775397803"/>
        <w:rPr>
          <w:rFonts w:eastAsia="Times New Roman"/>
        </w:rPr>
      </w:pPr>
      <w:r>
        <w:rPr>
          <w:rFonts w:eastAsia="Times New Roman"/>
          <w:color w:val="000000"/>
          <w:sz w:val="20"/>
          <w:szCs w:val="20"/>
        </w:rPr>
        <w:t>•Some of our workforce is represented by labor unions, so a prolonged work stoppage could harm our business.</w:t>
      </w:r>
    </w:p>
    <w:p w:rsidR="00000000" w:rsidRDefault="00AE54EE">
      <w:pPr>
        <w:ind w:hanging="360"/>
        <w:divId w:val="572786492"/>
        <w:rPr>
          <w:rFonts w:eastAsia="Times New Roman"/>
        </w:rPr>
      </w:pPr>
      <w:r>
        <w:rPr>
          <w:rFonts w:eastAsia="Times New Roman"/>
          <w:color w:val="000000"/>
          <w:sz w:val="20"/>
          <w:szCs w:val="20"/>
        </w:rPr>
        <w:t>•Disputes with our su</w:t>
      </w:r>
      <w:r>
        <w:rPr>
          <w:rFonts w:eastAsia="Times New Roman"/>
          <w:color w:val="000000"/>
          <w:sz w:val="20"/>
          <w:szCs w:val="20"/>
        </w:rPr>
        <w:t>bcontractors or key suppliers, or their inability to perform or timely deliver our components, parts or services, could cause our products, systems or services to be produced or delivered in an untimely or unsatisfactory manner.</w:t>
      </w:r>
    </w:p>
    <w:p w:rsidR="00000000" w:rsidRDefault="00AE54EE">
      <w:pPr>
        <w:ind w:hanging="360"/>
        <w:divId w:val="394595980"/>
        <w:rPr>
          <w:rFonts w:eastAsia="Times New Roman"/>
        </w:rPr>
      </w:pPr>
      <w:r>
        <w:rPr>
          <w:rFonts w:eastAsia="Times New Roman"/>
          <w:color w:val="000000"/>
          <w:sz w:val="20"/>
          <w:szCs w:val="20"/>
        </w:rPr>
        <w:t>•We have significant operat</w:t>
      </w:r>
      <w:r>
        <w:rPr>
          <w:rFonts w:eastAsia="Times New Roman"/>
          <w:color w:val="000000"/>
          <w:sz w:val="20"/>
          <w:szCs w:val="20"/>
        </w:rPr>
        <w:t>ions in locations that could be materially and adversely impacted in the event of a natural disaster or other significant disruption.</w:t>
      </w:r>
    </w:p>
    <w:p w:rsidR="00000000" w:rsidRDefault="00AE54EE">
      <w:pPr>
        <w:ind w:hanging="360"/>
        <w:divId w:val="467284856"/>
        <w:rPr>
          <w:rFonts w:eastAsia="Times New Roman"/>
        </w:rPr>
      </w:pPr>
      <w:r>
        <w:rPr>
          <w:rFonts w:eastAsia="Times New Roman"/>
          <w:color w:val="000000"/>
          <w:sz w:val="20"/>
          <w:szCs w:val="20"/>
        </w:rPr>
        <w:t>•Changes in estimates we use in accounting for many of our programs could adversely affect our future financial results.</w:t>
      </w:r>
    </w:p>
    <w:p w:rsidR="00000000" w:rsidRDefault="00AE54EE">
      <w:pPr>
        <w:ind w:hanging="360"/>
        <w:divId w:val="622733249"/>
        <w:rPr>
          <w:rFonts w:eastAsia="Times New Roman"/>
        </w:rPr>
      </w:pPr>
      <w:r>
        <w:rPr>
          <w:rFonts w:eastAsia="Times New Roman"/>
          <w:color w:val="000000"/>
          <w:sz w:val="20"/>
          <w:szCs w:val="20"/>
        </w:rPr>
        <w:t>•</w:t>
      </w:r>
      <w:r>
        <w:rPr>
          <w:rFonts w:eastAsia="Times New Roman"/>
          <w:color w:val="000000"/>
          <w:sz w:val="20"/>
          <w:szCs w:val="20"/>
        </w:rPr>
        <w:t>Our level of indebtedness and our ability to make payments on or service our indebtedness and our unfunded defined benefit plans liability may materially adversely affect our financial and operating activities or our ability to incur additional debt.</w:t>
      </w:r>
    </w:p>
    <w:p w:rsidR="00000000" w:rsidRDefault="00AE54EE">
      <w:pPr>
        <w:ind w:hanging="360"/>
        <w:divId w:val="592475920"/>
        <w:rPr>
          <w:rFonts w:eastAsia="Times New Roman"/>
        </w:rPr>
      </w:pPr>
      <w:r>
        <w:rPr>
          <w:rFonts w:eastAsia="Times New Roman"/>
          <w:color w:val="000000"/>
          <w:sz w:val="20"/>
          <w:szCs w:val="20"/>
        </w:rPr>
        <w:t>•A do</w:t>
      </w:r>
      <w:r>
        <w:rPr>
          <w:rFonts w:eastAsia="Times New Roman"/>
          <w:color w:val="000000"/>
          <w:sz w:val="20"/>
          <w:szCs w:val="20"/>
        </w:rPr>
        <w:t>wngrade in our credit ratings could materially adversely affect our business.</w:t>
      </w:r>
    </w:p>
    <w:p w:rsidR="00000000" w:rsidRDefault="00AE54EE">
      <w:pPr>
        <w:ind w:hanging="360"/>
        <w:divId w:val="1599366404"/>
        <w:rPr>
          <w:rFonts w:eastAsia="Times New Roman"/>
        </w:rPr>
      </w:pPr>
      <w:r>
        <w:rPr>
          <w:rFonts w:eastAsia="Times New Roman"/>
          <w:color w:val="000000"/>
          <w:sz w:val="20"/>
          <w:szCs w:val="20"/>
        </w:rPr>
        <w:t>•The level of returns on defined benefit plan assets, changes in interest rates and other factors could materially adversely affect our financial condition, results of operations</w:t>
      </w:r>
      <w:r>
        <w:rPr>
          <w:rFonts w:eastAsia="Times New Roman"/>
          <w:color w:val="000000"/>
          <w:sz w:val="20"/>
          <w:szCs w:val="20"/>
        </w:rPr>
        <w:t>, cash flows and equity in future periods.</w:t>
      </w:r>
    </w:p>
    <w:p w:rsidR="00000000" w:rsidRDefault="00AE54EE">
      <w:pPr>
        <w:ind w:hanging="360"/>
        <w:divId w:val="36318196"/>
        <w:rPr>
          <w:rFonts w:eastAsia="Times New Roman"/>
        </w:rPr>
      </w:pPr>
      <w:r>
        <w:rPr>
          <w:rFonts w:eastAsia="Times New Roman"/>
          <w:color w:val="000000"/>
          <w:sz w:val="20"/>
          <w:szCs w:val="20"/>
        </w:rPr>
        <w:t>•Changes in our effective tax rate may have an adverse effect on our results of operations.</w:t>
      </w:r>
    </w:p>
    <w:p w:rsidR="00000000" w:rsidRDefault="00AE54EE">
      <w:pPr>
        <w:ind w:hanging="360"/>
        <w:divId w:val="986864246"/>
        <w:rPr>
          <w:rFonts w:eastAsia="Times New Roman"/>
        </w:rPr>
      </w:pPr>
      <w:r>
        <w:rPr>
          <w:rFonts w:eastAsia="Times New Roman"/>
          <w:color w:val="000000"/>
          <w:sz w:val="20"/>
          <w:szCs w:val="20"/>
        </w:rPr>
        <w:t>•We may not be successful in obtaining the necessary export licenses to conduct certain operations abroad, and Congress m</w:t>
      </w:r>
      <w:r>
        <w:rPr>
          <w:rFonts w:eastAsia="Times New Roman"/>
          <w:color w:val="000000"/>
          <w:sz w:val="20"/>
          <w:szCs w:val="20"/>
        </w:rPr>
        <w:t>ay prevent proposed sales to certain foreign governments.</w:t>
      </w:r>
    </w:p>
    <w:p w:rsidR="00000000" w:rsidRDefault="00AE54EE">
      <w:pPr>
        <w:ind w:hanging="360"/>
        <w:divId w:val="2018923323"/>
        <w:rPr>
          <w:rFonts w:eastAsia="Times New Roman"/>
        </w:rPr>
      </w:pPr>
      <w:r>
        <w:rPr>
          <w:rFonts w:eastAsia="Times New Roman"/>
          <w:color w:val="000000"/>
          <w:sz w:val="20"/>
          <w:szCs w:val="20"/>
        </w:rPr>
        <w:t>•Our reputation and ability to do business may be impacted by the improper conduct of our employees, agents or business partners.</w:t>
      </w:r>
    </w:p>
    <w:p w:rsidR="00000000" w:rsidRDefault="00AE54EE">
      <w:pPr>
        <w:ind w:hanging="360"/>
        <w:divId w:val="658537877"/>
        <w:rPr>
          <w:rFonts w:eastAsia="Times New Roman"/>
        </w:rPr>
      </w:pPr>
      <w:r>
        <w:rPr>
          <w:rFonts w:eastAsia="Times New Roman"/>
          <w:color w:val="000000"/>
          <w:sz w:val="20"/>
          <w:szCs w:val="20"/>
        </w:rPr>
        <w:t>•The outcome of litigation or arbitration in which we are involved f</w:t>
      </w:r>
      <w:r>
        <w:rPr>
          <w:rFonts w:eastAsia="Times New Roman"/>
          <w:color w:val="000000"/>
          <w:sz w:val="20"/>
          <w:szCs w:val="20"/>
        </w:rPr>
        <w:t>rom time to time is unpredictable, and an adverse decision in any such matter could have a material adverse effect on our financial condition, results of operations, cash flows and equity.</w:t>
      </w:r>
    </w:p>
    <w:p w:rsidR="00000000" w:rsidRDefault="00AE54EE">
      <w:pPr>
        <w:ind w:hanging="360"/>
        <w:divId w:val="1642156053"/>
        <w:rPr>
          <w:rFonts w:eastAsia="Times New Roman"/>
        </w:rPr>
      </w:pPr>
      <w:r>
        <w:rPr>
          <w:rFonts w:eastAsia="Times New Roman"/>
          <w:color w:val="000000"/>
          <w:sz w:val="20"/>
          <w:szCs w:val="20"/>
        </w:rPr>
        <w:t>•Third parties have claimed in the past and may claim in the future</w:t>
      </w:r>
      <w:r>
        <w:rPr>
          <w:rFonts w:eastAsia="Times New Roman"/>
          <w:color w:val="000000"/>
          <w:sz w:val="20"/>
          <w:szCs w:val="20"/>
        </w:rPr>
        <w:t xml:space="preserve"> that we are infringing directly or indirectly upon their intellectual property rights, and third parties may infringe upon our intellectual property rights.</w:t>
      </w:r>
    </w:p>
    <w:p w:rsidR="00000000" w:rsidRDefault="00AE54EE">
      <w:pPr>
        <w:ind w:hanging="360"/>
        <w:divId w:val="1562137955"/>
        <w:rPr>
          <w:rFonts w:eastAsia="Times New Roman"/>
        </w:rPr>
      </w:pPr>
      <w:r>
        <w:rPr>
          <w:rFonts w:eastAsia="Times New Roman"/>
          <w:color w:val="000000"/>
          <w:sz w:val="20"/>
          <w:szCs w:val="20"/>
        </w:rPr>
        <w:t>•We face certain significant risk exposures and potential liabilities that may not be covered adeq</w:t>
      </w:r>
      <w:r>
        <w:rPr>
          <w:rFonts w:eastAsia="Times New Roman"/>
          <w:color w:val="000000"/>
          <w:sz w:val="20"/>
          <w:szCs w:val="20"/>
        </w:rPr>
        <w:t>uately by insurance or indemnity.</w:t>
      </w:r>
    </w:p>
    <w:p w:rsidR="00000000" w:rsidRDefault="00AE54EE">
      <w:pPr>
        <w:ind w:hanging="360"/>
        <w:divId w:val="1394616638"/>
        <w:rPr>
          <w:rFonts w:eastAsia="Times New Roman"/>
        </w:rPr>
      </w:pPr>
      <w:r>
        <w:rPr>
          <w:rFonts w:eastAsia="Times New Roman"/>
          <w:color w:val="000000"/>
          <w:sz w:val="20"/>
          <w:szCs w:val="20"/>
        </w:rPr>
        <w:t>•Unforeseen environmental issues, including regulations related to GHG emissions or change in customer sentiment related to environmental sustainability, could have a material adverse effect on our business, financial cond</w:t>
      </w:r>
      <w:r>
        <w:rPr>
          <w:rFonts w:eastAsia="Times New Roman"/>
          <w:color w:val="000000"/>
          <w:sz w:val="20"/>
          <w:szCs w:val="20"/>
        </w:rPr>
        <w:t>ition, results of operations, cash flows and equity.</w:t>
      </w:r>
    </w:p>
    <w:p w:rsidR="00000000" w:rsidRDefault="00AE54EE">
      <w:pPr>
        <w:ind w:hanging="360"/>
        <w:divId w:val="1453786354"/>
        <w:rPr>
          <w:rFonts w:eastAsia="Times New Roman"/>
        </w:rPr>
      </w:pPr>
      <w:r>
        <w:rPr>
          <w:rFonts w:eastAsia="Times New Roman"/>
          <w:color w:val="000000"/>
          <w:sz w:val="20"/>
          <w:szCs w:val="20"/>
        </w:rPr>
        <w:t>•</w:t>
      </w:r>
      <w:r>
        <w:rPr>
          <w:rFonts w:eastAsia="Times New Roman"/>
          <w:color w:val="000000"/>
          <w:sz w:val="20"/>
          <w:szCs w:val="20"/>
        </w:rPr>
        <w:t>Strategic transactions, including mergers, acquisitions and divestitures, involve significant risks and uncertainties that could adversely affect our business, financial condition, results of operations, cash flows and equity.</w:t>
      </w:r>
    </w:p>
    <w:p w:rsidR="00000000" w:rsidRDefault="00AE54EE">
      <w:pPr>
        <w:ind w:hanging="360"/>
        <w:divId w:val="1414737540"/>
        <w:rPr>
          <w:rFonts w:eastAsia="Times New Roman"/>
        </w:rPr>
      </w:pPr>
      <w:r>
        <w:rPr>
          <w:rFonts w:eastAsia="Times New Roman"/>
          <w:color w:val="000000"/>
          <w:sz w:val="20"/>
          <w:szCs w:val="20"/>
        </w:rPr>
        <w:t>•Changes in future business o</w:t>
      </w:r>
      <w:r>
        <w:rPr>
          <w:rFonts w:eastAsia="Times New Roman"/>
          <w:color w:val="000000"/>
          <w:sz w:val="20"/>
          <w:szCs w:val="20"/>
        </w:rPr>
        <w:t>r other market conditions could cause business investments and/or recorded goodwill or other long-term assets to become impaired, resulting in substantial losses and write-downs that would materially adversely affect our results of operations and financial</w:t>
      </w:r>
      <w:r>
        <w:rPr>
          <w:rFonts w:eastAsia="Times New Roman"/>
          <w:color w:val="000000"/>
          <w:sz w:val="20"/>
          <w:szCs w:val="20"/>
        </w:rPr>
        <w:t xml:space="preserve"> condition.</w:t>
      </w:r>
    </w:p>
    <w:tbl>
      <w:tblPr>
        <w:tblW w:w="4288" w:type="pct"/>
        <w:tblCellMar>
          <w:top w:w="15" w:type="dxa"/>
          <w:left w:w="15" w:type="dxa"/>
          <w:bottom w:w="15" w:type="dxa"/>
          <w:right w:w="15" w:type="dxa"/>
        </w:tblCellMar>
        <w:tblLook w:val="04A0" w:firstRow="1" w:lastRow="0" w:firstColumn="1" w:lastColumn="0" w:noHBand="0" w:noVBand="1"/>
      </w:tblPr>
      <w:tblGrid>
        <w:gridCol w:w="66"/>
        <w:gridCol w:w="947"/>
        <w:gridCol w:w="36"/>
        <w:gridCol w:w="57"/>
        <w:gridCol w:w="5981"/>
        <w:gridCol w:w="36"/>
      </w:tblGrid>
      <w:tr w:rsidR="00000000">
        <w:trPr>
          <w:divId w:val="1531263722"/>
        </w:trPr>
        <w:tc>
          <w:tcPr>
            <w:tcW w:w="50" w:type="pct"/>
            <w:vAlign w:val="center"/>
            <w:hideMark/>
          </w:tcPr>
          <w:p w:rsidR="00000000" w:rsidRDefault="00AE54EE">
            <w:pPr>
              <w:ind w:hanging="360"/>
              <w:rPr>
                <w:rFonts w:eastAsia="Times New Roman"/>
              </w:rPr>
            </w:pPr>
          </w:p>
        </w:tc>
        <w:tc>
          <w:tcPr>
            <w:tcW w:w="68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0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531263722"/>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7A.</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QUANTITATIVE AND QUALITATIVE DISCLOSURES ABOUT MARKET RISK.</w:t>
            </w:r>
          </w:p>
        </w:tc>
      </w:tr>
    </w:tbl>
    <w:p w:rsidR="00000000" w:rsidRDefault="00AE54EE">
      <w:pPr>
        <w:ind w:firstLine="450"/>
        <w:divId w:val="783580749"/>
        <w:rPr>
          <w:rFonts w:eastAsia="Times New Roman"/>
        </w:rPr>
      </w:pPr>
      <w:r>
        <w:rPr>
          <w:rFonts w:eastAsia="Times New Roman"/>
          <w:color w:val="000000"/>
          <w:sz w:val="20"/>
          <w:szCs w:val="20"/>
        </w:rPr>
        <w:t xml:space="preserve">In the normal course of business, we are exposed to the risks associated with foreign currency exchange rates and changes in interest rates. We employ established policies and procedures governing the use of financial instruments to manage our exposure to </w:t>
      </w:r>
      <w:r>
        <w:rPr>
          <w:rFonts w:eastAsia="Times New Roman"/>
          <w:color w:val="000000"/>
          <w:sz w:val="20"/>
          <w:szCs w:val="20"/>
        </w:rPr>
        <w:t xml:space="preserve">such risks. For a discussion of such policies and procedures and the related risks, see “Financial Risk Management” in “Item 7. Management’s Discussion and Analysis of Financial Condition and Results of Operations” of this Report, which is incorporated by </w:t>
      </w:r>
      <w:r>
        <w:rPr>
          <w:rFonts w:eastAsia="Times New Roman"/>
          <w:color w:val="000000"/>
          <w:sz w:val="20"/>
          <w:szCs w:val="20"/>
        </w:rPr>
        <w:t>reference into this Item 7A.</w:t>
      </w:r>
    </w:p>
    <w:p w:rsidR="00000000" w:rsidRDefault="00AE54EE">
      <w:pPr>
        <w:ind w:firstLine="450"/>
        <w:divId w:val="1903102238"/>
        <w:rPr>
          <w:rFonts w:eastAsia="Times New Roman"/>
        </w:rPr>
      </w:pPr>
      <w:r>
        <w:rPr>
          <w:rFonts w:eastAsia="Times New Roman"/>
          <w:color w:val="000000"/>
          <w:sz w:val="20"/>
          <w:szCs w:val="20"/>
        </w:rPr>
        <w:t>In addition, we are exposed to market return fluctuations on our defined benefit plans. A material adverse decline in the value of these assets and/or the discount rate for projected benefit obligations would result in a decrea</w:t>
      </w:r>
      <w:r>
        <w:rPr>
          <w:rFonts w:eastAsia="Times New Roman"/>
          <w:color w:val="000000"/>
          <w:sz w:val="20"/>
          <w:szCs w:val="20"/>
        </w:rPr>
        <w:t>se in the funded status of the defined benefit plans, an increase in net periodic benefit cost and an increase in required funding. To protect against declines in the discount rate (i.e., interest rates), we will continue to monitor the performance of thes</w:t>
      </w:r>
      <w:r>
        <w:rPr>
          <w:rFonts w:eastAsia="Times New Roman"/>
          <w:color w:val="000000"/>
          <w:sz w:val="20"/>
          <w:szCs w:val="20"/>
        </w:rPr>
        <w:t xml:space="preserve">e assets and market conditions as we evaluate the amount of future contributions. For further information, see </w:t>
      </w:r>
      <w:r>
        <w:rPr>
          <w:rFonts w:eastAsia="Times New Roman"/>
          <w:i/>
          <w:iCs/>
          <w:color w:val="000000"/>
          <w:sz w:val="20"/>
          <w:szCs w:val="20"/>
        </w:rPr>
        <w:t>Note 14: Pension and Other Postretirement Benefits</w:t>
      </w:r>
      <w:r>
        <w:rPr>
          <w:rFonts w:eastAsia="Times New Roman"/>
          <w:color w:val="000000"/>
          <w:sz w:val="20"/>
          <w:szCs w:val="20"/>
        </w:rPr>
        <w:t xml:space="preserve"> in the Notes, which information is incorporated by reference into this Item 7A. </w:t>
      </w:r>
    </w:p>
    <w:p w:rsidR="00000000" w:rsidRDefault="00AE54EE">
      <w:pPr>
        <w:ind w:firstLine="450"/>
        <w:divId w:val="1066537579"/>
        <w:rPr>
          <w:rFonts w:eastAsia="Times New Roman"/>
        </w:rPr>
      </w:pPr>
    </w:p>
    <w:p w:rsidR="00000000" w:rsidRDefault="00AE54EE">
      <w:pPr>
        <w:ind w:firstLine="450"/>
        <w:jc w:val="center"/>
        <w:divId w:val="753665592"/>
        <w:rPr>
          <w:rFonts w:eastAsia="Times New Roman"/>
        </w:rPr>
      </w:pPr>
      <w:r>
        <w:rPr>
          <w:rFonts w:eastAsia="Times New Roman"/>
          <w:color w:val="000000"/>
          <w:sz w:val="20"/>
          <w:szCs w:val="20"/>
        </w:rPr>
        <w:t>62</w:t>
      </w:r>
    </w:p>
    <w:p w:rsidR="00000000" w:rsidRDefault="00AE54EE">
      <w:pPr>
        <w:rPr>
          <w:rFonts w:eastAsia="Times New Roman"/>
        </w:rPr>
      </w:pPr>
      <w:r>
        <w:rPr>
          <w:rFonts w:eastAsia="Times New Roman"/>
        </w:rPr>
        <w:pict>
          <v:rect id="_x0000_i1090" style="width:0;height:1.5pt" o:hralign="center" o:hrstd="t" o:hr="t" fillcolor="#a0a0a0" stroked="f"/>
        </w:pict>
      </w:r>
    </w:p>
    <w:p w:rsidR="00000000" w:rsidRDefault="00AE54EE">
      <w:pPr>
        <w:ind w:firstLine="450"/>
        <w:divId w:val="1009059436"/>
        <w:rPr>
          <w:rFonts w:eastAsia="Times New Roman"/>
        </w:rPr>
      </w:pPr>
    </w:p>
    <w:tbl>
      <w:tblPr>
        <w:tblW w:w="3484" w:type="pct"/>
        <w:tblCellMar>
          <w:top w:w="15" w:type="dxa"/>
          <w:left w:w="15" w:type="dxa"/>
          <w:bottom w:w="15" w:type="dxa"/>
          <w:right w:w="15" w:type="dxa"/>
        </w:tblCellMar>
        <w:tblLook w:val="04A0" w:firstRow="1" w:lastRow="0" w:firstColumn="1" w:lastColumn="0" w:noHBand="0" w:noVBand="1"/>
      </w:tblPr>
      <w:tblGrid>
        <w:gridCol w:w="50"/>
        <w:gridCol w:w="880"/>
        <w:gridCol w:w="36"/>
        <w:gridCol w:w="43"/>
        <w:gridCol w:w="4743"/>
        <w:gridCol w:w="36"/>
      </w:tblGrid>
      <w:tr w:rsidR="00000000">
        <w:trPr>
          <w:divId w:val="1609042753"/>
        </w:trPr>
        <w:tc>
          <w:tcPr>
            <w:tcW w:w="50" w:type="pct"/>
            <w:vAlign w:val="center"/>
            <w:hideMark/>
          </w:tcPr>
          <w:p w:rsidR="00000000" w:rsidRDefault="00AE54EE">
            <w:pPr>
              <w:ind w:firstLine="450"/>
              <w:rPr>
                <w:rFonts w:eastAsia="Times New Roman"/>
              </w:rPr>
            </w:pPr>
          </w:p>
        </w:tc>
        <w:tc>
          <w:tcPr>
            <w:tcW w:w="78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10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609042753"/>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8.</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FINANCIAL STATEMENTS AND SUPPLEMENTARY DATA.</w:t>
            </w:r>
          </w:p>
        </w:tc>
      </w:tr>
    </w:tbl>
    <w:p w:rsidR="00000000" w:rsidRDefault="00AE54EE">
      <w:pPr>
        <w:ind w:firstLine="450"/>
        <w:divId w:val="1147673739"/>
        <w:rPr>
          <w:rFonts w:eastAsia="Times New Roman"/>
        </w:rPr>
      </w:pPr>
      <w:r>
        <w:rPr>
          <w:rFonts w:eastAsia="Times New Roman"/>
          <w:b/>
          <w:bCs/>
          <w:color w:val="000000"/>
          <w:sz w:val="20"/>
          <w:szCs w:val="20"/>
        </w:rPr>
        <w:t>INDEX TO FINANCIAL STATEMENTS AND SUPPLEMENTARY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775"/>
        <w:gridCol w:w="37"/>
        <w:gridCol w:w="73"/>
        <w:gridCol w:w="316"/>
        <w:gridCol w:w="36"/>
      </w:tblGrid>
      <w:tr w:rsidR="00000000">
        <w:trPr>
          <w:divId w:val="889802334"/>
          <w:jc w:val="center"/>
        </w:trPr>
        <w:tc>
          <w:tcPr>
            <w:tcW w:w="50" w:type="pct"/>
            <w:vAlign w:val="center"/>
            <w:hideMark/>
          </w:tcPr>
          <w:p w:rsidR="00000000" w:rsidRDefault="00AE54EE">
            <w:pPr>
              <w:ind w:firstLine="450"/>
              <w:rPr>
                <w:rFonts w:eastAsia="Times New Roman"/>
              </w:rPr>
            </w:pPr>
          </w:p>
        </w:tc>
        <w:tc>
          <w:tcPr>
            <w:tcW w:w="468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0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889802334"/>
          <w:jc w:val="center"/>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Page</w:t>
            </w:r>
          </w:p>
        </w:tc>
      </w:tr>
      <w:tr w:rsidR="00000000">
        <w:trPr>
          <w:divId w:val="889802334"/>
          <w:jc w:val="center"/>
        </w:trPr>
        <w:tc>
          <w:tcPr>
            <w:tcW w:w="0" w:type="auto"/>
            <w:gridSpan w:val="3"/>
            <w:tcMar>
              <w:top w:w="30" w:type="dxa"/>
              <w:left w:w="20" w:type="dxa"/>
              <w:bottom w:w="30" w:type="dxa"/>
              <w:right w:w="20" w:type="dxa"/>
            </w:tcMar>
            <w:hideMark/>
          </w:tcPr>
          <w:p w:rsidR="00000000" w:rsidRDefault="00AE54EE">
            <w:pPr>
              <w:spacing w:after="100"/>
              <w:divId w:val="68506200"/>
              <w:rPr>
                <w:rFonts w:eastAsia="Times New Roman"/>
              </w:rPr>
            </w:pPr>
            <w:hyperlink w:anchor="i44c89fdeb27a46959d9ea3331e76be4e_73" w:history="1">
              <w:r>
                <w:rPr>
                  <w:rStyle w:val="a3"/>
                  <w:rFonts w:eastAsia="Times New Roman"/>
                  <w:color w:val="000000"/>
                  <w:sz w:val="20"/>
                  <w:szCs w:val="20"/>
                  <w:u w:val="none"/>
                </w:rPr>
                <w:t>Management’s Report on Internal Control Over Financial Reporting</w:t>
              </w:r>
            </w:hyperlink>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73" w:history="1">
              <w:r>
                <w:rPr>
                  <w:rStyle w:val="a3"/>
                  <w:rFonts w:eastAsia="Times New Roman"/>
                  <w:color w:val="000000"/>
                  <w:sz w:val="20"/>
                  <w:szCs w:val="20"/>
                  <w:u w:val="none"/>
                </w:rPr>
                <w:t>64</w:t>
              </w:r>
            </w:hyperlink>
          </w:p>
        </w:tc>
      </w:tr>
      <w:tr w:rsidR="00000000">
        <w:trPr>
          <w:divId w:val="889802334"/>
          <w:jc w:val="center"/>
        </w:trPr>
        <w:tc>
          <w:tcPr>
            <w:tcW w:w="0" w:type="auto"/>
            <w:gridSpan w:val="3"/>
            <w:tcMar>
              <w:top w:w="30" w:type="dxa"/>
              <w:left w:w="20" w:type="dxa"/>
              <w:bottom w:w="30" w:type="dxa"/>
              <w:right w:w="20" w:type="dxa"/>
            </w:tcMar>
            <w:hideMark/>
          </w:tcPr>
          <w:p w:rsidR="00000000" w:rsidRDefault="00AE54EE">
            <w:pPr>
              <w:spacing w:after="100"/>
              <w:ind w:hanging="270"/>
              <w:divId w:val="485903509"/>
              <w:rPr>
                <w:rFonts w:eastAsia="Times New Roman"/>
              </w:rPr>
            </w:pPr>
            <w:hyperlink w:anchor="i44c89fdeb27a46959d9ea3331e76be4e_76" w:history="1">
              <w:r>
                <w:rPr>
                  <w:rStyle w:val="a3"/>
                  <w:rFonts w:eastAsia="Times New Roman"/>
                  <w:color w:val="000000"/>
                  <w:sz w:val="20"/>
                  <w:szCs w:val="20"/>
                  <w:u w:val="none"/>
                </w:rPr>
                <w:t>Report</w:t>
              </w:r>
              <w:r>
                <w:rPr>
                  <w:rStyle w:val="a3"/>
                  <w:rFonts w:eastAsia="Times New Roman"/>
                  <w:color w:val="000000"/>
                  <w:sz w:val="20"/>
                  <w:szCs w:val="20"/>
                  <w:u w:val="none"/>
                </w:rPr>
                <w:t xml:space="preserve"> of Independent Registered Public Accounting Firm (PCAOB ID:</w:t>
              </w:r>
            </w:hyperlink>
            <w:r>
              <w:rPr>
                <w:rFonts w:eastAsia="Times New Roman"/>
                <w:color w:val="000000"/>
                <w:sz w:val="20"/>
                <w:szCs w:val="20"/>
              </w:rPr>
              <w:t xml:space="preserve"> 42</w:t>
            </w:r>
            <w:hyperlink w:anchor="i44c89fdeb27a46959d9ea3331e76be4e_76" w:history="1">
              <w:r>
                <w:rPr>
                  <w:rStyle w:val="a3"/>
                  <w:rFonts w:eastAsia="Times New Roman"/>
                  <w:color w:val="000000"/>
                  <w:sz w:val="20"/>
                  <w:szCs w:val="20"/>
                  <w:u w:val="none"/>
                </w:rPr>
                <w:t>) on the Consolidated Financial Statements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76" w:history="1">
              <w:r>
                <w:rPr>
                  <w:rStyle w:val="a3"/>
                  <w:rFonts w:eastAsia="Times New Roman"/>
                  <w:color w:val="000000"/>
                  <w:sz w:val="20"/>
                  <w:szCs w:val="20"/>
                  <w:u w:val="none"/>
                </w:rPr>
                <w:t>65</w:t>
              </w:r>
            </w:hyperlink>
          </w:p>
        </w:tc>
      </w:tr>
      <w:tr w:rsidR="00000000">
        <w:trPr>
          <w:divId w:val="889802334"/>
          <w:jc w:val="center"/>
        </w:trPr>
        <w:tc>
          <w:tcPr>
            <w:tcW w:w="0" w:type="auto"/>
            <w:gridSpan w:val="3"/>
            <w:tcMar>
              <w:top w:w="30" w:type="dxa"/>
              <w:left w:w="20" w:type="dxa"/>
              <w:bottom w:w="30" w:type="dxa"/>
              <w:right w:w="20" w:type="dxa"/>
            </w:tcMar>
            <w:hideMark/>
          </w:tcPr>
          <w:p w:rsidR="00000000" w:rsidRDefault="00AE54EE">
            <w:pPr>
              <w:spacing w:after="100"/>
              <w:ind w:hanging="270"/>
              <w:divId w:val="497964989"/>
              <w:rPr>
                <w:rFonts w:eastAsia="Times New Roman"/>
              </w:rPr>
            </w:pPr>
            <w:hyperlink w:anchor="i44c89fdeb27a46959d9ea3331e76be4e_79" w:history="1">
              <w:r>
                <w:rPr>
                  <w:rStyle w:val="a3"/>
                  <w:rFonts w:eastAsia="Times New Roman"/>
                  <w:color w:val="000000"/>
                  <w:sz w:val="20"/>
                  <w:szCs w:val="20"/>
                  <w:u w:val="none"/>
                </w:rPr>
                <w:t>Report of Independent Registered Public Accounting Firm on the Effectiveness of Internal Control Over Financial Reporting</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79" w:history="1">
              <w:r>
                <w:rPr>
                  <w:rStyle w:val="a3"/>
                  <w:rFonts w:eastAsia="Times New Roman"/>
                  <w:color w:val="000000"/>
                  <w:sz w:val="20"/>
                  <w:szCs w:val="20"/>
                  <w:u w:val="none"/>
                </w:rPr>
                <w:t>68</w:t>
              </w:r>
            </w:hyperlink>
          </w:p>
        </w:tc>
      </w:tr>
      <w:tr w:rsidR="00000000">
        <w:trPr>
          <w:divId w:val="889802334"/>
          <w:jc w:val="center"/>
        </w:trPr>
        <w:tc>
          <w:tcPr>
            <w:tcW w:w="0" w:type="auto"/>
            <w:gridSpan w:val="3"/>
            <w:tcMar>
              <w:top w:w="30" w:type="dxa"/>
              <w:left w:w="20" w:type="dxa"/>
              <w:bottom w:w="30" w:type="dxa"/>
              <w:right w:w="20" w:type="dxa"/>
            </w:tcMar>
            <w:hideMark/>
          </w:tcPr>
          <w:p w:rsidR="00000000" w:rsidRDefault="00AE54EE">
            <w:pPr>
              <w:spacing w:after="100"/>
              <w:ind w:hanging="270"/>
              <w:divId w:val="283122662"/>
              <w:rPr>
                <w:rFonts w:eastAsia="Times New Roman"/>
              </w:rPr>
            </w:pPr>
            <w:hyperlink w:anchor="i44c89fdeb27a46959d9ea3331e76be4e_82" w:history="1">
              <w:r>
                <w:rPr>
                  <w:rStyle w:val="a3"/>
                  <w:rFonts w:eastAsia="Times New Roman"/>
                  <w:color w:val="000000"/>
                  <w:sz w:val="20"/>
                  <w:szCs w:val="20"/>
                  <w:u w:val="none"/>
                </w:rPr>
                <w:t>Consolidated Statement of Income — Fiscal Years Ended December 31, 2021 and January 1, 2021, Two Quarters Ended January 3, 2020, and Fiscal Year Ended June 28, 2019</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82" w:history="1">
              <w:r>
                <w:rPr>
                  <w:rStyle w:val="a3"/>
                  <w:rFonts w:eastAsia="Times New Roman"/>
                  <w:color w:val="000000"/>
                  <w:sz w:val="20"/>
                  <w:szCs w:val="20"/>
                  <w:u w:val="none"/>
                </w:rPr>
                <w:t>69</w:t>
              </w:r>
            </w:hyperlink>
          </w:p>
        </w:tc>
      </w:tr>
      <w:tr w:rsidR="00000000">
        <w:trPr>
          <w:divId w:val="889802334"/>
          <w:jc w:val="center"/>
        </w:trPr>
        <w:tc>
          <w:tcPr>
            <w:tcW w:w="0" w:type="auto"/>
            <w:gridSpan w:val="3"/>
            <w:tcMar>
              <w:top w:w="30" w:type="dxa"/>
              <w:left w:w="20" w:type="dxa"/>
              <w:bottom w:w="30" w:type="dxa"/>
              <w:right w:w="20" w:type="dxa"/>
            </w:tcMar>
            <w:hideMark/>
          </w:tcPr>
          <w:p w:rsidR="00000000" w:rsidRDefault="00AE54EE">
            <w:pPr>
              <w:spacing w:after="100"/>
              <w:ind w:hanging="270"/>
              <w:divId w:val="1632132356"/>
              <w:rPr>
                <w:rFonts w:eastAsia="Times New Roman"/>
              </w:rPr>
            </w:pPr>
            <w:hyperlink w:anchor="i44c89fdeb27a46959d9ea3331e76be4e_85" w:history="1">
              <w:r>
                <w:rPr>
                  <w:rStyle w:val="a3"/>
                  <w:rFonts w:eastAsia="Times New Roman"/>
                  <w:color w:val="000000"/>
                  <w:sz w:val="20"/>
                  <w:szCs w:val="20"/>
                  <w:u w:val="none"/>
                </w:rPr>
                <w:t xml:space="preserve">Consolidated Statement of Comprehensive Income — Fiscal Years Ended December 31, 2021 and January 1, 2021, Two Quarters Ended January 3, 2020, and Fiscal Year Ended June </w:t>
              </w:r>
              <w:r>
                <w:rPr>
                  <w:rStyle w:val="a3"/>
                  <w:rFonts w:eastAsia="Times New Roman"/>
                  <w:color w:val="000000"/>
                  <w:sz w:val="20"/>
                  <w:szCs w:val="20"/>
                  <w:u w:val="none"/>
                </w:rPr>
                <w:t>28, 2019</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85" w:history="1">
              <w:r>
                <w:rPr>
                  <w:rStyle w:val="a3"/>
                  <w:rFonts w:eastAsia="Times New Roman"/>
                  <w:color w:val="000000"/>
                  <w:sz w:val="20"/>
                  <w:szCs w:val="20"/>
                  <w:u w:val="none"/>
                </w:rPr>
                <w:t>70</w:t>
              </w:r>
            </w:hyperlink>
          </w:p>
        </w:tc>
      </w:tr>
      <w:tr w:rsidR="00000000">
        <w:trPr>
          <w:divId w:val="889802334"/>
          <w:jc w:val="center"/>
        </w:trPr>
        <w:tc>
          <w:tcPr>
            <w:tcW w:w="0" w:type="auto"/>
            <w:gridSpan w:val="3"/>
            <w:tcMar>
              <w:top w:w="30" w:type="dxa"/>
              <w:left w:w="20" w:type="dxa"/>
              <w:bottom w:w="30" w:type="dxa"/>
              <w:right w:w="20" w:type="dxa"/>
            </w:tcMar>
            <w:hideMark/>
          </w:tcPr>
          <w:p w:rsidR="00000000" w:rsidRDefault="00AE54EE">
            <w:pPr>
              <w:spacing w:after="100"/>
              <w:divId w:val="22249090"/>
              <w:rPr>
                <w:rFonts w:eastAsia="Times New Roman"/>
              </w:rPr>
            </w:pPr>
            <w:hyperlink w:anchor="i44c89fdeb27a46959d9ea3331e76be4e_88" w:history="1">
              <w:r>
                <w:rPr>
                  <w:rStyle w:val="a3"/>
                  <w:rFonts w:eastAsia="Times New Roman"/>
                  <w:color w:val="000000"/>
                  <w:sz w:val="20"/>
                  <w:szCs w:val="20"/>
                  <w:u w:val="none"/>
                </w:rPr>
                <w:t>Consolidated Balance Sheet —</w:t>
              </w:r>
            </w:hyperlink>
            <w:r>
              <w:rPr>
                <w:rFonts w:eastAsia="Times New Roman"/>
                <w:color w:val="000000"/>
                <w:sz w:val="20"/>
                <w:szCs w:val="20"/>
              </w:rPr>
              <w:t xml:space="preserve"> December 31, 2021 and January 1, 2021</w:t>
            </w:r>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88" w:history="1">
              <w:r>
                <w:rPr>
                  <w:rStyle w:val="a3"/>
                  <w:rFonts w:eastAsia="Times New Roman"/>
                  <w:color w:val="000000"/>
                  <w:sz w:val="20"/>
                  <w:szCs w:val="20"/>
                  <w:u w:val="none"/>
                </w:rPr>
                <w:t>71</w:t>
              </w:r>
            </w:hyperlink>
          </w:p>
        </w:tc>
      </w:tr>
      <w:tr w:rsidR="00000000">
        <w:trPr>
          <w:divId w:val="889802334"/>
          <w:jc w:val="center"/>
        </w:trPr>
        <w:tc>
          <w:tcPr>
            <w:tcW w:w="0" w:type="auto"/>
            <w:gridSpan w:val="3"/>
            <w:tcMar>
              <w:top w:w="30" w:type="dxa"/>
              <w:left w:w="20" w:type="dxa"/>
              <w:bottom w:w="30" w:type="dxa"/>
              <w:right w:w="20" w:type="dxa"/>
            </w:tcMar>
            <w:hideMark/>
          </w:tcPr>
          <w:p w:rsidR="00000000" w:rsidRDefault="00AE54EE">
            <w:pPr>
              <w:spacing w:after="100"/>
              <w:ind w:hanging="270"/>
              <w:divId w:val="1683823334"/>
              <w:rPr>
                <w:rFonts w:eastAsia="Times New Roman"/>
              </w:rPr>
            </w:pPr>
            <w:hyperlink w:anchor="i44c89fdeb27a46959d9ea3331e76be4e_91" w:history="1">
              <w:r>
                <w:rPr>
                  <w:rStyle w:val="a3"/>
                  <w:rFonts w:eastAsia="Times New Roman"/>
                  <w:color w:val="000000"/>
                  <w:sz w:val="20"/>
                  <w:szCs w:val="20"/>
                  <w:u w:val="none"/>
                </w:rPr>
                <w:t xml:space="preserve">Consolidated Statement of Cash Flows — </w:t>
              </w:r>
            </w:hyperlink>
            <w:r>
              <w:rPr>
                <w:rFonts w:eastAsia="Times New Roman"/>
                <w:color w:val="000000"/>
                <w:sz w:val="20"/>
                <w:szCs w:val="20"/>
              </w:rPr>
              <w:t>Fiscal Years Ended December 31, 2021 and January 1, 2021, Two Quarters Ended January 3, 2020,</w:t>
            </w:r>
            <w:r>
              <w:rPr>
                <w:rFonts w:eastAsia="Times New Roman"/>
                <w:color w:val="000000"/>
                <w:sz w:val="20"/>
                <w:szCs w:val="20"/>
              </w:rPr>
              <w:t xml:space="preserve"> and Fiscal Year Ended June 28, 2019</w:t>
            </w:r>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91" w:history="1">
              <w:r>
                <w:rPr>
                  <w:rStyle w:val="a3"/>
                  <w:rFonts w:eastAsia="Times New Roman"/>
                  <w:color w:val="000000"/>
                  <w:sz w:val="20"/>
                  <w:szCs w:val="20"/>
                  <w:u w:val="none"/>
                </w:rPr>
                <w:t>72</w:t>
              </w:r>
            </w:hyperlink>
          </w:p>
        </w:tc>
      </w:tr>
      <w:tr w:rsidR="00000000">
        <w:trPr>
          <w:divId w:val="889802334"/>
          <w:jc w:val="center"/>
        </w:trPr>
        <w:tc>
          <w:tcPr>
            <w:tcW w:w="0" w:type="auto"/>
            <w:gridSpan w:val="3"/>
            <w:tcMar>
              <w:top w:w="30" w:type="dxa"/>
              <w:left w:w="20" w:type="dxa"/>
              <w:bottom w:w="30" w:type="dxa"/>
              <w:right w:w="20" w:type="dxa"/>
            </w:tcMar>
            <w:hideMark/>
          </w:tcPr>
          <w:p w:rsidR="00000000" w:rsidRDefault="00AE54EE">
            <w:pPr>
              <w:spacing w:after="100"/>
              <w:ind w:hanging="270"/>
              <w:divId w:val="1916015739"/>
              <w:rPr>
                <w:rFonts w:eastAsia="Times New Roman"/>
              </w:rPr>
            </w:pPr>
            <w:hyperlink w:anchor="i44c89fdeb27a46959d9ea3331e76be4e_94" w:history="1">
              <w:r>
                <w:rPr>
                  <w:rStyle w:val="a3"/>
                  <w:rFonts w:eastAsia="Times New Roman"/>
                  <w:color w:val="000000"/>
                  <w:sz w:val="20"/>
                  <w:szCs w:val="20"/>
                  <w:u w:val="none"/>
                </w:rPr>
                <w:t xml:space="preserve">Consolidated Statement of Equity — </w:t>
              </w:r>
            </w:hyperlink>
            <w:r>
              <w:rPr>
                <w:rFonts w:eastAsia="Times New Roman"/>
                <w:color w:val="000000"/>
                <w:sz w:val="20"/>
                <w:szCs w:val="20"/>
              </w:rPr>
              <w:t>Fiscal Years Ended December 31, 2021 and January 1, 2021, Two Quarters Ended January 3, 2020, and Fiscal Year Ended June 28, 2019</w:t>
            </w:r>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94" w:history="1">
              <w:r>
                <w:rPr>
                  <w:rStyle w:val="a3"/>
                  <w:rFonts w:eastAsia="Times New Roman"/>
                  <w:color w:val="000000"/>
                  <w:sz w:val="20"/>
                  <w:szCs w:val="20"/>
                  <w:u w:val="none"/>
                </w:rPr>
                <w:t>73</w:t>
              </w:r>
            </w:hyperlink>
          </w:p>
        </w:tc>
      </w:tr>
      <w:tr w:rsidR="00000000">
        <w:trPr>
          <w:divId w:val="889802334"/>
          <w:jc w:val="center"/>
        </w:trPr>
        <w:tc>
          <w:tcPr>
            <w:tcW w:w="0" w:type="auto"/>
            <w:gridSpan w:val="3"/>
            <w:tcMar>
              <w:top w:w="30" w:type="dxa"/>
              <w:left w:w="20" w:type="dxa"/>
              <w:bottom w:w="30" w:type="dxa"/>
              <w:right w:w="20" w:type="dxa"/>
            </w:tcMar>
            <w:hideMark/>
          </w:tcPr>
          <w:p w:rsidR="00000000" w:rsidRDefault="00AE54EE">
            <w:pPr>
              <w:spacing w:after="100"/>
              <w:divId w:val="1026252222"/>
              <w:rPr>
                <w:rFonts w:eastAsia="Times New Roman"/>
              </w:rPr>
            </w:pPr>
            <w:hyperlink w:anchor="i44c89fdeb27a46959d9ea3331e76be4e_97"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97" w:history="1">
              <w:r>
                <w:rPr>
                  <w:rStyle w:val="a3"/>
                  <w:rFonts w:eastAsia="Times New Roman"/>
                  <w:color w:val="000000"/>
                  <w:sz w:val="20"/>
                  <w:szCs w:val="20"/>
                  <w:u w:val="none"/>
                </w:rPr>
                <w:t>74</w:t>
              </w:r>
            </w:hyperlink>
          </w:p>
        </w:tc>
      </w:tr>
      <w:tr w:rsidR="00000000">
        <w:trPr>
          <w:divId w:val="889802334"/>
          <w:jc w:val="center"/>
        </w:trPr>
        <w:tc>
          <w:tcPr>
            <w:tcW w:w="0" w:type="auto"/>
            <w:gridSpan w:val="3"/>
            <w:vAlign w:val="center"/>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firstLine="450"/>
        <w:divId w:val="2034454629"/>
        <w:rPr>
          <w:rFonts w:eastAsia="Times New Roman"/>
        </w:rPr>
      </w:pPr>
    </w:p>
    <w:p w:rsidR="00000000" w:rsidRDefault="00AE54EE">
      <w:pPr>
        <w:ind w:firstLine="450"/>
        <w:jc w:val="center"/>
        <w:divId w:val="1567760549"/>
        <w:rPr>
          <w:rFonts w:eastAsia="Times New Roman"/>
        </w:rPr>
      </w:pPr>
      <w:r>
        <w:rPr>
          <w:rFonts w:eastAsia="Times New Roman"/>
          <w:color w:val="000000"/>
          <w:sz w:val="20"/>
          <w:szCs w:val="20"/>
        </w:rPr>
        <w:t>63</w:t>
      </w:r>
    </w:p>
    <w:p w:rsidR="00000000" w:rsidRDefault="00AE54EE">
      <w:pPr>
        <w:rPr>
          <w:rFonts w:eastAsia="Times New Roman"/>
        </w:rPr>
      </w:pPr>
      <w:r>
        <w:rPr>
          <w:rFonts w:eastAsia="Times New Roman"/>
        </w:rPr>
        <w:pict>
          <v:rect id="_x0000_i1091" style="width:0;height:1.5pt" o:hralign="center" o:hrstd="t" o:hr="t" fillcolor="#a0a0a0" stroked="f"/>
        </w:pict>
      </w:r>
    </w:p>
    <w:p w:rsidR="00000000" w:rsidRDefault="00AE54EE">
      <w:pPr>
        <w:ind w:firstLine="450"/>
        <w:divId w:val="2115008011"/>
        <w:rPr>
          <w:rFonts w:eastAsia="Times New Roman"/>
        </w:rPr>
      </w:pPr>
    </w:p>
    <w:p w:rsidR="00000000" w:rsidRDefault="00AE54EE">
      <w:pPr>
        <w:ind w:firstLine="450"/>
        <w:jc w:val="center"/>
        <w:divId w:val="749695218"/>
        <w:rPr>
          <w:rFonts w:eastAsia="Times New Roman"/>
        </w:rPr>
      </w:pPr>
      <w:r>
        <w:rPr>
          <w:rFonts w:eastAsia="Times New Roman"/>
          <w:b/>
          <w:bCs/>
          <w:color w:val="000000"/>
          <w:sz w:val="20"/>
          <w:szCs w:val="20"/>
        </w:rPr>
        <w:t>MANAGEMENT’S REPORT ON INTERNAL CONTROL</w:t>
      </w:r>
    </w:p>
    <w:p w:rsidR="00000000" w:rsidRDefault="00AE54EE">
      <w:pPr>
        <w:ind w:firstLine="450"/>
        <w:jc w:val="center"/>
        <w:divId w:val="456995253"/>
        <w:rPr>
          <w:rFonts w:eastAsia="Times New Roman"/>
        </w:rPr>
      </w:pPr>
      <w:r>
        <w:rPr>
          <w:rFonts w:eastAsia="Times New Roman"/>
          <w:b/>
          <w:bCs/>
          <w:color w:val="000000"/>
          <w:sz w:val="20"/>
          <w:szCs w:val="20"/>
        </w:rPr>
        <w:t>OVER FINANCIAL REPORTING</w:t>
      </w:r>
    </w:p>
    <w:p w:rsidR="00000000" w:rsidRDefault="00AE54EE">
      <w:pPr>
        <w:ind w:firstLine="450"/>
        <w:divId w:val="332758727"/>
        <w:rPr>
          <w:rFonts w:eastAsia="Times New Roman"/>
        </w:rPr>
      </w:pPr>
      <w:r>
        <w:rPr>
          <w:rFonts w:eastAsia="Times New Roman"/>
          <w:color w:val="000000"/>
          <w:sz w:val="20"/>
          <w:szCs w:val="20"/>
        </w:rPr>
        <w:t>The management of L3Harris Technologies, Inc. (the “Company”) is responsible for establishing and maintaining adequate internal control over financial re</w:t>
      </w:r>
      <w:r>
        <w:rPr>
          <w:rFonts w:eastAsia="Times New Roman"/>
          <w:color w:val="000000"/>
          <w:sz w:val="20"/>
          <w:szCs w:val="20"/>
        </w:rPr>
        <w:t>porting as such term is defined in Rules 13a-15(f) and 15d-15(f) under the Securities Exchange Act of 1934, as amended. The Company’s internal control over financial reporting is designed to provide reasonable assurance, based on an appropriate cost-benefi</w:t>
      </w:r>
      <w:r>
        <w:rPr>
          <w:rFonts w:eastAsia="Times New Roman"/>
          <w:color w:val="000000"/>
          <w:sz w:val="20"/>
          <w:szCs w:val="20"/>
        </w:rPr>
        <w:t>t analysis, regarding the reliability of financial reporting and the preparation of financial statements for external purposes in accordance with U.S. generally accepted accounting principles. The Company’s internal control over financial reporting include</w:t>
      </w:r>
      <w:r>
        <w:rPr>
          <w:rFonts w:eastAsia="Times New Roman"/>
          <w:color w:val="000000"/>
          <w:sz w:val="20"/>
          <w:szCs w:val="20"/>
        </w:rPr>
        <w:t>s those policies and procedures that: (i) pertain to the maintenance of records that, in reasonable detail, accurately and fairly reflect the transactions and dispositions of the assets of the Company; (ii) provide reasonable assurance that transactions ar</w:t>
      </w:r>
      <w:r>
        <w:rPr>
          <w:rFonts w:eastAsia="Times New Roman"/>
          <w:color w:val="000000"/>
          <w:sz w:val="20"/>
          <w:szCs w:val="20"/>
        </w:rPr>
        <w:t>e recorded as necessary to permit preparation of financial statements in accordance with U.S. generally accepted accounting principles, and that receipts and expenditures of the Company are being made only in accordance with authorizations of management an</w:t>
      </w:r>
      <w:r>
        <w:rPr>
          <w:rFonts w:eastAsia="Times New Roman"/>
          <w:color w:val="000000"/>
          <w:sz w:val="20"/>
          <w:szCs w:val="20"/>
        </w:rPr>
        <w:t>d directors of the Company; and (iii) provide reasonable assurance regarding prevention or timely detection of unauthorized acquisition, use or disposition of the Company’s assets that could have a material effect on the financial statements.</w:t>
      </w:r>
    </w:p>
    <w:p w:rsidR="00000000" w:rsidRDefault="00AE54EE">
      <w:pPr>
        <w:ind w:firstLine="450"/>
        <w:divId w:val="1258975917"/>
        <w:rPr>
          <w:rFonts w:eastAsia="Times New Roman"/>
        </w:rPr>
      </w:pPr>
      <w:r>
        <w:rPr>
          <w:rFonts w:eastAsia="Times New Roman"/>
          <w:color w:val="000000"/>
          <w:sz w:val="20"/>
          <w:szCs w:val="20"/>
        </w:rPr>
        <w:t>Because of it</w:t>
      </w:r>
      <w:r>
        <w:rPr>
          <w:rFonts w:eastAsia="Times New Roman"/>
          <w:color w:val="000000"/>
          <w:sz w:val="20"/>
          <w:szCs w:val="20"/>
        </w:rPr>
        <w:t>s inherent limitations, internal control over financial reporting may not prevent or detect misstatements. Therefore, even those systems determined to be effective can provide only reasonable assurance with respect to financial statement preparation and pr</w:t>
      </w:r>
      <w:r>
        <w:rPr>
          <w:rFonts w:eastAsia="Times New Roman"/>
          <w:color w:val="000000"/>
          <w:sz w:val="20"/>
          <w:szCs w:val="20"/>
        </w:rPr>
        <w:t>esentation. Also, projections of any evaluation of effectiveness to future periods are subject to the risk that controls may become inadequate because of changes in conditions, or that the degree of compliance with the policies or procedures may deteriorat</w:t>
      </w:r>
      <w:r>
        <w:rPr>
          <w:rFonts w:eastAsia="Times New Roman"/>
          <w:color w:val="000000"/>
          <w:sz w:val="20"/>
          <w:szCs w:val="20"/>
        </w:rPr>
        <w:t>e.</w:t>
      </w:r>
    </w:p>
    <w:p w:rsidR="00000000" w:rsidRDefault="00AE54EE">
      <w:pPr>
        <w:ind w:firstLine="450"/>
        <w:divId w:val="69624415"/>
        <w:rPr>
          <w:rFonts w:eastAsia="Times New Roman"/>
        </w:rPr>
      </w:pPr>
      <w:r>
        <w:rPr>
          <w:rFonts w:eastAsia="Times New Roman"/>
          <w:color w:val="000000"/>
          <w:sz w:val="20"/>
          <w:szCs w:val="20"/>
        </w:rPr>
        <w:t xml:space="preserve">Management, with the participation of our Chief Executive Officer and Chief Financial Officer, assessed the effectiveness of the Company’s internal control over financial reporting as of December 31, 2021. In making this assessment, management used the </w:t>
      </w:r>
      <w:r>
        <w:rPr>
          <w:rFonts w:eastAsia="Times New Roman"/>
          <w:color w:val="000000"/>
          <w:sz w:val="20"/>
          <w:szCs w:val="20"/>
        </w:rPr>
        <w:t xml:space="preserve">criteria set forth by the Committee of Sponsoring Organizations of the Treadway Commission (COSO) in </w:t>
      </w:r>
      <w:r>
        <w:rPr>
          <w:rFonts w:eastAsia="Times New Roman"/>
          <w:i/>
          <w:iCs/>
          <w:color w:val="000000"/>
          <w:sz w:val="20"/>
          <w:szCs w:val="20"/>
        </w:rPr>
        <w:t>Internal Control-Integrated Framework</w:t>
      </w:r>
      <w:r>
        <w:rPr>
          <w:rFonts w:eastAsia="Times New Roman"/>
          <w:color w:val="000000"/>
          <w:sz w:val="20"/>
          <w:szCs w:val="20"/>
        </w:rPr>
        <w:t xml:space="preserve"> (2013 framework). Based on management’s assessment and those criteria, management concluded that the Company maintain</w:t>
      </w:r>
      <w:r>
        <w:rPr>
          <w:rFonts w:eastAsia="Times New Roman"/>
          <w:color w:val="000000"/>
          <w:sz w:val="20"/>
          <w:szCs w:val="20"/>
        </w:rPr>
        <w:t>ed effective internal control over financial reporting as of December 31, 2021.</w:t>
      </w:r>
    </w:p>
    <w:p w:rsidR="00000000" w:rsidRDefault="00AE54EE">
      <w:pPr>
        <w:ind w:firstLine="450"/>
        <w:divId w:val="1828280470"/>
        <w:rPr>
          <w:rFonts w:eastAsia="Times New Roman"/>
        </w:rPr>
      </w:pPr>
      <w:r>
        <w:rPr>
          <w:rFonts w:eastAsia="Times New Roman"/>
          <w:color w:val="000000"/>
          <w:sz w:val="20"/>
          <w:szCs w:val="20"/>
        </w:rPr>
        <w:t>The Company’s independent registered public accounting firm, Ernst &amp; Young LLP, has issued a report on the effectiveness of the Company’s internal control over financial report</w:t>
      </w:r>
      <w:r>
        <w:rPr>
          <w:rFonts w:eastAsia="Times New Roman"/>
          <w:color w:val="000000"/>
          <w:sz w:val="20"/>
          <w:szCs w:val="20"/>
        </w:rPr>
        <w:t>ing. This report appears on page 68 of this Annual Report on Form 10-K.</w:t>
      </w:r>
    </w:p>
    <w:p w:rsidR="00000000" w:rsidRDefault="00AE54EE">
      <w:pPr>
        <w:ind w:firstLine="450"/>
        <w:divId w:val="596788481"/>
        <w:rPr>
          <w:rFonts w:eastAsia="Times New Roman"/>
        </w:rPr>
      </w:pPr>
    </w:p>
    <w:p w:rsidR="00000000" w:rsidRDefault="00AE54EE">
      <w:pPr>
        <w:ind w:firstLine="450"/>
        <w:jc w:val="center"/>
        <w:divId w:val="1169831810"/>
        <w:rPr>
          <w:rFonts w:eastAsia="Times New Roman"/>
        </w:rPr>
      </w:pPr>
      <w:r>
        <w:rPr>
          <w:rFonts w:eastAsia="Times New Roman"/>
          <w:color w:val="000000"/>
          <w:sz w:val="20"/>
          <w:szCs w:val="20"/>
        </w:rPr>
        <w:t>64</w:t>
      </w:r>
    </w:p>
    <w:p w:rsidR="00000000" w:rsidRDefault="00AE54EE">
      <w:pPr>
        <w:rPr>
          <w:rFonts w:eastAsia="Times New Roman"/>
        </w:rPr>
      </w:pPr>
      <w:r>
        <w:rPr>
          <w:rFonts w:eastAsia="Times New Roman"/>
        </w:rPr>
        <w:pict>
          <v:rect id="_x0000_i1092" style="width:0;height:1.5pt" o:hralign="center" o:hrstd="t" o:hr="t" fillcolor="#a0a0a0" stroked="f"/>
        </w:pict>
      </w:r>
    </w:p>
    <w:p w:rsidR="00000000" w:rsidRDefault="00AE54EE">
      <w:pPr>
        <w:ind w:firstLine="450"/>
        <w:divId w:val="1080061263"/>
        <w:rPr>
          <w:rFonts w:eastAsia="Times New Roman"/>
        </w:rPr>
      </w:pPr>
    </w:p>
    <w:p w:rsidR="00000000" w:rsidRDefault="00AE54EE">
      <w:pPr>
        <w:ind w:firstLine="450"/>
        <w:jc w:val="center"/>
        <w:divId w:val="178547303"/>
        <w:rPr>
          <w:rFonts w:eastAsia="Times New Roman"/>
        </w:rPr>
      </w:pPr>
      <w:r>
        <w:rPr>
          <w:rFonts w:eastAsia="Times New Roman"/>
          <w:b/>
          <w:bCs/>
          <w:color w:val="000000"/>
          <w:sz w:val="20"/>
          <w:szCs w:val="20"/>
        </w:rPr>
        <w:t>Report of Independent Registered Public Accounting Firm</w:t>
      </w:r>
    </w:p>
    <w:p w:rsidR="00000000" w:rsidRDefault="00AE54EE">
      <w:pPr>
        <w:divId w:val="624624975"/>
        <w:rPr>
          <w:rFonts w:eastAsia="Times New Roman"/>
        </w:rPr>
      </w:pPr>
      <w:r>
        <w:rPr>
          <w:rFonts w:eastAsia="Times New Roman"/>
          <w:color w:val="000000"/>
          <w:sz w:val="20"/>
          <w:szCs w:val="20"/>
        </w:rPr>
        <w:t xml:space="preserve">To the Shareholders and the Board of Directors of L3Harris Technologies, Inc. </w:t>
      </w:r>
    </w:p>
    <w:p w:rsidR="00000000" w:rsidRDefault="00AE54EE">
      <w:pPr>
        <w:divId w:val="561140375"/>
        <w:rPr>
          <w:rFonts w:eastAsia="Times New Roman"/>
        </w:rPr>
      </w:pPr>
      <w:r>
        <w:rPr>
          <w:rFonts w:eastAsia="Times New Roman"/>
          <w:b/>
          <w:bCs/>
          <w:color w:val="000000"/>
          <w:sz w:val="20"/>
          <w:szCs w:val="20"/>
        </w:rPr>
        <w:t>Opini</w:t>
      </w:r>
      <w:r>
        <w:rPr>
          <w:rFonts w:eastAsia="Times New Roman"/>
          <w:b/>
          <w:bCs/>
          <w:color w:val="000000"/>
          <w:sz w:val="20"/>
          <w:szCs w:val="20"/>
        </w:rPr>
        <w:t>on on the Financial Statements</w:t>
      </w:r>
    </w:p>
    <w:p w:rsidR="00000000" w:rsidRDefault="00AE54EE">
      <w:pPr>
        <w:divId w:val="2023625800"/>
        <w:rPr>
          <w:rFonts w:eastAsia="Times New Roman"/>
        </w:rPr>
      </w:pPr>
      <w:r>
        <w:rPr>
          <w:rFonts w:eastAsia="Times New Roman"/>
          <w:color w:val="000000"/>
          <w:sz w:val="20"/>
          <w:szCs w:val="20"/>
        </w:rPr>
        <w:t xml:space="preserve">We have audited the accompanying consolidated balance sheets of L3Harris Technologies, Inc. (the Company) as of December 31, 2021 and January 1, 2021, the related consolidated statements of income, comprehensive income, cash </w:t>
      </w:r>
      <w:r>
        <w:rPr>
          <w:rFonts w:eastAsia="Times New Roman"/>
          <w:color w:val="000000"/>
          <w:sz w:val="20"/>
          <w:szCs w:val="20"/>
        </w:rPr>
        <w:t xml:space="preserve">flows and equity for each of the two years in the period ended December 31, 2021, the two quarters ended January 3, 2020, and the year ended June 28, 2019, and the related notes (collectively referred to as the “consolidated financial statements”). In our </w:t>
      </w:r>
      <w:r>
        <w:rPr>
          <w:rFonts w:eastAsia="Times New Roman"/>
          <w:color w:val="000000"/>
          <w:sz w:val="20"/>
          <w:szCs w:val="20"/>
        </w:rPr>
        <w:t>opinion, the consolidated financial statements present fairly, in all material respects, the financial position of the Company at December 31, 2021 and January 1, 2021, and the results of its operations and its cash flows for each of the two years in the p</w:t>
      </w:r>
      <w:r>
        <w:rPr>
          <w:rFonts w:eastAsia="Times New Roman"/>
          <w:color w:val="000000"/>
          <w:sz w:val="20"/>
          <w:szCs w:val="20"/>
        </w:rPr>
        <w:t>eriod ended December 31, 2021, the two quarters ended January 3, 2020, and the year ended June 28, 2019, in conformity with U.S. generally accepted accounting principles.</w:t>
      </w:r>
    </w:p>
    <w:p w:rsidR="00000000" w:rsidRDefault="00AE54EE">
      <w:pPr>
        <w:divId w:val="525290206"/>
        <w:rPr>
          <w:rFonts w:eastAsia="Times New Roman"/>
        </w:rPr>
      </w:pPr>
      <w:r>
        <w:rPr>
          <w:rFonts w:eastAsia="Times New Roman"/>
          <w:color w:val="000000"/>
          <w:sz w:val="20"/>
          <w:szCs w:val="20"/>
        </w:rPr>
        <w:t>We also have audited, in accordance with the standards of the Public Company Accounti</w:t>
      </w:r>
      <w:r>
        <w:rPr>
          <w:rFonts w:eastAsia="Times New Roman"/>
          <w:color w:val="000000"/>
          <w:sz w:val="20"/>
          <w:szCs w:val="20"/>
        </w:rPr>
        <w:t>ng Oversight Board (United States) (PCAOB), the Company's internal control over financial reporting as of December 31, 2021, based on criteria established in Internal Control-Integrated Framework issued by the Committee of Sponsoring Organizations of the T</w:t>
      </w:r>
      <w:r>
        <w:rPr>
          <w:rFonts w:eastAsia="Times New Roman"/>
          <w:color w:val="000000"/>
          <w:sz w:val="20"/>
          <w:szCs w:val="20"/>
        </w:rPr>
        <w:t>readway Commission (2013 framework), and our report dated February 25, 2022 expressed an unqualified opinion thereon.</w:t>
      </w:r>
    </w:p>
    <w:p w:rsidR="00000000" w:rsidRDefault="00AE54EE">
      <w:pPr>
        <w:divId w:val="1449661458"/>
        <w:rPr>
          <w:rFonts w:eastAsia="Times New Roman"/>
        </w:rPr>
      </w:pPr>
      <w:r>
        <w:rPr>
          <w:rFonts w:eastAsia="Times New Roman"/>
          <w:b/>
          <w:bCs/>
          <w:color w:val="000000"/>
          <w:sz w:val="20"/>
          <w:szCs w:val="20"/>
        </w:rPr>
        <w:t>Basis for Opinion</w:t>
      </w:r>
    </w:p>
    <w:p w:rsidR="00000000" w:rsidRDefault="00AE54EE">
      <w:pPr>
        <w:divId w:val="2079817612"/>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PCAOB and are required</w:t>
      </w:r>
      <w:r>
        <w:rPr>
          <w:rFonts w:eastAsia="Times New Roman"/>
          <w:color w:val="000000"/>
          <w:sz w:val="20"/>
          <w:szCs w:val="20"/>
        </w:rPr>
        <w:t xml:space="preserve"> to be independent with respect to the Company in accordance with the U.S. federal securities laws and the applicable rules and regulations of the Securities and Exchange Commission and the PCAOB.</w:t>
      </w:r>
    </w:p>
    <w:p w:rsidR="00000000" w:rsidRDefault="00AE54EE">
      <w:pPr>
        <w:divId w:val="1105274277"/>
        <w:rPr>
          <w:rFonts w:eastAsia="Times New Roman"/>
        </w:rPr>
      </w:pPr>
      <w:r>
        <w:rPr>
          <w:rFonts w:eastAsia="Times New Roman"/>
          <w:color w:val="000000"/>
          <w:sz w:val="20"/>
          <w:szCs w:val="20"/>
        </w:rPr>
        <w:t>We conducted our audits in accordance with the standards of</w:t>
      </w:r>
      <w:r>
        <w:rPr>
          <w:rFonts w:eastAsia="Times New Roman"/>
          <w:color w:val="000000"/>
          <w:sz w:val="20"/>
          <w:szCs w:val="20"/>
        </w:rPr>
        <w:t xml:space="preserve"> the PCAOB. Those standards require that we plan and perform the audit to obtain reasonable assurance about whether the financial statements are free of material misstatement, whether due to error or fraud. Our audits included performing procedures to asse</w:t>
      </w:r>
      <w:r>
        <w:rPr>
          <w:rFonts w:eastAsia="Times New Roman"/>
          <w:color w:val="000000"/>
          <w:sz w:val="20"/>
          <w:szCs w:val="20"/>
        </w:rPr>
        <w:t xml:space="preserve">ss the risks of material misstatement of the financial statements, whether due to error or fraud, and performing procedures that respond to those risks. Such procedures included examining, on a test basis, evidence regarding the amounts and disclosures in </w:t>
      </w:r>
      <w:r>
        <w:rPr>
          <w:rFonts w:eastAsia="Times New Roman"/>
          <w:color w:val="000000"/>
          <w:sz w:val="20"/>
          <w:szCs w:val="20"/>
        </w:rPr>
        <w:t>the financial statements. Our audits also included evaluating the accounting principles used and significant estimates made by management, as well as evaluating the overall presentation of the financial statements. We believe that our audits provide a reas</w:t>
      </w:r>
      <w:r>
        <w:rPr>
          <w:rFonts w:eastAsia="Times New Roman"/>
          <w:color w:val="000000"/>
          <w:sz w:val="20"/>
          <w:szCs w:val="20"/>
        </w:rPr>
        <w:t>onable basis for our opinion.</w:t>
      </w:r>
    </w:p>
    <w:p w:rsidR="00000000" w:rsidRDefault="00AE54EE">
      <w:pPr>
        <w:divId w:val="1048720715"/>
        <w:rPr>
          <w:rFonts w:eastAsia="Times New Roman"/>
        </w:rPr>
      </w:pPr>
      <w:r>
        <w:rPr>
          <w:rFonts w:eastAsia="Times New Roman"/>
          <w:b/>
          <w:bCs/>
          <w:color w:val="000000"/>
          <w:sz w:val="20"/>
          <w:szCs w:val="20"/>
        </w:rPr>
        <w:t xml:space="preserve">Critical Audit Matters </w:t>
      </w:r>
    </w:p>
    <w:p w:rsidR="00000000" w:rsidRDefault="00AE54EE">
      <w:pPr>
        <w:divId w:val="501241674"/>
        <w:rPr>
          <w:rFonts w:eastAsia="Times New Roman"/>
        </w:rPr>
      </w:pPr>
      <w:r>
        <w:rPr>
          <w:rFonts w:eastAsia="Times New Roman"/>
          <w:color w:val="000000"/>
          <w:sz w:val="20"/>
          <w:szCs w:val="20"/>
        </w:rPr>
        <w:t>The critical audit matters communicated below are matters arising from the current period audit of the financial statements that were communicated or required to be communicated to the audit committee and that: (1) relate to accounts or disclosures that ar</w:t>
      </w:r>
      <w:r>
        <w:rPr>
          <w:rFonts w:eastAsia="Times New Roman"/>
          <w:color w:val="000000"/>
          <w:sz w:val="20"/>
          <w:szCs w:val="20"/>
        </w:rPr>
        <w:t>e material to the financial statements and (2) involved our especially challenging, subjective or complex judgments. The communication of critical audit matters does not alter in any way our opinion on the consolidated financial statements, taken as a whol</w:t>
      </w:r>
      <w:r>
        <w:rPr>
          <w:rFonts w:eastAsia="Times New Roman"/>
          <w:color w:val="000000"/>
          <w:sz w:val="20"/>
          <w:szCs w:val="20"/>
        </w:rPr>
        <w:t>e, and we are not, by communicating the critical audit matters below, providing separate opinions on the critical audit matters or on the accounts or disclosures to which they relate.</w:t>
      </w:r>
    </w:p>
    <w:p w:rsidR="00000000" w:rsidRDefault="00AE54EE">
      <w:pPr>
        <w:ind w:firstLine="450"/>
        <w:divId w:val="1675378879"/>
        <w:rPr>
          <w:rFonts w:eastAsia="Times New Roman"/>
        </w:rPr>
      </w:pPr>
    </w:p>
    <w:p w:rsidR="00000000" w:rsidRDefault="00AE54EE">
      <w:pPr>
        <w:ind w:firstLine="450"/>
        <w:jc w:val="center"/>
        <w:divId w:val="168638853"/>
        <w:rPr>
          <w:rFonts w:eastAsia="Times New Roman"/>
        </w:rPr>
      </w:pPr>
      <w:r>
        <w:rPr>
          <w:rFonts w:eastAsia="Times New Roman"/>
          <w:color w:val="000000"/>
          <w:sz w:val="20"/>
          <w:szCs w:val="20"/>
        </w:rPr>
        <w:t>65</w:t>
      </w:r>
    </w:p>
    <w:p w:rsidR="00000000" w:rsidRDefault="00AE54EE">
      <w:pPr>
        <w:rPr>
          <w:rFonts w:eastAsia="Times New Roman"/>
        </w:rPr>
      </w:pPr>
      <w:r>
        <w:rPr>
          <w:rFonts w:eastAsia="Times New Roman"/>
        </w:rPr>
        <w:pict>
          <v:rect id="_x0000_i1093" style="width:0;height:1.5pt" o:hralign="center" o:hrstd="t" o:hr="t" fillcolor="#a0a0a0" stroked="f"/>
        </w:pict>
      </w:r>
    </w:p>
    <w:p w:rsidR="00000000" w:rsidRDefault="00AE54EE">
      <w:pPr>
        <w:ind w:firstLine="450"/>
        <w:divId w:val="114708925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758"/>
        <w:gridCol w:w="36"/>
        <w:gridCol w:w="69"/>
        <w:gridCol w:w="6337"/>
        <w:gridCol w:w="38"/>
      </w:tblGrid>
      <w:tr w:rsidR="00000000">
        <w:trPr>
          <w:divId w:val="939721792"/>
          <w:jc w:val="center"/>
        </w:trPr>
        <w:tc>
          <w:tcPr>
            <w:tcW w:w="50" w:type="pct"/>
            <w:vAlign w:val="center"/>
            <w:hideMark/>
          </w:tcPr>
          <w:p w:rsidR="00000000" w:rsidRDefault="00AE54EE">
            <w:pPr>
              <w:ind w:firstLine="450"/>
              <w:rPr>
                <w:rFonts w:eastAsia="Times New Roman"/>
              </w:rPr>
            </w:pPr>
          </w:p>
        </w:tc>
        <w:tc>
          <w:tcPr>
            <w:tcW w:w="106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82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939721792"/>
          <w:jc w:val="center"/>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b/>
                <w:bCs/>
                <w:i/>
                <w:iCs/>
                <w:color w:val="000000"/>
                <w:sz w:val="20"/>
                <w:szCs w:val="20"/>
              </w:rPr>
              <w:t>Cost estimation fo</w:t>
            </w:r>
            <w:r>
              <w:rPr>
                <w:rFonts w:eastAsia="Times New Roman"/>
                <w:b/>
                <w:bCs/>
                <w:i/>
                <w:iCs/>
                <w:color w:val="000000"/>
                <w:sz w:val="20"/>
                <w:szCs w:val="20"/>
              </w:rPr>
              <w:t>r revenue recognition on development and production contracts</w:t>
            </w:r>
          </w:p>
        </w:tc>
      </w:tr>
      <w:tr w:rsidR="00000000">
        <w:trPr>
          <w:divId w:val="939721792"/>
          <w:jc w:val="center"/>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As described in Note 1 of the consolidated financial statements, the Company recognized revenue for certain of its development and production contracts over time, typically using a percentage of completion cost-to-cost method, which required estimates of c</w:t>
            </w:r>
            <w:r>
              <w:rPr>
                <w:rFonts w:eastAsia="Times New Roman"/>
                <w:color w:val="000000"/>
                <w:sz w:val="20"/>
                <w:szCs w:val="20"/>
              </w:rPr>
              <w:t xml:space="preserve">osts at completion for each contract. At the outset of each contract, the Company gauges its complexity and perceived risks and establishes an estimated total cost at completion with these expectations. After establishing the estimated cost at completion, </w:t>
            </w:r>
            <w:r>
              <w:rPr>
                <w:rFonts w:eastAsia="Times New Roman"/>
                <w:color w:val="000000"/>
                <w:sz w:val="20"/>
                <w:szCs w:val="20"/>
              </w:rPr>
              <w:t>the Company reviews the progress and performance on its ongoing contracts at least quarterly and updates the estimated total cost at completion. Such estimates are subject to change during the performance of the contract and significant changes in estimate</w:t>
            </w:r>
            <w:r>
              <w:rPr>
                <w:rFonts w:eastAsia="Times New Roman"/>
                <w:color w:val="000000"/>
                <w:sz w:val="20"/>
                <w:szCs w:val="20"/>
              </w:rPr>
              <w:t xml:space="preserve">s could have a material effect on the Company’s results of operations. </w:t>
            </w:r>
            <w:r>
              <w:rPr>
                <w:rFonts w:eastAsia="Times New Roman"/>
                <w:color w:val="000000"/>
                <w:sz w:val="20"/>
                <w:szCs w:val="20"/>
              </w:rPr>
              <w:br/>
            </w:r>
            <w:r>
              <w:rPr>
                <w:rFonts w:eastAsia="Times New Roman"/>
                <w:sz w:val="20"/>
                <w:szCs w:val="20"/>
              </w:rPr>
              <w:br/>
            </w:r>
            <w:r>
              <w:rPr>
                <w:rFonts w:eastAsia="Times New Roman"/>
                <w:color w:val="000000"/>
                <w:sz w:val="20"/>
                <w:szCs w:val="20"/>
              </w:rPr>
              <w:t xml:space="preserve">Auditing the cost estimation for development and production contracts involved subjective auditor judgment because the Company’s development of the estimated total cost at completion </w:t>
            </w:r>
            <w:r>
              <w:rPr>
                <w:rFonts w:eastAsia="Times New Roman"/>
                <w:color w:val="000000"/>
                <w:sz w:val="20"/>
                <w:szCs w:val="20"/>
              </w:rPr>
              <w:t xml:space="preserve">required estimates of the cost of the work to be completed based on the Company’s underlying assumptions around achieving the technical, schedule, and cost aspects of its contracts. In determining the estimates of the cost of the work to be completed, the </w:t>
            </w:r>
            <w:r>
              <w:rPr>
                <w:rFonts w:eastAsia="Times New Roman"/>
                <w:color w:val="000000"/>
                <w:sz w:val="20"/>
                <w:szCs w:val="20"/>
              </w:rPr>
              <w:t>Company considered the nature and complexity of the work to be performed, subcontractor performance and the risk and impact of delayed performance. Estimates of total cost at completion were also affected by management’s assessment of the current status of</w:t>
            </w:r>
            <w:r>
              <w:rPr>
                <w:rFonts w:eastAsia="Times New Roman"/>
                <w:color w:val="000000"/>
                <w:sz w:val="20"/>
                <w:szCs w:val="20"/>
              </w:rPr>
              <w:t xml:space="preserve"> the contract and expectation for performance on the contract, as well as historical experience.</w:t>
            </w:r>
          </w:p>
        </w:tc>
      </w:tr>
      <w:tr w:rsidR="00000000">
        <w:trPr>
          <w:divId w:val="939721792"/>
          <w:jc w:val="center"/>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AE54EE">
            <w:pPr>
              <w:spacing w:after="100"/>
              <w:divId w:val="812792610"/>
              <w:rPr>
                <w:rFonts w:eastAsia="Times New Roman"/>
              </w:rPr>
            </w:pPr>
            <w:r>
              <w:rPr>
                <w:rFonts w:eastAsia="Times New Roman"/>
                <w:color w:val="000000"/>
                <w:sz w:val="20"/>
                <w:szCs w:val="20"/>
              </w:rPr>
              <w:t>We obtained an understanding, evaluated the design and tested the operating effectiveness of certain internal con</w:t>
            </w:r>
            <w:r>
              <w:rPr>
                <w:rFonts w:eastAsia="Times New Roman"/>
                <w:color w:val="000000"/>
                <w:sz w:val="20"/>
                <w:szCs w:val="20"/>
              </w:rPr>
              <w:t>trols over the Company’s accounting for cost estimation for development and production contracts. For example, we tested certain controls over management’s review of the estimate at completion analyses and the significant assumptions underlying the estimat</w:t>
            </w:r>
            <w:r>
              <w:rPr>
                <w:rFonts w:eastAsia="Times New Roman"/>
                <w:color w:val="000000"/>
                <w:sz w:val="20"/>
                <w:szCs w:val="20"/>
              </w:rPr>
              <w:t>ed total costs at completion. We also tested certain of management’s controls to validate that the data used in the estimate at completion analyses was complete and accurate.</w:t>
            </w:r>
          </w:p>
          <w:p w:rsidR="00000000" w:rsidRDefault="00AE54EE">
            <w:pPr>
              <w:spacing w:after="100"/>
              <w:divId w:val="444926131"/>
              <w:rPr>
                <w:rFonts w:eastAsia="Times New Roman"/>
              </w:rPr>
            </w:pPr>
            <w:r>
              <w:rPr>
                <w:rFonts w:eastAsia="Times New Roman"/>
                <w:color w:val="000000"/>
                <w:sz w:val="20"/>
                <w:szCs w:val="20"/>
              </w:rPr>
              <w:t>To test the cost estimation for development and production contracts, our audit p</w:t>
            </w:r>
            <w:r>
              <w:rPr>
                <w:rFonts w:eastAsia="Times New Roman"/>
                <w:color w:val="000000"/>
                <w:sz w:val="20"/>
                <w:szCs w:val="20"/>
              </w:rPr>
              <w:t xml:space="preserve">rocedures included, among others, obtaining an understanding of the contract, meeting with program management to confirm our understanding of the risks associated with the arrangement and the current contract performance, review of customer correspondence </w:t>
            </w:r>
            <w:r>
              <w:rPr>
                <w:rFonts w:eastAsia="Times New Roman"/>
                <w:color w:val="000000"/>
                <w:sz w:val="20"/>
                <w:szCs w:val="20"/>
              </w:rPr>
              <w:t>and contractual milestones, and comparing cost estimates to historical cost experience with similar contracts, when applicable. Additionally, we obtained an understanding of the Company’s past performance of estimating total costs at completion by reviewin</w:t>
            </w:r>
            <w:r>
              <w:rPr>
                <w:rFonts w:eastAsia="Times New Roman"/>
                <w:color w:val="000000"/>
                <w:sz w:val="20"/>
                <w:szCs w:val="20"/>
              </w:rPr>
              <w:t>g changes in the cost estimates from previous periods and reviewing the overall accuracy of management’s cost to completion estimations through lookback analyses.</w:t>
            </w:r>
          </w:p>
        </w:tc>
      </w:tr>
    </w:tbl>
    <w:p w:rsidR="00000000" w:rsidRDefault="00AE54EE">
      <w:pPr>
        <w:ind w:firstLine="450"/>
        <w:jc w:val="center"/>
        <w:divId w:val="500513645"/>
        <w:rPr>
          <w:rFonts w:eastAsia="Times New Roman"/>
        </w:rPr>
      </w:pPr>
      <w:r>
        <w:rPr>
          <w:rFonts w:eastAsia="Times New Roman"/>
          <w:color w:val="000000"/>
          <w:sz w:val="20"/>
          <w:szCs w:val="20"/>
        </w:rPr>
        <w:t>66</w:t>
      </w:r>
    </w:p>
    <w:p w:rsidR="00000000" w:rsidRDefault="00AE54EE">
      <w:pPr>
        <w:rPr>
          <w:rFonts w:eastAsia="Times New Roman"/>
        </w:rPr>
      </w:pPr>
      <w:r>
        <w:rPr>
          <w:rFonts w:eastAsia="Times New Roman"/>
        </w:rPr>
        <w:pict>
          <v:rect id="_x0000_i1094" style="width:0;height:1.5pt" o:hralign="center" o:hrstd="t" o:hr="t" fillcolor="#a0a0a0" stroked="f"/>
        </w:pict>
      </w:r>
    </w:p>
    <w:p w:rsidR="00000000" w:rsidRDefault="00AE54EE">
      <w:pPr>
        <w:ind w:firstLine="450"/>
        <w:divId w:val="52051347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759"/>
        <w:gridCol w:w="36"/>
        <w:gridCol w:w="69"/>
        <w:gridCol w:w="6337"/>
        <w:gridCol w:w="37"/>
      </w:tblGrid>
      <w:tr w:rsidR="00000000">
        <w:trPr>
          <w:divId w:val="1284268250"/>
          <w:jc w:val="center"/>
        </w:trPr>
        <w:tc>
          <w:tcPr>
            <w:tcW w:w="50" w:type="pct"/>
            <w:vAlign w:val="center"/>
            <w:hideMark/>
          </w:tcPr>
          <w:p w:rsidR="00000000" w:rsidRDefault="00AE54EE">
            <w:pPr>
              <w:ind w:firstLine="450"/>
              <w:rPr>
                <w:rFonts w:eastAsia="Times New Roman"/>
              </w:rPr>
            </w:pPr>
          </w:p>
        </w:tc>
        <w:tc>
          <w:tcPr>
            <w:tcW w:w="106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82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284268250"/>
          <w:jc w:val="center"/>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b/>
                <w:bCs/>
                <w:i/>
                <w:iCs/>
                <w:color w:val="000000"/>
                <w:sz w:val="20"/>
                <w:szCs w:val="20"/>
              </w:rPr>
              <w:t>Valuation of Goodwill</w:t>
            </w:r>
          </w:p>
        </w:tc>
      </w:tr>
      <w:tr w:rsidR="00000000">
        <w:trPr>
          <w:divId w:val="1284268250"/>
          <w:jc w:val="center"/>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At December 31, 2021, the Company’</w:t>
            </w:r>
            <w:r>
              <w:rPr>
                <w:rFonts w:eastAsia="Times New Roman"/>
                <w:color w:val="000000"/>
                <w:sz w:val="20"/>
                <w:szCs w:val="20"/>
              </w:rPr>
              <w:t>s goodwill was $18 billion. As more fully described in Note 1 to the consolidated financial statements, the Company tests goodwill for impairment annually (or under certain circumstances, more frequently) at the reporting unit level using either a qualitat</w:t>
            </w:r>
            <w:r>
              <w:rPr>
                <w:rFonts w:eastAsia="Times New Roman"/>
                <w:color w:val="000000"/>
                <w:sz w:val="20"/>
                <w:szCs w:val="20"/>
              </w:rPr>
              <w:t>ive or quantitative assessment. Under the quantitative assessment to test for goodwill impairment, the Company compares the fair value of a reporting unit to its carrying amount, including goodwill. Generally, the Company estimates the fair value of its re</w:t>
            </w:r>
            <w:r>
              <w:rPr>
                <w:rFonts w:eastAsia="Times New Roman"/>
                <w:color w:val="000000"/>
                <w:sz w:val="20"/>
                <w:szCs w:val="20"/>
              </w:rPr>
              <w:t xml:space="preserve">porting units using a combination of a discounted cash flows analysis and market-based valuation methodologies. </w:t>
            </w:r>
            <w:r>
              <w:rPr>
                <w:rFonts w:eastAsia="Times New Roman"/>
                <w:color w:val="000000"/>
                <w:sz w:val="20"/>
                <w:szCs w:val="20"/>
              </w:rPr>
              <w:br/>
            </w:r>
            <w:r>
              <w:rPr>
                <w:rFonts w:eastAsia="Times New Roman"/>
                <w:sz w:val="20"/>
                <w:szCs w:val="20"/>
              </w:rPr>
              <w:br/>
            </w:r>
            <w:r>
              <w:rPr>
                <w:rFonts w:eastAsia="Times New Roman"/>
                <w:color w:val="000000"/>
                <w:sz w:val="20"/>
                <w:szCs w:val="20"/>
              </w:rPr>
              <w:t xml:space="preserve">Auditing the Company’s quantitative goodwill impairment tests involved subjective auditor judgment due to the significant estimation required </w:t>
            </w:r>
            <w:r>
              <w:rPr>
                <w:rFonts w:eastAsia="Times New Roman"/>
                <w:color w:val="000000"/>
                <w:sz w:val="20"/>
                <w:szCs w:val="20"/>
              </w:rPr>
              <w:t>by management in the valuation models used to determine the fair value of the reporting units. The significant estimation involved the sensitivity of the underlying assumptions used in the valuation models, including changes in the weighted average cost of</w:t>
            </w:r>
            <w:r>
              <w:rPr>
                <w:rFonts w:eastAsia="Times New Roman"/>
                <w:color w:val="000000"/>
                <w:sz w:val="20"/>
                <w:szCs w:val="20"/>
              </w:rPr>
              <w:t xml:space="preserve"> capital, projected revenue growth rates, projected operating margins, and terminal growth rate. These assumptions relate to the expected future operating performance of the Company’s reporting units, are forward-looking, and are sensitive to and affected </w:t>
            </w:r>
            <w:r>
              <w:rPr>
                <w:rFonts w:eastAsia="Times New Roman"/>
                <w:color w:val="000000"/>
                <w:sz w:val="20"/>
                <w:szCs w:val="20"/>
              </w:rPr>
              <w:t>by economic, industry and company-specific qualitative factors.</w:t>
            </w:r>
          </w:p>
        </w:tc>
      </w:tr>
      <w:tr w:rsidR="00000000">
        <w:trPr>
          <w:divId w:val="1284268250"/>
          <w:jc w:val="center"/>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We obtained an understanding, evaluated the design and tested the operating effectiveness of relevant internal controls over the Company’s goodwil</w:t>
            </w:r>
            <w:r>
              <w:rPr>
                <w:rFonts w:eastAsia="Times New Roman"/>
                <w:color w:val="000000"/>
                <w:sz w:val="20"/>
                <w:szCs w:val="20"/>
              </w:rPr>
              <w:t>l impairment review process, including controls over management’s review of significant assumptions used in the valuation models. We also tested management’s controls to validate that the data used in the valuation models was complete and accurate.</w:t>
            </w:r>
            <w:r>
              <w:rPr>
                <w:rFonts w:eastAsia="Times New Roman"/>
                <w:color w:val="000000"/>
                <w:sz w:val="20"/>
                <w:szCs w:val="20"/>
              </w:rPr>
              <w:br/>
            </w:r>
            <w:r>
              <w:rPr>
                <w:rFonts w:eastAsia="Times New Roman"/>
                <w:sz w:val="20"/>
                <w:szCs w:val="20"/>
              </w:rPr>
              <w:br/>
            </w:r>
            <w:r>
              <w:rPr>
                <w:rFonts w:eastAsia="Times New Roman"/>
                <w:color w:val="000000"/>
                <w:sz w:val="20"/>
                <w:szCs w:val="20"/>
              </w:rPr>
              <w:t>To tes</w:t>
            </w:r>
            <w:r>
              <w:rPr>
                <w:rFonts w:eastAsia="Times New Roman"/>
                <w:color w:val="000000"/>
                <w:sz w:val="20"/>
                <w:szCs w:val="20"/>
              </w:rPr>
              <w:t>t the estimated fair value of the Company’s reporting units, we performed audit procedures that included, among others, assessing the valuation methodologies used by the Company, involving our valuation specialists to assist in testing the significant assu</w:t>
            </w:r>
            <w:r>
              <w:rPr>
                <w:rFonts w:eastAsia="Times New Roman"/>
                <w:color w:val="000000"/>
                <w:sz w:val="20"/>
                <w:szCs w:val="20"/>
              </w:rPr>
              <w:t>mptions discussed above, and testing the completeness and accuracy of the underlying data the Company used in its valuation analyses. For example, we compared the significant assumptions used by management to current industry, market and economic trends, t</w:t>
            </w:r>
            <w:r>
              <w:rPr>
                <w:rFonts w:eastAsia="Times New Roman"/>
                <w:color w:val="000000"/>
                <w:sz w:val="20"/>
                <w:szCs w:val="20"/>
              </w:rPr>
              <w:t>he historical results of the reporting units, and other relevant factors. We also assessed the historical accuracy of management’s valuation estimates and performed sensitivity analyses of significant assumptions used in the impairment tests to evaluate th</w:t>
            </w:r>
            <w:r>
              <w:rPr>
                <w:rFonts w:eastAsia="Times New Roman"/>
                <w:color w:val="000000"/>
                <w:sz w:val="20"/>
                <w:szCs w:val="20"/>
              </w:rPr>
              <w:t>e change in the fair value of the reporting unit resulting from changes in the significant assumptions.</w:t>
            </w:r>
            <w:r>
              <w:rPr>
                <w:rFonts w:eastAsia="Times New Roman"/>
                <w:color w:val="000000"/>
                <w:sz w:val="20"/>
                <w:szCs w:val="20"/>
              </w:rPr>
              <w:br/>
            </w:r>
            <w:r>
              <w:rPr>
                <w:rFonts w:eastAsia="Times New Roman"/>
                <w:sz w:val="20"/>
                <w:szCs w:val="20"/>
              </w:rPr>
              <w:br/>
            </w:r>
            <w:r>
              <w:rPr>
                <w:rFonts w:eastAsia="Times New Roman"/>
                <w:color w:val="000000"/>
                <w:sz w:val="20"/>
                <w:szCs w:val="20"/>
              </w:rPr>
              <w:t>In addition, we reviewed the reconciliation of the fair value of the reporting units based on the annual impairment test to the market capitalization o</w:t>
            </w:r>
            <w:r>
              <w:rPr>
                <w:rFonts w:eastAsia="Times New Roman"/>
                <w:color w:val="000000"/>
                <w:sz w:val="20"/>
                <w:szCs w:val="20"/>
              </w:rPr>
              <w:t>f the Company.</w:t>
            </w:r>
          </w:p>
        </w:tc>
      </w:tr>
    </w:tbl>
    <w:p w:rsidR="00000000" w:rsidRDefault="00AE54EE">
      <w:pPr>
        <w:ind w:firstLine="450"/>
        <w:divId w:val="772945761"/>
        <w:rPr>
          <w:rFonts w:eastAsia="Times New Roman"/>
        </w:rPr>
      </w:pPr>
    </w:p>
    <w:p w:rsidR="00000000" w:rsidRDefault="00AE54EE">
      <w:pPr>
        <w:divId w:val="276714208"/>
        <w:rPr>
          <w:rFonts w:eastAsia="Times New Roman"/>
        </w:rPr>
      </w:pPr>
      <w:r>
        <w:rPr>
          <w:rFonts w:eastAsia="Times New Roman"/>
          <w:color w:val="000000"/>
          <w:sz w:val="20"/>
          <w:szCs w:val="20"/>
        </w:rPr>
        <w:t>We have served as the Company’s auditor since at least 1932, but we are unable to determine the specific year.</w:t>
      </w:r>
    </w:p>
    <w:p w:rsidR="00000000" w:rsidRDefault="00AE54EE">
      <w:pPr>
        <w:divId w:val="1768578136"/>
        <w:rPr>
          <w:rFonts w:eastAsia="Times New Roman"/>
        </w:rPr>
      </w:pPr>
      <w:r>
        <w:rPr>
          <w:rFonts w:eastAsia="Times New Roman"/>
          <w:color w:val="000000"/>
          <w:sz w:val="20"/>
          <w:szCs w:val="20"/>
        </w:rPr>
        <w:t>/s/ Ernst &amp; Young LLP</w:t>
      </w:r>
    </w:p>
    <w:p w:rsidR="00000000" w:rsidRDefault="00AE54EE">
      <w:pPr>
        <w:divId w:val="1118333684"/>
        <w:rPr>
          <w:rFonts w:eastAsia="Times New Roman"/>
        </w:rPr>
      </w:pPr>
      <w:r>
        <w:rPr>
          <w:rFonts w:eastAsia="Times New Roman"/>
          <w:color w:val="000000"/>
          <w:sz w:val="20"/>
          <w:szCs w:val="20"/>
        </w:rPr>
        <w:t>Orlando, Florida</w:t>
      </w:r>
    </w:p>
    <w:p w:rsidR="00000000" w:rsidRDefault="00AE54EE">
      <w:pPr>
        <w:divId w:val="1271015382"/>
        <w:rPr>
          <w:rFonts w:eastAsia="Times New Roman"/>
        </w:rPr>
      </w:pPr>
      <w:r>
        <w:rPr>
          <w:rFonts w:eastAsia="Times New Roman"/>
          <w:color w:val="000000"/>
          <w:sz w:val="20"/>
          <w:szCs w:val="20"/>
        </w:rPr>
        <w:t>February 25, 2022</w:t>
      </w:r>
    </w:p>
    <w:p w:rsidR="00000000" w:rsidRDefault="00AE54EE">
      <w:pPr>
        <w:ind w:firstLine="450"/>
        <w:divId w:val="1124690040"/>
        <w:rPr>
          <w:rFonts w:eastAsia="Times New Roman"/>
        </w:rPr>
      </w:pPr>
    </w:p>
    <w:p w:rsidR="00000000" w:rsidRDefault="00AE54EE">
      <w:pPr>
        <w:ind w:firstLine="450"/>
        <w:divId w:val="1501311953"/>
        <w:rPr>
          <w:rFonts w:eastAsia="Times New Roman"/>
        </w:rPr>
      </w:pPr>
    </w:p>
    <w:p w:rsidR="00000000" w:rsidRDefault="00AE54EE">
      <w:pPr>
        <w:ind w:firstLine="450"/>
        <w:divId w:val="1897932536"/>
        <w:rPr>
          <w:rFonts w:eastAsia="Times New Roman"/>
        </w:rPr>
      </w:pPr>
    </w:p>
    <w:p w:rsidR="00000000" w:rsidRDefault="00AE54EE">
      <w:pPr>
        <w:ind w:firstLine="450"/>
        <w:jc w:val="center"/>
        <w:divId w:val="2086804822"/>
        <w:rPr>
          <w:rFonts w:eastAsia="Times New Roman"/>
        </w:rPr>
      </w:pPr>
      <w:r>
        <w:rPr>
          <w:rFonts w:eastAsia="Times New Roman"/>
          <w:color w:val="000000"/>
          <w:sz w:val="20"/>
          <w:szCs w:val="20"/>
        </w:rPr>
        <w:t>67</w:t>
      </w:r>
    </w:p>
    <w:p w:rsidR="00000000" w:rsidRDefault="00AE54EE">
      <w:pPr>
        <w:rPr>
          <w:rFonts w:eastAsia="Times New Roman"/>
        </w:rPr>
      </w:pPr>
      <w:r>
        <w:rPr>
          <w:rFonts w:eastAsia="Times New Roman"/>
        </w:rPr>
        <w:pict>
          <v:rect id="_x0000_i1095" style="width:0;height:1.5pt" o:hralign="center" o:hrstd="t" o:hr="t" fillcolor="#a0a0a0" stroked="f"/>
        </w:pict>
      </w:r>
    </w:p>
    <w:p w:rsidR="00000000" w:rsidRDefault="00AE54EE">
      <w:pPr>
        <w:ind w:firstLine="450"/>
        <w:divId w:val="2006129891"/>
        <w:rPr>
          <w:rFonts w:eastAsia="Times New Roman"/>
        </w:rPr>
      </w:pPr>
    </w:p>
    <w:p w:rsidR="00000000" w:rsidRDefault="00AE54EE">
      <w:pPr>
        <w:ind w:firstLine="450"/>
        <w:jc w:val="center"/>
        <w:divId w:val="1968730570"/>
        <w:rPr>
          <w:rFonts w:eastAsia="Times New Roman"/>
        </w:rPr>
      </w:pPr>
      <w:r>
        <w:rPr>
          <w:rFonts w:eastAsia="Times New Roman"/>
          <w:b/>
          <w:bCs/>
          <w:color w:val="000000"/>
          <w:sz w:val="20"/>
          <w:szCs w:val="20"/>
        </w:rPr>
        <w:t>Report of Independent Registered Public Accounting Firm</w:t>
      </w:r>
    </w:p>
    <w:p w:rsidR="00000000" w:rsidRDefault="00AE54EE">
      <w:pPr>
        <w:divId w:val="2000696853"/>
        <w:rPr>
          <w:rFonts w:eastAsia="Times New Roman"/>
        </w:rPr>
      </w:pPr>
      <w:r>
        <w:rPr>
          <w:rFonts w:eastAsia="Times New Roman"/>
          <w:color w:val="000000"/>
          <w:sz w:val="20"/>
          <w:szCs w:val="20"/>
        </w:rPr>
        <w:t xml:space="preserve">To the Shareholders and the Board of Directors of L3Harris Technologies, Inc. </w:t>
      </w:r>
    </w:p>
    <w:p w:rsidR="00000000" w:rsidRDefault="00AE54EE">
      <w:pPr>
        <w:divId w:val="1853834640"/>
        <w:rPr>
          <w:rFonts w:eastAsia="Times New Roman"/>
        </w:rPr>
      </w:pPr>
      <w:r>
        <w:rPr>
          <w:rFonts w:eastAsia="Times New Roman"/>
          <w:b/>
          <w:bCs/>
          <w:color w:val="000000"/>
          <w:sz w:val="20"/>
          <w:szCs w:val="20"/>
        </w:rPr>
        <w:t>Opinion on Internal Control Over Financial Reporting</w:t>
      </w:r>
    </w:p>
    <w:p w:rsidR="00000000" w:rsidRDefault="00AE54EE">
      <w:pPr>
        <w:divId w:val="797533035"/>
        <w:rPr>
          <w:rFonts w:eastAsia="Times New Roman"/>
        </w:rPr>
      </w:pPr>
      <w:r>
        <w:rPr>
          <w:rFonts w:eastAsia="Times New Roman"/>
          <w:color w:val="000000"/>
          <w:sz w:val="20"/>
          <w:szCs w:val="20"/>
        </w:rPr>
        <w:t>We have audited L3Harris Technologies, Inc.’s internal control over financial reporting as of December 31, 2021, based on criteria established in Internal Control—Integrated Framework issued by the Commi</w:t>
      </w:r>
      <w:r>
        <w:rPr>
          <w:rFonts w:eastAsia="Times New Roman"/>
          <w:color w:val="000000"/>
          <w:sz w:val="20"/>
          <w:szCs w:val="20"/>
        </w:rPr>
        <w:t>ttee of Sponsoring Organizations of the Treadway Commission (2013 framework) (the COSO criteria). In our opinion, L3Harris Technologies, Inc. (the Company) maintained, in all material respects, effective internal control over financial reporting as of Dece</w:t>
      </w:r>
      <w:r>
        <w:rPr>
          <w:rFonts w:eastAsia="Times New Roman"/>
          <w:color w:val="000000"/>
          <w:sz w:val="20"/>
          <w:szCs w:val="20"/>
        </w:rPr>
        <w:t>mber 31, 2021, based on the COSO criteria.</w:t>
      </w:r>
    </w:p>
    <w:p w:rsidR="00000000" w:rsidRDefault="00AE54EE">
      <w:pPr>
        <w:divId w:val="547685826"/>
        <w:rPr>
          <w:rFonts w:eastAsia="Times New Roman"/>
        </w:rPr>
      </w:pPr>
      <w:r>
        <w:rPr>
          <w:rFonts w:eastAsia="Times New Roman"/>
          <w:color w:val="000000"/>
          <w:sz w:val="20"/>
          <w:szCs w:val="20"/>
        </w:rPr>
        <w:t>We also have audited, in accordance with the standards of the Public Company Accounting Oversight Board (United States) (PCAOB), the consolidated balance sheets of the Company as of December 31, 2021 and January 1</w:t>
      </w:r>
      <w:r>
        <w:rPr>
          <w:rFonts w:eastAsia="Times New Roman"/>
          <w:color w:val="000000"/>
          <w:sz w:val="20"/>
          <w:szCs w:val="20"/>
        </w:rPr>
        <w:t xml:space="preserve">, 2021, the related consolidated statements of income, comprehensive income, cash flows and equity for each of the two years in the period ended December 31, 2021, the two quarters ended January 3, 2020 and for the year ended June 28, 2019 and the related </w:t>
      </w:r>
      <w:r>
        <w:rPr>
          <w:rFonts w:eastAsia="Times New Roman"/>
          <w:color w:val="000000"/>
          <w:sz w:val="20"/>
          <w:szCs w:val="20"/>
        </w:rPr>
        <w:t>notes and our report dated February 25, 2022 expressed an unqualified opinion thereon.</w:t>
      </w:r>
    </w:p>
    <w:p w:rsidR="00000000" w:rsidRDefault="00AE54EE">
      <w:pPr>
        <w:divId w:val="2139034072"/>
        <w:rPr>
          <w:rFonts w:eastAsia="Times New Roman"/>
        </w:rPr>
      </w:pPr>
      <w:r>
        <w:rPr>
          <w:rFonts w:eastAsia="Times New Roman"/>
          <w:b/>
          <w:bCs/>
          <w:color w:val="000000"/>
          <w:sz w:val="20"/>
          <w:szCs w:val="20"/>
        </w:rPr>
        <w:t>Basis for Opinion</w:t>
      </w:r>
    </w:p>
    <w:p w:rsidR="00000000" w:rsidRDefault="00AE54EE">
      <w:pPr>
        <w:divId w:val="428887482"/>
        <w:rPr>
          <w:rFonts w:eastAsia="Times New Roman"/>
        </w:rPr>
      </w:pPr>
      <w:r>
        <w:rPr>
          <w:rFonts w:eastAsia="Times New Roman"/>
          <w:color w:val="000000"/>
          <w:sz w:val="20"/>
          <w:szCs w:val="20"/>
        </w:rPr>
        <w:t>The Company’s management is responsible for maintaining effective internal control over financial reporting and for its assessment of the effectiveness</w:t>
      </w:r>
      <w:r>
        <w:rPr>
          <w:rFonts w:eastAsia="Times New Roman"/>
          <w:color w:val="000000"/>
          <w:sz w:val="20"/>
          <w:szCs w:val="20"/>
        </w:rPr>
        <w:t xml:space="preserve"> of internal control over financial reporting included in the accompanying Management’s Report on Internal Control Over Financial Reporting. Our responsibility is to express an opinion on the Company’s internal control over financial reporting based on our</w:t>
      </w:r>
      <w:r>
        <w:rPr>
          <w:rFonts w:eastAsia="Times New Roman"/>
          <w:color w:val="000000"/>
          <w:sz w:val="20"/>
          <w:szCs w:val="20"/>
        </w:rPr>
        <w:t xml:space="preserve"> audit. We are a public accounting firm registered with the PCAOB and are required to be independent with respect to the Company in accordance with the U.S. federal securities laws and the applicable rules and regulations of the Securities and Exchange Com</w:t>
      </w:r>
      <w:r>
        <w:rPr>
          <w:rFonts w:eastAsia="Times New Roman"/>
          <w:color w:val="000000"/>
          <w:sz w:val="20"/>
          <w:szCs w:val="20"/>
        </w:rPr>
        <w:t>mission and the PCAOB.</w:t>
      </w:r>
    </w:p>
    <w:p w:rsidR="00000000" w:rsidRDefault="00AE54EE">
      <w:pPr>
        <w:divId w:val="2144422063"/>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internal control over financial reporting was mai</w:t>
      </w:r>
      <w:r>
        <w:rPr>
          <w:rFonts w:eastAsia="Times New Roman"/>
          <w:color w:val="000000"/>
          <w:sz w:val="20"/>
          <w:szCs w:val="20"/>
        </w:rPr>
        <w:t>ntained in all material respects.</w:t>
      </w:r>
    </w:p>
    <w:p w:rsidR="00000000" w:rsidRDefault="00AE54EE">
      <w:pPr>
        <w:divId w:val="106968700"/>
        <w:rPr>
          <w:rFonts w:eastAsia="Times New Roman"/>
        </w:rPr>
      </w:pPr>
      <w:r>
        <w:rPr>
          <w:rFonts w:eastAsia="Times New Roman"/>
          <w:color w:val="000000"/>
          <w:sz w:val="20"/>
          <w:szCs w:val="20"/>
        </w:rPr>
        <w:t>Our audit included obtaining an understanding of internal control over financial reporting, assessing the risk that a material weakness exists, testing and evaluating the design and operating effectiveness of internal cont</w:t>
      </w:r>
      <w:r>
        <w:rPr>
          <w:rFonts w:eastAsia="Times New Roman"/>
          <w:color w:val="000000"/>
          <w:sz w:val="20"/>
          <w:szCs w:val="20"/>
        </w:rPr>
        <w:t>rol based on the assessed risk and performing such other procedures as we considered necessary in the circumstances. We believe that our audit provides a reasonable basis for our opinion.</w:t>
      </w:r>
    </w:p>
    <w:p w:rsidR="00000000" w:rsidRDefault="00AE54EE">
      <w:pPr>
        <w:divId w:val="1022901502"/>
        <w:rPr>
          <w:rFonts w:eastAsia="Times New Roman"/>
        </w:rPr>
      </w:pPr>
      <w:r>
        <w:rPr>
          <w:rFonts w:eastAsia="Times New Roman"/>
          <w:b/>
          <w:bCs/>
          <w:color w:val="000000"/>
          <w:sz w:val="20"/>
          <w:szCs w:val="20"/>
        </w:rPr>
        <w:t>Definition and Limitations of Internal Control Over Financial Report</w:t>
      </w:r>
      <w:r>
        <w:rPr>
          <w:rFonts w:eastAsia="Times New Roman"/>
          <w:b/>
          <w:bCs/>
          <w:color w:val="000000"/>
          <w:sz w:val="20"/>
          <w:szCs w:val="20"/>
        </w:rPr>
        <w:t>ing</w:t>
      </w:r>
    </w:p>
    <w:p w:rsidR="00000000" w:rsidRDefault="00AE54EE">
      <w:pPr>
        <w:divId w:val="98721457"/>
        <w:rPr>
          <w:rFonts w:eastAsia="Times New Roman"/>
        </w:rPr>
      </w:pPr>
      <w:r>
        <w:rPr>
          <w:rFonts w:eastAsia="Times New Roman"/>
          <w:color w:val="000000"/>
          <w:sz w:val="20"/>
          <w:szCs w:val="20"/>
        </w:rPr>
        <w:t xml:space="preserve">A company’s internal control over financial reporting is a process designed to provide reasonable assurance regarding the reliability of financial reporting and the preparation of financial statements for external purposes in accordance with generally </w:t>
      </w:r>
      <w:r>
        <w:rPr>
          <w:rFonts w:eastAsia="Times New Roman"/>
          <w:color w:val="000000"/>
          <w:sz w:val="20"/>
          <w:szCs w:val="20"/>
        </w:rPr>
        <w:t>accepted accounting principles. A company’s internal control over financial reporting includes those policies and procedures that (1) pertain to the maintenance of records that, in reasonable detail, accurately and fairly reflect the transactions and dispo</w:t>
      </w:r>
      <w:r>
        <w:rPr>
          <w:rFonts w:eastAsia="Times New Roman"/>
          <w:color w:val="000000"/>
          <w:sz w:val="20"/>
          <w:szCs w:val="20"/>
        </w:rPr>
        <w:t>sitions of the assets of the company; (2) provide reasonable assurance that transactions are recorded as necessary to permit preparation of financial statements in accordance with generally accepted accounting principles, and that receipts and expenditures</w:t>
      </w:r>
      <w:r>
        <w:rPr>
          <w:rFonts w:eastAsia="Times New Roman"/>
          <w:color w:val="000000"/>
          <w:sz w:val="20"/>
          <w:szCs w:val="20"/>
        </w:rPr>
        <w:t xml:space="preserve"> of the company are being made only in accordance with authorizations of management and directors of the company; and (3) provide reasonable assurance regarding prevention or timely detection of unauthorized acquisition, use, or disposition of the company’</w:t>
      </w:r>
      <w:r>
        <w:rPr>
          <w:rFonts w:eastAsia="Times New Roman"/>
          <w:color w:val="000000"/>
          <w:sz w:val="20"/>
          <w:szCs w:val="20"/>
        </w:rPr>
        <w:t>s assets that could have a material effect on the financial statements.</w:t>
      </w:r>
    </w:p>
    <w:p w:rsidR="00000000" w:rsidRDefault="00AE54EE">
      <w:pPr>
        <w:divId w:val="1135413723"/>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w:t>
      </w:r>
      <w:r>
        <w:rPr>
          <w:rFonts w:eastAsia="Times New Roman"/>
          <w:color w:val="000000"/>
          <w:sz w:val="20"/>
          <w:szCs w:val="20"/>
        </w:rPr>
        <w:t>eriods are subject to the risk that controls may become inadequate because of changes in conditions, or that the degree of compliance with the policies or procedures may deteriorate.</w:t>
      </w:r>
    </w:p>
    <w:p w:rsidR="00000000" w:rsidRDefault="00AE54EE">
      <w:pPr>
        <w:divId w:val="569583025"/>
        <w:rPr>
          <w:rFonts w:eastAsia="Times New Roman"/>
        </w:rPr>
      </w:pPr>
    </w:p>
    <w:p w:rsidR="00000000" w:rsidRDefault="00AE54EE">
      <w:pPr>
        <w:divId w:val="331757343"/>
        <w:rPr>
          <w:rFonts w:eastAsia="Times New Roman"/>
        </w:rPr>
      </w:pPr>
      <w:r>
        <w:rPr>
          <w:rFonts w:eastAsia="Times New Roman"/>
          <w:color w:val="000000"/>
          <w:sz w:val="20"/>
          <w:szCs w:val="20"/>
        </w:rPr>
        <w:t>/s/ Ernst &amp; Young LLP</w:t>
      </w:r>
    </w:p>
    <w:p w:rsidR="00000000" w:rsidRDefault="00AE54EE">
      <w:pPr>
        <w:divId w:val="1116875058"/>
        <w:rPr>
          <w:rFonts w:eastAsia="Times New Roman"/>
        </w:rPr>
      </w:pPr>
      <w:r>
        <w:rPr>
          <w:rFonts w:eastAsia="Times New Roman"/>
          <w:color w:val="000000"/>
          <w:sz w:val="20"/>
          <w:szCs w:val="20"/>
        </w:rPr>
        <w:t>Orlando, Florida</w:t>
      </w:r>
    </w:p>
    <w:p w:rsidR="00000000" w:rsidRDefault="00AE54EE">
      <w:pPr>
        <w:divId w:val="1740590538"/>
        <w:rPr>
          <w:rFonts w:eastAsia="Times New Roman"/>
        </w:rPr>
      </w:pPr>
      <w:r>
        <w:rPr>
          <w:rFonts w:eastAsia="Times New Roman"/>
          <w:color w:val="000000"/>
          <w:sz w:val="20"/>
          <w:szCs w:val="20"/>
        </w:rPr>
        <w:t>February 25, 2022</w:t>
      </w:r>
    </w:p>
    <w:p w:rsidR="00000000" w:rsidRDefault="00AE54EE">
      <w:pPr>
        <w:ind w:firstLine="450"/>
        <w:jc w:val="center"/>
        <w:divId w:val="1804425785"/>
        <w:rPr>
          <w:rFonts w:eastAsia="Times New Roman"/>
        </w:rPr>
      </w:pPr>
      <w:r>
        <w:rPr>
          <w:rFonts w:eastAsia="Times New Roman"/>
          <w:color w:val="000000"/>
          <w:sz w:val="20"/>
          <w:szCs w:val="20"/>
        </w:rPr>
        <w:t>68</w:t>
      </w:r>
    </w:p>
    <w:p w:rsidR="00000000" w:rsidRDefault="00AE54EE">
      <w:pPr>
        <w:rPr>
          <w:rFonts w:eastAsia="Times New Roman"/>
        </w:rPr>
      </w:pPr>
      <w:r>
        <w:rPr>
          <w:rFonts w:eastAsia="Times New Roman"/>
        </w:rPr>
        <w:pict>
          <v:rect id="_x0000_i1096" style="width:0;height:1.5pt" o:hralign="center" o:hrstd="t" o:hr="t" fillcolor="#a0a0a0" stroked="f"/>
        </w:pict>
      </w:r>
    </w:p>
    <w:p w:rsidR="00000000" w:rsidRDefault="00AE54EE">
      <w:pPr>
        <w:ind w:firstLine="450"/>
        <w:divId w:val="1876188821"/>
        <w:rPr>
          <w:rFonts w:eastAsia="Times New Roman"/>
        </w:rPr>
      </w:pPr>
    </w:p>
    <w:p w:rsidR="00000000" w:rsidRDefault="00AE54EE">
      <w:pPr>
        <w:divId w:val="526918548"/>
        <w:rPr>
          <w:rFonts w:eastAsia="Times New Roman"/>
        </w:rPr>
      </w:pPr>
      <w:r>
        <w:rPr>
          <w:rFonts w:eastAsia="Times New Roman"/>
          <w:b/>
          <w:bCs/>
          <w:color w:val="000000"/>
          <w:sz w:val="20"/>
          <w:szCs w:val="20"/>
        </w:rPr>
        <w:t>CONSOLIDATED STATEMENT OF INCOME</w:t>
      </w:r>
    </w:p>
    <w:tbl>
      <w:tblPr>
        <w:tblW w:w="5000" w:type="pct"/>
        <w:tblCellMar>
          <w:top w:w="15" w:type="dxa"/>
          <w:left w:w="15" w:type="dxa"/>
          <w:bottom w:w="15" w:type="dxa"/>
          <w:right w:w="15" w:type="dxa"/>
        </w:tblCellMar>
        <w:tblLook w:val="04A0" w:firstRow="1" w:lastRow="0" w:firstColumn="1" w:lastColumn="0" w:noHBand="0" w:noVBand="1"/>
      </w:tblPr>
      <w:tblGrid>
        <w:gridCol w:w="42"/>
        <w:gridCol w:w="3728"/>
        <w:gridCol w:w="41"/>
        <w:gridCol w:w="120"/>
        <w:gridCol w:w="992"/>
        <w:gridCol w:w="36"/>
        <w:gridCol w:w="36"/>
        <w:gridCol w:w="36"/>
        <w:gridCol w:w="36"/>
        <w:gridCol w:w="120"/>
        <w:gridCol w:w="851"/>
        <w:gridCol w:w="36"/>
        <w:gridCol w:w="36"/>
        <w:gridCol w:w="36"/>
        <w:gridCol w:w="36"/>
        <w:gridCol w:w="121"/>
        <w:gridCol w:w="851"/>
        <w:gridCol w:w="36"/>
        <w:gridCol w:w="36"/>
        <w:gridCol w:w="36"/>
        <w:gridCol w:w="36"/>
        <w:gridCol w:w="120"/>
        <w:gridCol w:w="852"/>
        <w:gridCol w:w="36"/>
      </w:tblGrid>
      <w:tr w:rsidR="00000000">
        <w:trPr>
          <w:divId w:val="526918548"/>
        </w:trPr>
        <w:tc>
          <w:tcPr>
            <w:tcW w:w="50" w:type="pct"/>
            <w:vAlign w:val="center"/>
            <w:hideMark/>
          </w:tcPr>
          <w:p w:rsidR="00000000" w:rsidRDefault="00AE54EE">
            <w:pPr>
              <w:rPr>
                <w:rFonts w:eastAsia="Times New Roman"/>
              </w:rPr>
            </w:pPr>
          </w:p>
        </w:tc>
        <w:tc>
          <w:tcPr>
            <w:tcW w:w="227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52691854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52691854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52691854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21"/>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rPr>
            </w:pPr>
          </w:p>
        </w:tc>
      </w:tr>
      <w:tr w:rsidR="00000000">
        <w:trPr>
          <w:divId w:val="52691854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Revenue from product sales and services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2691854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Revenue from product sales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13,156 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13,581 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6,908 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5,638 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Revenue from services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4,658 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4,613 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2,355 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1,163 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17,814 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18,194 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9,263 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6,801 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Cost of product sales and services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2691854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Cost of product sales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(9,007)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(9,464)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(4,996)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(3,615)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(3,431)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(3,422)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(1,730)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(852)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(12,438)</w:t>
            </w:r>
          </w:p>
        </w:tc>
        <w:tc>
          <w:tcPr>
            <w:tcW w:w="0" w:type="auto"/>
            <w:tcBorders>
              <w:top w:val="single" w:sz="8" w:space="0" w:color="000000"/>
            </w:tcBorders>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(12,886)</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(6,726)</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(4,467)</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(3,280)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(3,315)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(1,242)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52691854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52691854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(265)</w:t>
            </w:r>
          </w:p>
        </w:tc>
        <w:tc>
          <w:tcPr>
            <w:tcW w:w="0" w:type="auto"/>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(254)</w:t>
            </w:r>
          </w:p>
        </w:tc>
        <w:tc>
          <w:tcPr>
            <w:tcW w:w="0" w:type="auto"/>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(123)</w:t>
            </w:r>
          </w:p>
        </w:tc>
        <w:tc>
          <w:tcPr>
            <w:tcW w:w="0" w:type="auto"/>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(167)</w:t>
            </w:r>
          </w:p>
        </w:tc>
        <w:tc>
          <w:tcPr>
            <w:tcW w:w="0" w:type="auto"/>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2,283 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1,322 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908 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1,113 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1,843 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1,088 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835 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953 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1,842 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1,086 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834 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949 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income attributable to L3Harris Technologies, Inc.</w:t>
            </w: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1,846 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1,119 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822 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949 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r>
      <w:tr w:rsidR="00000000">
        <w:trPr>
          <w:divId w:val="526918548"/>
          <w:trHeight w:val="40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26918548"/>
        </w:trPr>
        <w:tc>
          <w:tcPr>
            <w:tcW w:w="0" w:type="auto"/>
            <w:gridSpan w:val="18"/>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Amount attributable to L3Harris Technologies, Inc. common shareholders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26918548"/>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from continuing operations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953 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Height w:val="400"/>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26918548"/>
        </w:trPr>
        <w:tc>
          <w:tcPr>
            <w:tcW w:w="0" w:type="auto"/>
            <w:gridSpan w:val="18"/>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Net income per common share attributable to L3Harris Technologies, Inc. common shareholders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26918548"/>
        </w:trPr>
        <w:tc>
          <w:tcPr>
            <w:tcW w:w="0" w:type="auto"/>
            <w:gridSpan w:val="3"/>
            <w:shd w:val="clear" w:color="auto" w:fill="FFFFFF"/>
            <w:tcMar>
              <w:top w:w="30" w:type="dxa"/>
              <w:left w:w="36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26918548"/>
        </w:trPr>
        <w:tc>
          <w:tcPr>
            <w:tcW w:w="0" w:type="auto"/>
            <w:gridSpan w:val="3"/>
            <w:shd w:val="clear" w:color="auto" w:fill="CCEEFF"/>
            <w:tcMar>
              <w:top w:w="30" w:type="dxa"/>
              <w:left w:w="5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9.17 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30" w:type="dxa"/>
              <w:left w:w="5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(0.03)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9.17 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5.23 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3.72 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8.03 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30" w:type="dxa"/>
              <w:left w:w="36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26918548"/>
        </w:trPr>
        <w:tc>
          <w:tcPr>
            <w:tcW w:w="0" w:type="auto"/>
            <w:gridSpan w:val="3"/>
            <w:shd w:val="clear" w:color="auto" w:fill="CCEEFF"/>
            <w:tcMar>
              <w:top w:w="30" w:type="dxa"/>
              <w:left w:w="5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FFFFFF"/>
            <w:tcMar>
              <w:top w:w="30" w:type="dxa"/>
              <w:left w:w="5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(0.03)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26918548"/>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9.09 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5.19 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3.67 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r>
    </w:tbl>
    <w:p w:rsidR="00000000" w:rsidRDefault="00AE54EE">
      <w:pPr>
        <w:divId w:val="2096781404"/>
        <w:rPr>
          <w:rFonts w:eastAsia="Times New Roman"/>
        </w:rPr>
      </w:pPr>
      <w:r>
        <w:rPr>
          <w:rFonts w:eastAsia="Times New Roman"/>
          <w:color w:val="000000"/>
          <w:sz w:val="20"/>
          <w:szCs w:val="20"/>
        </w:rPr>
        <w:t>See accompanying Notes to Consolidated Financial State</w:t>
      </w:r>
      <w:r>
        <w:rPr>
          <w:rFonts w:eastAsia="Times New Roman"/>
          <w:color w:val="000000"/>
          <w:sz w:val="20"/>
          <w:szCs w:val="20"/>
        </w:rPr>
        <w:t>ments.</w:t>
      </w:r>
    </w:p>
    <w:p w:rsidR="00000000" w:rsidRDefault="00AE54EE">
      <w:pPr>
        <w:ind w:firstLine="450"/>
        <w:divId w:val="1892425758"/>
        <w:rPr>
          <w:rFonts w:eastAsia="Times New Roman"/>
        </w:rPr>
      </w:pPr>
    </w:p>
    <w:p w:rsidR="00000000" w:rsidRDefault="00AE54EE">
      <w:pPr>
        <w:ind w:firstLine="450"/>
        <w:jc w:val="center"/>
        <w:divId w:val="809249531"/>
        <w:rPr>
          <w:rFonts w:eastAsia="Times New Roman"/>
        </w:rPr>
      </w:pPr>
      <w:r>
        <w:rPr>
          <w:rFonts w:eastAsia="Times New Roman"/>
          <w:color w:val="000000"/>
          <w:sz w:val="20"/>
          <w:szCs w:val="20"/>
        </w:rPr>
        <w:t>69</w:t>
      </w:r>
    </w:p>
    <w:p w:rsidR="00000000" w:rsidRDefault="00AE54EE">
      <w:pPr>
        <w:rPr>
          <w:rFonts w:eastAsia="Times New Roman"/>
        </w:rPr>
      </w:pPr>
      <w:r>
        <w:rPr>
          <w:rFonts w:eastAsia="Times New Roman"/>
        </w:rPr>
        <w:pict>
          <v:rect id="_x0000_i1097" style="width:0;height:1.5pt" o:hralign="center" o:hrstd="t" o:hr="t" fillcolor="#a0a0a0" stroked="f"/>
        </w:pict>
      </w:r>
    </w:p>
    <w:p w:rsidR="00000000" w:rsidRDefault="00AE54EE">
      <w:pPr>
        <w:ind w:firstLine="450"/>
        <w:divId w:val="961427318"/>
        <w:rPr>
          <w:rFonts w:eastAsia="Times New Roman"/>
        </w:rPr>
      </w:pPr>
    </w:p>
    <w:p w:rsidR="00000000" w:rsidRDefault="00AE54EE">
      <w:pPr>
        <w:divId w:val="1961456207"/>
        <w:rPr>
          <w:rFonts w:eastAsia="Times New Roman"/>
        </w:rPr>
      </w:pPr>
      <w:r>
        <w:rPr>
          <w:rFonts w:eastAsia="Times New Roman"/>
          <w:b/>
          <w:bCs/>
          <w:color w:val="000000"/>
          <w:sz w:val="20"/>
          <w:szCs w:val="20"/>
        </w:rPr>
        <w:t>CONSOLIDATED STATEMENT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3729"/>
        <w:gridCol w:w="39"/>
        <w:gridCol w:w="121"/>
        <w:gridCol w:w="992"/>
        <w:gridCol w:w="36"/>
        <w:gridCol w:w="36"/>
        <w:gridCol w:w="36"/>
        <w:gridCol w:w="36"/>
        <w:gridCol w:w="120"/>
        <w:gridCol w:w="851"/>
        <w:gridCol w:w="36"/>
        <w:gridCol w:w="36"/>
        <w:gridCol w:w="36"/>
        <w:gridCol w:w="36"/>
        <w:gridCol w:w="121"/>
        <w:gridCol w:w="851"/>
        <w:gridCol w:w="36"/>
        <w:gridCol w:w="36"/>
        <w:gridCol w:w="36"/>
        <w:gridCol w:w="36"/>
        <w:gridCol w:w="120"/>
        <w:gridCol w:w="853"/>
        <w:gridCol w:w="36"/>
      </w:tblGrid>
      <w:tr w:rsidR="00000000">
        <w:trPr>
          <w:divId w:val="1961456207"/>
        </w:trPr>
        <w:tc>
          <w:tcPr>
            <w:tcW w:w="50" w:type="pct"/>
            <w:vAlign w:val="center"/>
            <w:hideMark/>
          </w:tcPr>
          <w:p w:rsidR="00000000" w:rsidRDefault="00AE54EE">
            <w:pPr>
              <w:rPr>
                <w:rFonts w:eastAsia="Times New Roman"/>
              </w:rPr>
            </w:pPr>
          </w:p>
        </w:tc>
        <w:tc>
          <w:tcPr>
            <w:tcW w:w="227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961456207"/>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961456207"/>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961456207"/>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21"/>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rPr>
            </w:pPr>
          </w:p>
        </w:tc>
      </w:tr>
      <w:tr w:rsidR="00000000">
        <w:trPr>
          <w:divId w:val="1961456207"/>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1456207"/>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61456207"/>
        </w:trPr>
        <w:tc>
          <w:tcPr>
            <w:tcW w:w="0" w:type="auto"/>
            <w:gridSpan w:val="3"/>
            <w:shd w:val="clear" w:color="auto" w:fill="CCEEFF"/>
            <w:tcMar>
              <w:top w:w="30" w:type="dxa"/>
              <w:left w:w="410" w:type="dxa"/>
              <w:bottom w:w="30" w:type="dxa"/>
              <w:right w:w="20" w:type="dxa"/>
            </w:tcMar>
            <w:vAlign w:val="bottom"/>
            <w:hideMark/>
          </w:tcPr>
          <w:p w:rsidR="00000000" w:rsidRDefault="00AE54EE">
            <w:pPr>
              <w:spacing w:after="100"/>
              <w:ind w:hanging="270"/>
              <w:rPr>
                <w:rFonts w:eastAsia="Times New Roman"/>
              </w:rPr>
            </w:pPr>
            <w:r>
              <w:rPr>
                <w:rFonts w:eastAsia="Times New Roman"/>
                <w:color w:val="000000"/>
                <w:sz w:val="20"/>
                <w:szCs w:val="20"/>
              </w:rPr>
              <w:t>Foreign currency translation (loss) gain, net of 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1456207"/>
        </w:trPr>
        <w:tc>
          <w:tcPr>
            <w:tcW w:w="0" w:type="auto"/>
            <w:gridSpan w:val="3"/>
            <w:shd w:val="clear" w:color="auto" w:fill="FFFFFF"/>
            <w:tcMar>
              <w:top w:w="30" w:type="dxa"/>
              <w:left w:w="410" w:type="dxa"/>
              <w:bottom w:w="30" w:type="dxa"/>
              <w:right w:w="20" w:type="dxa"/>
            </w:tcMar>
            <w:vAlign w:val="bottom"/>
            <w:hideMark/>
          </w:tcPr>
          <w:p w:rsidR="00000000" w:rsidRDefault="00AE54EE">
            <w:pPr>
              <w:spacing w:after="100"/>
              <w:ind w:hanging="270"/>
              <w:rPr>
                <w:rFonts w:eastAsia="Times New Roman"/>
              </w:rPr>
            </w:pPr>
            <w:r>
              <w:rPr>
                <w:rFonts w:eastAsia="Times New Roman"/>
                <w:color w:val="000000"/>
                <w:sz w:val="20"/>
                <w:szCs w:val="20"/>
              </w:rPr>
              <w:t>Net unrealized loss on hedging derivatives,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1456207"/>
        </w:trPr>
        <w:tc>
          <w:tcPr>
            <w:tcW w:w="0" w:type="auto"/>
            <w:gridSpan w:val="3"/>
            <w:shd w:val="clear" w:color="auto" w:fill="CCEEFF"/>
            <w:tcMar>
              <w:top w:w="30" w:type="dxa"/>
              <w:left w:w="410" w:type="dxa"/>
              <w:bottom w:w="30" w:type="dxa"/>
              <w:right w:w="20" w:type="dxa"/>
            </w:tcMar>
            <w:vAlign w:val="bottom"/>
            <w:hideMark/>
          </w:tcPr>
          <w:p w:rsidR="00000000" w:rsidRDefault="00AE54EE">
            <w:pPr>
              <w:spacing w:after="100"/>
              <w:ind w:hanging="270"/>
              <w:rPr>
                <w:rFonts w:eastAsia="Times New Roman"/>
              </w:rPr>
            </w:pPr>
            <w:r>
              <w:rPr>
                <w:rFonts w:eastAsia="Times New Roman"/>
                <w:color w:val="000000"/>
                <w:sz w:val="20"/>
                <w:szCs w:val="20"/>
              </w:rPr>
              <w:t>Net unrecognized gain (loss) on postretirement obligations,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1456207"/>
        </w:trPr>
        <w:tc>
          <w:tcPr>
            <w:tcW w:w="0" w:type="auto"/>
            <w:gridSpan w:val="3"/>
            <w:shd w:val="clear" w:color="auto" w:fill="FFFFFF"/>
            <w:tcMar>
              <w:top w:w="30" w:type="dxa"/>
              <w:left w:w="410" w:type="dxa"/>
              <w:bottom w:w="30" w:type="dxa"/>
              <w:right w:w="20" w:type="dxa"/>
            </w:tcMar>
            <w:vAlign w:val="bottom"/>
            <w:hideMark/>
          </w:tcPr>
          <w:p w:rsidR="00000000" w:rsidRDefault="00AE54EE">
            <w:pPr>
              <w:spacing w:after="100"/>
              <w:ind w:hanging="270"/>
              <w:rPr>
                <w:rFonts w:eastAsia="Times New Roman"/>
              </w:rPr>
            </w:pPr>
            <w:r>
              <w:rPr>
                <w:rFonts w:eastAsia="Times New Roman"/>
                <w:color w:val="000000"/>
                <w:sz w:val="20"/>
                <w:szCs w:val="20"/>
              </w:rPr>
              <w:t>Other comprehensive income (loss), recognized during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1456207"/>
        </w:trPr>
        <w:tc>
          <w:tcPr>
            <w:tcW w:w="0" w:type="auto"/>
            <w:gridSpan w:val="3"/>
            <w:shd w:val="clear" w:color="auto" w:fill="CCEEFF"/>
            <w:tcMar>
              <w:top w:w="30" w:type="dxa"/>
              <w:left w:w="410" w:type="dxa"/>
              <w:bottom w:w="30" w:type="dxa"/>
              <w:right w:w="20" w:type="dxa"/>
            </w:tcMar>
            <w:vAlign w:val="bottom"/>
            <w:hideMark/>
          </w:tcPr>
          <w:p w:rsidR="00000000" w:rsidRDefault="00AE54EE">
            <w:pPr>
              <w:spacing w:after="100"/>
              <w:ind w:hanging="270"/>
              <w:rPr>
                <w:rFonts w:eastAsia="Times New Roman"/>
              </w:rPr>
            </w:pPr>
            <w:r>
              <w:rPr>
                <w:rFonts w:eastAsia="Times New Roman"/>
                <w:color w:val="000000"/>
                <w:sz w:val="20"/>
                <w:szCs w:val="20"/>
              </w:rPr>
              <w:t>Reclassification adjustments for losses (gains) included in net income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1456207"/>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1456207"/>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1456207"/>
        </w:trPr>
        <w:tc>
          <w:tcPr>
            <w:tcW w:w="0" w:type="auto"/>
            <w:gridSpan w:val="3"/>
            <w:shd w:val="clear" w:color="auto" w:fill="FFFFFF"/>
            <w:tcMar>
              <w:top w:w="30" w:type="dxa"/>
              <w:left w:w="410" w:type="dxa"/>
              <w:bottom w:w="30" w:type="dxa"/>
              <w:right w:w="20" w:type="dxa"/>
            </w:tcMar>
            <w:vAlign w:val="bottom"/>
            <w:hideMark/>
          </w:tcPr>
          <w:p w:rsidR="00000000" w:rsidRDefault="00AE54EE">
            <w:pPr>
              <w:spacing w:after="100"/>
              <w:ind w:hanging="270"/>
              <w:rPr>
                <w:rFonts w:eastAsia="Times New Roman"/>
              </w:rPr>
            </w:pPr>
            <w:r>
              <w:rPr>
                <w:rFonts w:eastAsia="Times New Roman"/>
                <w:color w:val="000000"/>
                <w:sz w:val="20"/>
                <w:szCs w:val="20"/>
              </w:rPr>
              <w:t>Comprehensive loss (income)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1456207"/>
        </w:trPr>
        <w:tc>
          <w:tcPr>
            <w:tcW w:w="0" w:type="auto"/>
            <w:gridSpan w:val="3"/>
            <w:shd w:val="clear" w:color="auto" w:fill="CCEEFF"/>
            <w:tcMar>
              <w:top w:w="30" w:type="dxa"/>
              <w:left w:w="290" w:type="dxa"/>
              <w:bottom w:w="30" w:type="dxa"/>
              <w:right w:w="20" w:type="dxa"/>
            </w:tcMar>
            <w:vAlign w:val="bottom"/>
            <w:hideMark/>
          </w:tcPr>
          <w:p w:rsidR="00000000" w:rsidRDefault="00AE54EE">
            <w:pPr>
              <w:spacing w:after="100"/>
              <w:ind w:hanging="270"/>
              <w:rPr>
                <w:rFonts w:eastAsia="Times New Roman"/>
              </w:rPr>
            </w:pPr>
            <w:r>
              <w:rPr>
                <w:rFonts w:eastAsia="Times New Roman"/>
                <w:color w:val="000000"/>
                <w:sz w:val="20"/>
                <w:szCs w:val="20"/>
              </w:rPr>
              <w:t>Total comprehensive income attributable to L3Harris Technologies, Inc.</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1762798496"/>
        <w:rPr>
          <w:rFonts w:eastAsia="Times New Roman"/>
        </w:rPr>
      </w:pPr>
      <w:r>
        <w:rPr>
          <w:rFonts w:eastAsia="Times New Roman"/>
          <w:color w:val="000000"/>
          <w:sz w:val="20"/>
          <w:szCs w:val="20"/>
        </w:rPr>
        <w:t>See accompanying Notes to Consolidated Financial Statements.</w:t>
      </w:r>
    </w:p>
    <w:p w:rsidR="00000000" w:rsidRDefault="00AE54EE">
      <w:pPr>
        <w:ind w:firstLine="450"/>
        <w:divId w:val="812984218"/>
        <w:rPr>
          <w:rFonts w:eastAsia="Times New Roman"/>
        </w:rPr>
      </w:pPr>
    </w:p>
    <w:p w:rsidR="00000000" w:rsidRDefault="00AE54EE">
      <w:pPr>
        <w:ind w:firstLine="450"/>
        <w:jc w:val="center"/>
        <w:divId w:val="1177429311"/>
        <w:rPr>
          <w:rFonts w:eastAsia="Times New Roman"/>
        </w:rPr>
      </w:pPr>
      <w:r>
        <w:rPr>
          <w:rFonts w:eastAsia="Times New Roman"/>
          <w:color w:val="000000"/>
          <w:sz w:val="20"/>
          <w:szCs w:val="20"/>
        </w:rPr>
        <w:t>70</w:t>
      </w:r>
    </w:p>
    <w:p w:rsidR="00000000" w:rsidRDefault="00AE54EE">
      <w:pPr>
        <w:rPr>
          <w:rFonts w:eastAsia="Times New Roman"/>
        </w:rPr>
      </w:pPr>
      <w:r>
        <w:rPr>
          <w:rFonts w:eastAsia="Times New Roman"/>
        </w:rPr>
        <w:pict>
          <v:rect id="_x0000_i1098" style="width:0;height:1.5pt" o:hralign="center" o:hrstd="t" o:hr="t" fillcolor="#a0a0a0" stroked="f"/>
        </w:pict>
      </w:r>
    </w:p>
    <w:p w:rsidR="00000000" w:rsidRDefault="00AE54EE">
      <w:pPr>
        <w:ind w:firstLine="450"/>
        <w:divId w:val="234823669"/>
        <w:rPr>
          <w:rFonts w:eastAsia="Times New Roman"/>
        </w:rPr>
      </w:pPr>
    </w:p>
    <w:p w:rsidR="00000000" w:rsidRDefault="00AE54EE">
      <w:pPr>
        <w:divId w:val="1432583851"/>
        <w:rPr>
          <w:rFonts w:eastAsia="Times New Roman"/>
        </w:rPr>
      </w:pPr>
      <w:r>
        <w:rPr>
          <w:rFonts w:eastAsia="Times New Roman"/>
          <w:b/>
          <w:bCs/>
          <w:color w:val="000000"/>
          <w:sz w:val="20"/>
          <w:szCs w:val="20"/>
        </w:rPr>
        <w:t>CONSOLIDATED BALANCE SHEET</w:t>
      </w:r>
    </w:p>
    <w:tbl>
      <w:tblPr>
        <w:tblW w:w="5000" w:type="pct"/>
        <w:tblCellMar>
          <w:top w:w="15" w:type="dxa"/>
          <w:left w:w="15" w:type="dxa"/>
          <w:bottom w:w="15" w:type="dxa"/>
          <w:right w:w="15" w:type="dxa"/>
        </w:tblCellMar>
        <w:tblLook w:val="04A0" w:firstRow="1" w:lastRow="0" w:firstColumn="1" w:lastColumn="0" w:noHBand="0" w:noVBand="1"/>
      </w:tblPr>
      <w:tblGrid>
        <w:gridCol w:w="41"/>
        <w:gridCol w:w="5727"/>
        <w:gridCol w:w="36"/>
        <w:gridCol w:w="120"/>
        <w:gridCol w:w="1059"/>
        <w:gridCol w:w="36"/>
        <w:gridCol w:w="36"/>
        <w:gridCol w:w="36"/>
        <w:gridCol w:w="36"/>
        <w:gridCol w:w="120"/>
        <w:gridCol w:w="1023"/>
        <w:gridCol w:w="36"/>
      </w:tblGrid>
      <w:tr w:rsidR="00000000">
        <w:trPr>
          <w:divId w:val="1432583851"/>
        </w:trPr>
        <w:tc>
          <w:tcPr>
            <w:tcW w:w="50" w:type="pct"/>
            <w:vAlign w:val="center"/>
            <w:hideMark/>
          </w:tcPr>
          <w:p w:rsidR="00000000" w:rsidRDefault="00AE54EE">
            <w:pPr>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 except 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r>
      <w:tr w:rsidR="00000000">
        <w:trPr>
          <w:divId w:val="1432583851"/>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Receivables, net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1,045 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2,437 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982 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973 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Inventory prepayments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 xml:space="preserve">Assets of disposal group held for sale </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Non-current Assets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18,189 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18,876 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6,640 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7,908 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28,350 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34,709 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36,960 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Liabilities and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Short-term debt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1,767 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1,406 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1,198 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Current portion of long-term debt, net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 xml:space="preserve">Liabilities of disposal group held for sale </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Defined benefit plans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1,906 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Long-term debt, net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6,943 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1,237 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1,065 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Shareholders’ Equity:</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32583851"/>
        </w:trPr>
        <w:tc>
          <w:tcPr>
            <w:tcW w:w="0" w:type="auto"/>
            <w:gridSpan w:val="3"/>
            <w:shd w:val="clear" w:color="auto" w:fill="CCEEFF"/>
            <w:tcMar>
              <w:top w:w="30" w:type="dxa"/>
              <w:left w:w="20" w:type="dxa"/>
              <w:bottom w:w="30" w:type="dxa"/>
              <w:right w:w="20" w:type="dxa"/>
            </w:tcMar>
            <w:hideMark/>
          </w:tcPr>
          <w:p w:rsidR="00000000" w:rsidRDefault="00AE54EE">
            <w:pPr>
              <w:spacing w:after="100"/>
              <w:divId w:val="2098555427"/>
              <w:rPr>
                <w:rFonts w:eastAsia="Times New Roman"/>
              </w:rPr>
            </w:pPr>
            <w:r>
              <w:rPr>
                <w:rFonts w:eastAsia="Times New Roman"/>
                <w:color w:val="000000"/>
                <w:sz w:val="20"/>
                <w:szCs w:val="20"/>
              </w:rPr>
              <w:t>Preferred stock, without par value; 1,000,000 shares authorized; none issued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20" w:type="dxa"/>
              <w:bottom w:w="30" w:type="dxa"/>
              <w:right w:w="20" w:type="dxa"/>
            </w:tcMar>
            <w:hideMark/>
          </w:tcPr>
          <w:p w:rsidR="00000000" w:rsidRDefault="00AE54EE">
            <w:pPr>
              <w:spacing w:after="100"/>
              <w:ind w:hanging="270"/>
              <w:divId w:val="1817991367"/>
              <w:rPr>
                <w:rFonts w:eastAsia="Times New Roman"/>
              </w:rPr>
            </w:pPr>
            <w:r>
              <w:rPr>
                <w:rFonts w:eastAsia="Times New Roman"/>
                <w:color w:val="000000"/>
                <w:sz w:val="20"/>
                <w:szCs w:val="20"/>
              </w:rPr>
              <w:t xml:space="preserve">Common stock, $1.00 par value; 500,000,000 </w:t>
            </w:r>
            <w:r>
              <w:rPr>
                <w:rFonts w:eastAsia="Times New Roman"/>
                <w:color w:val="000000"/>
                <w:sz w:val="20"/>
                <w:szCs w:val="20"/>
              </w:rPr>
              <w:t>shares authorized; issued and outstanding 193,511,401 and 208,230,353 shares at December 31, 2021 and January 1, 2021, respectively</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capital</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16,248 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19,008 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2,347 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20,724 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19,319 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32583851"/>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1432583851"/>
        <w:rPr>
          <w:rFonts w:eastAsia="Times New Roman"/>
        </w:rPr>
      </w:pPr>
      <w:r>
        <w:rPr>
          <w:rFonts w:eastAsia="Times New Roman"/>
          <w:color w:val="000000"/>
          <w:sz w:val="20"/>
          <w:szCs w:val="20"/>
        </w:rPr>
        <w:t>See accompanying Notes to Consolidated Financial Statements.</w:t>
      </w:r>
    </w:p>
    <w:p w:rsidR="00000000" w:rsidRDefault="00AE54EE">
      <w:pPr>
        <w:ind w:firstLine="450"/>
        <w:jc w:val="center"/>
        <w:divId w:val="226689615"/>
        <w:rPr>
          <w:rFonts w:eastAsia="Times New Roman"/>
        </w:rPr>
      </w:pPr>
      <w:r>
        <w:rPr>
          <w:rFonts w:eastAsia="Times New Roman"/>
          <w:color w:val="000000"/>
          <w:sz w:val="20"/>
          <w:szCs w:val="20"/>
        </w:rPr>
        <w:t>71</w:t>
      </w:r>
    </w:p>
    <w:p w:rsidR="00000000" w:rsidRDefault="00AE54EE">
      <w:pPr>
        <w:rPr>
          <w:rFonts w:eastAsia="Times New Roman"/>
        </w:rPr>
      </w:pPr>
      <w:r>
        <w:rPr>
          <w:rFonts w:eastAsia="Times New Roman"/>
        </w:rPr>
        <w:pict>
          <v:rect id="_x0000_i1099" style="width:0;height:1.5pt" o:hralign="center" o:hrstd="t" o:hr="t" fillcolor="#a0a0a0" stroked="f"/>
        </w:pict>
      </w:r>
    </w:p>
    <w:p w:rsidR="00000000" w:rsidRDefault="00AE54EE">
      <w:pPr>
        <w:ind w:firstLine="450"/>
        <w:divId w:val="1280642644"/>
        <w:rPr>
          <w:rFonts w:eastAsia="Times New Roman"/>
        </w:rPr>
      </w:pPr>
    </w:p>
    <w:p w:rsidR="00000000" w:rsidRDefault="00AE54EE">
      <w:pPr>
        <w:divId w:val="1775859459"/>
        <w:rPr>
          <w:rFonts w:eastAsia="Times New Roman"/>
        </w:rPr>
      </w:pPr>
      <w:r>
        <w:rPr>
          <w:rFonts w:eastAsia="Times New Roman"/>
          <w:b/>
          <w:bCs/>
          <w:color w:val="000000"/>
          <w:sz w:val="20"/>
          <w:szCs w:val="20"/>
        </w:rPr>
        <w:t>CONSOLIDATED STATEMENT OF CASH FLOWS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3790"/>
        <w:gridCol w:w="40"/>
        <w:gridCol w:w="121"/>
        <w:gridCol w:w="963"/>
        <w:gridCol w:w="36"/>
        <w:gridCol w:w="36"/>
        <w:gridCol w:w="36"/>
        <w:gridCol w:w="36"/>
        <w:gridCol w:w="120"/>
        <w:gridCol w:w="844"/>
        <w:gridCol w:w="36"/>
        <w:gridCol w:w="36"/>
        <w:gridCol w:w="36"/>
        <w:gridCol w:w="36"/>
        <w:gridCol w:w="121"/>
        <w:gridCol w:w="832"/>
        <w:gridCol w:w="36"/>
        <w:gridCol w:w="36"/>
        <w:gridCol w:w="36"/>
        <w:gridCol w:w="36"/>
        <w:gridCol w:w="121"/>
        <w:gridCol w:w="844"/>
        <w:gridCol w:w="36"/>
      </w:tblGrid>
      <w:tr w:rsidR="00000000">
        <w:trPr>
          <w:divId w:val="1775859459"/>
        </w:trPr>
        <w:tc>
          <w:tcPr>
            <w:tcW w:w="50" w:type="pct"/>
            <w:vAlign w:val="center"/>
            <w:hideMark/>
          </w:tcPr>
          <w:p w:rsidR="00000000" w:rsidRDefault="00AE54EE">
            <w:pPr>
              <w:rPr>
                <w:rFonts w:eastAsia="Times New Roman"/>
              </w:rPr>
            </w:pPr>
          </w:p>
        </w:tc>
        <w:tc>
          <w:tcPr>
            <w:tcW w:w="235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4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775859459"/>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775859459"/>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FFFF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FFFFFF"/>
            <w:tcMar>
              <w:top w:w="30" w:type="dxa"/>
              <w:left w:w="2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2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Depreciation and other amortization</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26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380" w:type="dxa"/>
              <w:bottom w:w="30" w:type="dxa"/>
              <w:right w:w="20" w:type="dxa"/>
            </w:tcMar>
            <w:vAlign w:val="center"/>
            <w:hideMark/>
          </w:tcPr>
          <w:p w:rsidR="00000000" w:rsidRDefault="00AE54EE">
            <w:pPr>
              <w:spacing w:after="100"/>
              <w:ind w:hanging="90"/>
              <w:rPr>
                <w:rFonts w:eastAsia="Times New Roman"/>
              </w:rPr>
            </w:pPr>
            <w:r>
              <w:rPr>
                <w:rFonts w:eastAsia="Times New Roman"/>
                <w:color w:val="000000"/>
                <w:sz w:val="20"/>
                <w:szCs w:val="20"/>
              </w:rPr>
              <w:t>Share-based matching contributions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26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Qualified pension plan contributions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26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Pension and other postretirement benefit plan income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26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Gain on pension plan curtailment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26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FFFFFF"/>
            <w:tcMar>
              <w:top w:w="30" w:type="dxa"/>
              <w:left w:w="26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 xml:space="preserve">Business divestiture-related (gains) losses </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26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Gain on sale of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FFFFFF"/>
            <w:tcMar>
              <w:top w:w="30" w:type="dxa"/>
              <w:left w:w="26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26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FFFFFF"/>
            <w:tcMar>
              <w:top w:w="30" w:type="dxa"/>
              <w:left w:w="38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38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38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38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26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Increase (decrease) in:</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CCEEFF"/>
            <w:tcMar>
              <w:top w:w="30" w:type="dxa"/>
              <w:left w:w="38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38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38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38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38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CCEE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Net cash acquired in L3Harris Merger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1,130 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Additions to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Proceeds from sale of property, plant and equipment, net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Proceeds from sales of businesses, net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1,040 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CCEE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Proceeds from sale of asset group</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Other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Net cash provided by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CCEE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Net proceeds from borrowings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396 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Repayments of borrowings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CCEE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Payments of interest rate derivative obligations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Proceeds from exercises of employee stock options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Repurchases of common stock</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(3,675)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(1,500)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Cash dividends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(817)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75859459"/>
        </w:trPr>
        <w:tc>
          <w:tcPr>
            <w:tcW w:w="0" w:type="auto"/>
            <w:gridSpan w:val="3"/>
            <w:shd w:val="clear" w:color="auto" w:fill="CCEE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Tax withholding payments associated with vested share-based awards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14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Other financing activities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b/>
                <w:bCs/>
                <w:color w:val="000000"/>
                <w:sz w:val="20"/>
                <w:szCs w:val="20"/>
              </w:rPr>
              <w:t>Net (decrease)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(335)</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452 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294 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242 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FFFF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b/>
                <w:bCs/>
                <w:color w:val="000000"/>
                <w:sz w:val="20"/>
                <w:szCs w:val="20"/>
              </w:rPr>
              <w:t>Cash and cash equivalents, beginning of period</w:t>
            </w:r>
          </w:p>
        </w:tc>
        <w:tc>
          <w:tcPr>
            <w:tcW w:w="0" w:type="auto"/>
            <w:gridSpan w:val="2"/>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530 </w:t>
            </w:r>
          </w:p>
        </w:tc>
        <w:tc>
          <w:tcPr>
            <w:tcW w:w="0" w:type="auto"/>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hideMark/>
          </w:tcPr>
          <w:p w:rsidR="00000000" w:rsidRDefault="00AE54EE">
            <w:pPr>
              <w:spacing w:after="100"/>
              <w:jc w:val="right"/>
              <w:rPr>
                <w:rFonts w:eastAsia="Times New Roman"/>
              </w:rPr>
            </w:pPr>
          </w:p>
        </w:tc>
      </w:tr>
      <w:tr w:rsidR="00000000">
        <w:trPr>
          <w:divId w:val="1775859459"/>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b/>
                <w:bCs/>
                <w:color w:val="000000"/>
                <w:sz w:val="20"/>
                <w:szCs w:val="20"/>
              </w:rPr>
              <w:t>Cash and cash equivalents,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941 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1,276 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824 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E54EE">
            <w:pPr>
              <w:spacing w:after="100"/>
              <w:jc w:val="right"/>
              <w:rPr>
                <w:rFonts w:eastAsia="Times New Roman"/>
              </w:rPr>
            </w:pPr>
            <w:r>
              <w:rPr>
                <w:rFonts w:eastAsia="Times New Roman"/>
                <w:color w:val="000000"/>
                <w:sz w:val="20"/>
                <w:szCs w:val="20"/>
              </w:rPr>
              <w:t>530 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E54EE">
            <w:pPr>
              <w:spacing w:after="100"/>
              <w:jc w:val="right"/>
              <w:rPr>
                <w:rFonts w:eastAsia="Times New Roman"/>
              </w:rPr>
            </w:pPr>
          </w:p>
        </w:tc>
      </w:tr>
    </w:tbl>
    <w:p w:rsidR="00000000" w:rsidRDefault="00AE54EE">
      <w:pPr>
        <w:divId w:val="1775859459"/>
        <w:rPr>
          <w:rFonts w:eastAsia="Times New Roman"/>
        </w:rPr>
      </w:pPr>
      <w:r>
        <w:rPr>
          <w:rFonts w:eastAsia="Times New Roman"/>
          <w:color w:val="000000"/>
          <w:sz w:val="20"/>
          <w:szCs w:val="20"/>
        </w:rPr>
        <w:t>See accompanying Notes to Consolidated Finan</w:t>
      </w:r>
      <w:r>
        <w:rPr>
          <w:rFonts w:eastAsia="Times New Roman"/>
          <w:color w:val="000000"/>
          <w:sz w:val="20"/>
          <w:szCs w:val="20"/>
        </w:rPr>
        <w:t>cial Statements.</w:t>
      </w:r>
    </w:p>
    <w:p w:rsidR="00000000" w:rsidRDefault="00AE54EE">
      <w:pPr>
        <w:ind w:firstLine="450"/>
        <w:jc w:val="center"/>
        <w:divId w:val="1402869873"/>
        <w:rPr>
          <w:rFonts w:eastAsia="Times New Roman"/>
        </w:rPr>
      </w:pPr>
      <w:r>
        <w:rPr>
          <w:rFonts w:eastAsia="Times New Roman"/>
          <w:color w:val="000000"/>
          <w:sz w:val="20"/>
          <w:szCs w:val="20"/>
        </w:rPr>
        <w:t>72</w:t>
      </w:r>
    </w:p>
    <w:p w:rsidR="00000000" w:rsidRDefault="00AE54EE">
      <w:pPr>
        <w:rPr>
          <w:rFonts w:eastAsia="Times New Roman"/>
        </w:rPr>
      </w:pPr>
      <w:r>
        <w:rPr>
          <w:rFonts w:eastAsia="Times New Roman"/>
        </w:rPr>
        <w:pict>
          <v:rect id="_x0000_i1100" style="width:0;height:1.5pt" o:hralign="center" o:hrstd="t" o:hr="t" fillcolor="#a0a0a0" stroked="f"/>
        </w:pict>
      </w:r>
    </w:p>
    <w:p w:rsidR="00000000" w:rsidRDefault="00AE54EE">
      <w:pPr>
        <w:ind w:firstLine="450"/>
        <w:divId w:val="157892640"/>
        <w:rPr>
          <w:rFonts w:eastAsia="Times New Roman"/>
        </w:rPr>
      </w:pPr>
    </w:p>
    <w:p w:rsidR="00000000" w:rsidRDefault="00AE54EE">
      <w:pPr>
        <w:divId w:val="807892704"/>
        <w:rPr>
          <w:rFonts w:eastAsia="Times New Roman"/>
        </w:rPr>
      </w:pPr>
      <w:r>
        <w:rPr>
          <w:rFonts w:eastAsia="Times New Roman"/>
          <w:b/>
          <w:bCs/>
          <w:color w:val="000000"/>
          <w:sz w:val="20"/>
          <w:szCs w:val="20"/>
        </w:rPr>
        <w:t>CONSOLIDATED STATEMENT OF EQUITY</w:t>
      </w:r>
    </w:p>
    <w:tbl>
      <w:tblPr>
        <w:tblW w:w="5000" w:type="pct"/>
        <w:tblCellMar>
          <w:top w:w="15" w:type="dxa"/>
          <w:left w:w="15" w:type="dxa"/>
          <w:bottom w:w="15" w:type="dxa"/>
          <w:right w:w="15" w:type="dxa"/>
        </w:tblCellMar>
        <w:tblLook w:val="04A0" w:firstRow="1" w:lastRow="0" w:firstColumn="1" w:lastColumn="0" w:noHBand="0" w:noVBand="1"/>
      </w:tblPr>
      <w:tblGrid>
        <w:gridCol w:w="38"/>
        <w:gridCol w:w="2466"/>
        <w:gridCol w:w="37"/>
        <w:gridCol w:w="121"/>
        <w:gridCol w:w="569"/>
        <w:gridCol w:w="36"/>
        <w:gridCol w:w="36"/>
        <w:gridCol w:w="36"/>
        <w:gridCol w:w="36"/>
        <w:gridCol w:w="120"/>
        <w:gridCol w:w="600"/>
        <w:gridCol w:w="36"/>
        <w:gridCol w:w="36"/>
        <w:gridCol w:w="36"/>
        <w:gridCol w:w="36"/>
        <w:gridCol w:w="121"/>
        <w:gridCol w:w="559"/>
        <w:gridCol w:w="36"/>
        <w:gridCol w:w="36"/>
        <w:gridCol w:w="36"/>
        <w:gridCol w:w="36"/>
        <w:gridCol w:w="121"/>
        <w:gridCol w:w="996"/>
        <w:gridCol w:w="36"/>
        <w:gridCol w:w="36"/>
        <w:gridCol w:w="36"/>
        <w:gridCol w:w="36"/>
        <w:gridCol w:w="121"/>
        <w:gridCol w:w="961"/>
        <w:gridCol w:w="36"/>
        <w:gridCol w:w="36"/>
        <w:gridCol w:w="36"/>
        <w:gridCol w:w="36"/>
        <w:gridCol w:w="120"/>
        <w:gridCol w:w="600"/>
        <w:gridCol w:w="36"/>
      </w:tblGrid>
      <w:tr w:rsidR="00000000">
        <w:trPr>
          <w:divId w:val="807892704"/>
        </w:trPr>
        <w:tc>
          <w:tcPr>
            <w:tcW w:w="50" w:type="pct"/>
            <w:vAlign w:val="center"/>
            <w:hideMark/>
          </w:tcPr>
          <w:p w:rsidR="00000000" w:rsidRDefault="00AE54EE">
            <w:pPr>
              <w:rPr>
                <w:rFonts w:eastAsia="Times New Roman"/>
              </w:rPr>
            </w:pPr>
          </w:p>
        </w:tc>
        <w:tc>
          <w:tcPr>
            <w:tcW w:w="224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0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1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9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9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7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1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80789270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trPr>
          <w:divId w:val="807892704"/>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Balance at June 29, 2018</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1,714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1,648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(202)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3,278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 xml:space="preserve">Net income </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comprehensive income, net of 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736968419"/>
              <w:rPr>
                <w:rFonts w:eastAsia="Times New Roman"/>
              </w:rPr>
            </w:pPr>
            <w:r>
              <w:rPr>
                <w:rFonts w:eastAsia="Times New Roman"/>
                <w:color w:val="000000"/>
                <w:sz w:val="20"/>
                <w:szCs w:val="20"/>
              </w:rPr>
              <w:t>Cash dividends ($2.74 per share)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Balance at June 28,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1,778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2,173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(707)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3,363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 xml:space="preserve">Net income </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comprehensive income, net of 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Shares issued for L3Harris Merger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19,696 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19,800 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(475)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(1,500)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4140387"/>
              <w:rPr>
                <w:rFonts w:eastAsia="Times New Roman"/>
              </w:rPr>
            </w:pPr>
            <w:r>
              <w:rPr>
                <w:rFonts w:eastAsia="Times New Roman"/>
                <w:color w:val="000000"/>
                <w:sz w:val="20"/>
                <w:szCs w:val="20"/>
              </w:rPr>
              <w:t>Cash dividends ($1.50 per share)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Fair value of noncontrolling interest recognized in purchase accounting</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Balance at January 3,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20,694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2,183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(508)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22,744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comprehensive income, net of 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Shares issued under stock incentive plans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Shares issued under defined contribution plans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Tax withholding payments on share-based awards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(2,046)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119643499"/>
              <w:rPr>
                <w:rFonts w:eastAsia="Times New Roman"/>
              </w:rPr>
            </w:pPr>
            <w:r>
              <w:rPr>
                <w:rFonts w:eastAsia="Times New Roman"/>
                <w:color w:val="000000"/>
                <w:sz w:val="20"/>
                <w:szCs w:val="20"/>
              </w:rPr>
              <w:t xml:space="preserve">Cash dividends ($3.40 </w:t>
            </w:r>
            <w:r>
              <w:rPr>
                <w:rFonts w:eastAsia="Times New Roman"/>
                <w:color w:val="000000"/>
                <w:sz w:val="20"/>
                <w:szCs w:val="20"/>
              </w:rPr>
              <w:t>per share)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Balance at January 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19,008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2,347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(839)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20,841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 xml:space="preserve">Net income </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comprehensive income, net of 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Shares issued under stock incentive plans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Shares issued under defined contribution plans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Tax withholding payments on share-based awards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(3,199)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(3,675)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627780105"/>
              <w:rPr>
                <w:rFonts w:eastAsia="Times New Roman"/>
              </w:rPr>
            </w:pPr>
            <w:r>
              <w:rPr>
                <w:rFonts w:eastAsia="Times New Roman"/>
                <w:color w:val="000000"/>
                <w:sz w:val="20"/>
                <w:szCs w:val="20"/>
              </w:rPr>
              <w:t>Cash dividends ($4.08 per share)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(817)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(817)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0789270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Balance at December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16,248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2,917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19,319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738286310"/>
        <w:rPr>
          <w:rFonts w:eastAsia="Times New Roman"/>
        </w:rPr>
      </w:pPr>
      <w:r>
        <w:rPr>
          <w:rFonts w:eastAsia="Times New Roman"/>
          <w:color w:val="000000"/>
          <w:sz w:val="20"/>
          <w:szCs w:val="20"/>
        </w:rPr>
        <w:t>See accompanying Notes to Consolidated Financial Statements.</w:t>
      </w:r>
    </w:p>
    <w:p w:rsidR="00000000" w:rsidRDefault="00AE54EE">
      <w:pPr>
        <w:ind w:firstLine="450"/>
        <w:jc w:val="center"/>
        <w:divId w:val="1556966911"/>
        <w:rPr>
          <w:rFonts w:eastAsia="Times New Roman"/>
        </w:rPr>
      </w:pPr>
      <w:r>
        <w:rPr>
          <w:rFonts w:eastAsia="Times New Roman"/>
          <w:color w:val="000000"/>
          <w:sz w:val="20"/>
          <w:szCs w:val="20"/>
        </w:rPr>
        <w:t>73</w:t>
      </w:r>
    </w:p>
    <w:p w:rsidR="00000000" w:rsidRDefault="00AE54EE">
      <w:pPr>
        <w:rPr>
          <w:rFonts w:eastAsia="Times New Roman"/>
        </w:rPr>
      </w:pPr>
      <w:r>
        <w:rPr>
          <w:rFonts w:eastAsia="Times New Roman"/>
        </w:rPr>
        <w:pict>
          <v:rect id="_x0000_i1101" style="width:0;height:1.5pt" o:hralign="center" o:hrstd="t" o:hr="t" fillcolor="#a0a0a0" stroked="f"/>
        </w:pict>
      </w:r>
    </w:p>
    <w:p w:rsidR="00000000" w:rsidRDefault="00AE54EE">
      <w:pPr>
        <w:ind w:firstLine="450"/>
        <w:divId w:val="1910071502"/>
        <w:rPr>
          <w:rFonts w:eastAsia="Times New Roman"/>
        </w:rPr>
      </w:pPr>
    </w:p>
    <w:p w:rsidR="00000000" w:rsidRDefault="00AE54EE">
      <w:pPr>
        <w:divId w:val="1708411353"/>
        <w:rPr>
          <w:rFonts w:eastAsia="Times New Roman"/>
        </w:rPr>
      </w:pPr>
      <w:r>
        <w:rPr>
          <w:rFonts w:eastAsia="Times New Roman"/>
          <w:b/>
          <w:bCs/>
          <w:color w:val="000000"/>
          <w:sz w:val="20"/>
          <w:szCs w:val="20"/>
        </w:rPr>
        <w:t>NOTES TO CONSOLIDATED FINANC</w:t>
      </w:r>
      <w:r>
        <w:rPr>
          <w:rFonts w:eastAsia="Times New Roman"/>
          <w:b/>
          <w:bCs/>
          <w:color w:val="000000"/>
          <w:sz w:val="20"/>
          <w:szCs w:val="20"/>
        </w:rPr>
        <w:t>IAL STATEMENTS</w:t>
      </w:r>
    </w:p>
    <w:p w:rsidR="00000000" w:rsidRDefault="00AE54EE">
      <w:pPr>
        <w:divId w:val="894705621"/>
        <w:rPr>
          <w:rFonts w:eastAsia="Times New Roman"/>
        </w:rPr>
      </w:pPr>
      <w:r>
        <w:rPr>
          <w:rFonts w:eastAsia="Times New Roman"/>
          <w:b/>
          <w:bCs/>
          <w:color w:val="000000"/>
          <w:sz w:val="20"/>
          <w:szCs w:val="20"/>
        </w:rPr>
        <w:t>NOTE 1: SIGNIFICANT ACCOUNTING POLICIES</w:t>
      </w:r>
      <w:r>
        <w:rPr>
          <w:rFonts w:eastAsia="Times New Roman"/>
          <w:b/>
          <w:bCs/>
          <w:i/>
          <w:iCs/>
          <w:color w:val="000000"/>
          <w:sz w:val="20"/>
          <w:szCs w:val="20"/>
        </w:rPr>
        <w:t xml:space="preserve"> </w:t>
      </w:r>
    </w:p>
    <w:p w:rsidR="00000000" w:rsidRDefault="00AE54EE">
      <w:pPr>
        <w:ind w:firstLine="450"/>
        <w:divId w:val="997726736"/>
        <w:rPr>
          <w:rFonts w:eastAsia="Times New Roman"/>
        </w:rPr>
      </w:pPr>
      <w:r>
        <w:rPr>
          <w:rFonts w:eastAsia="Times New Roman"/>
          <w:b/>
          <w:bCs/>
          <w:color w:val="000000"/>
          <w:sz w:val="20"/>
          <w:szCs w:val="20"/>
        </w:rPr>
        <w:t xml:space="preserve">Organization </w:t>
      </w:r>
      <w:r>
        <w:rPr>
          <w:rFonts w:eastAsia="Times New Roman"/>
          <w:color w:val="000000"/>
          <w:sz w:val="20"/>
          <w:szCs w:val="20"/>
        </w:rPr>
        <w:t>— L3Harris Technologies, Inc., together with its subsidiaries, is an agile global aerospace and defense technology innovator, delivering end-to-end solutions that meet customers’ mission-</w:t>
      </w:r>
      <w:r>
        <w:rPr>
          <w:rFonts w:eastAsia="Times New Roman"/>
          <w:color w:val="000000"/>
          <w:sz w:val="20"/>
          <w:szCs w:val="20"/>
        </w:rPr>
        <w:t>critical needs. We provide advanced defense and commercial technologies across space, air, land, sea and cyber domains. We support government and commercial customers in more than 100 countries, with our largest customers being various departments and agen</w:t>
      </w:r>
      <w:r>
        <w:rPr>
          <w:rFonts w:eastAsia="Times New Roman"/>
          <w:color w:val="000000"/>
          <w:sz w:val="20"/>
          <w:szCs w:val="20"/>
        </w:rPr>
        <w:t>cies of the U.S. Government and their prime contractors. Our products, systems and services have defense and civil government applications, as well as commercial applications. As of December 31, 2021, we had approximately 47,000 employees, including approx</w:t>
      </w:r>
      <w:r>
        <w:rPr>
          <w:rFonts w:eastAsia="Times New Roman"/>
          <w:color w:val="000000"/>
          <w:sz w:val="20"/>
          <w:szCs w:val="20"/>
        </w:rPr>
        <w:t xml:space="preserve">imately 19,000 engineers and scientists. </w:t>
      </w:r>
    </w:p>
    <w:p w:rsidR="00000000" w:rsidRDefault="00AE54EE">
      <w:pPr>
        <w:ind w:firstLine="450"/>
        <w:divId w:val="1702780965"/>
        <w:rPr>
          <w:rFonts w:eastAsia="Times New Roman"/>
        </w:rPr>
      </w:pPr>
      <w:r>
        <w:rPr>
          <w:rFonts w:eastAsia="Times New Roman"/>
          <w:b/>
          <w:bCs/>
          <w:color w:val="000000"/>
          <w:sz w:val="20"/>
          <w:szCs w:val="20"/>
        </w:rPr>
        <w:t>Principles of Consolidation</w:t>
      </w:r>
      <w:r>
        <w:rPr>
          <w:rFonts w:eastAsia="Times New Roman"/>
          <w:color w:val="000000"/>
          <w:sz w:val="20"/>
          <w:szCs w:val="20"/>
        </w:rPr>
        <w:t> — Our Consolidated Financial Statements include the accounts of L3Harris Technologies, Inc. and its consolidated subsidiaries. As used in these Notes to the Consolidated Financial Statem</w:t>
      </w:r>
      <w:r>
        <w:rPr>
          <w:rFonts w:eastAsia="Times New Roman"/>
          <w:color w:val="000000"/>
          <w:sz w:val="20"/>
          <w:szCs w:val="20"/>
        </w:rPr>
        <w:t xml:space="preserve">ents (these “Notes”), the terms “L3Harris,” “Company,” “we,” “our” and “us” refer to L3Harris Technologies, Inc. and its consolidated subsidiaries. Intracompany transactions and accounts have been eliminated. </w:t>
      </w:r>
    </w:p>
    <w:p w:rsidR="00000000" w:rsidRDefault="00AE54EE">
      <w:pPr>
        <w:ind w:firstLine="450"/>
        <w:divId w:val="386219624"/>
        <w:rPr>
          <w:rFonts w:eastAsia="Times New Roman"/>
        </w:rPr>
      </w:pPr>
      <w:r>
        <w:rPr>
          <w:rFonts w:eastAsia="Times New Roman"/>
          <w:color w:val="000000"/>
          <w:sz w:val="20"/>
          <w:szCs w:val="20"/>
        </w:rPr>
        <w:t>Amounts contained in this Report may not alway</w:t>
      </w:r>
      <w:r>
        <w:rPr>
          <w:rFonts w:eastAsia="Times New Roman"/>
          <w:color w:val="000000"/>
          <w:sz w:val="20"/>
          <w:szCs w:val="20"/>
        </w:rPr>
        <w:t>s add to totals due to rounding.</w:t>
      </w:r>
    </w:p>
    <w:p w:rsidR="00000000" w:rsidRDefault="00AE54EE">
      <w:pPr>
        <w:ind w:firstLine="450"/>
        <w:divId w:val="1108089170"/>
        <w:rPr>
          <w:rFonts w:eastAsia="Times New Roman"/>
        </w:rPr>
      </w:pPr>
      <w:r>
        <w:rPr>
          <w:rFonts w:eastAsia="Times New Roman"/>
          <w:b/>
          <w:bCs/>
          <w:color w:val="000000"/>
          <w:sz w:val="20"/>
          <w:szCs w:val="20"/>
        </w:rPr>
        <w:t>L3Harris Merger</w:t>
      </w:r>
      <w:r>
        <w:rPr>
          <w:rFonts w:eastAsia="Times New Roman"/>
          <w:color w:val="000000"/>
          <w:sz w:val="20"/>
          <w:szCs w:val="20"/>
        </w:rPr>
        <w:t xml:space="preserve"> — See </w:t>
      </w:r>
      <w:r>
        <w:rPr>
          <w:rFonts w:eastAsia="Times New Roman"/>
          <w:i/>
          <w:iCs/>
          <w:color w:val="000000"/>
          <w:sz w:val="20"/>
          <w:szCs w:val="20"/>
        </w:rPr>
        <w:t>Note 4: Business Combination</w:t>
      </w:r>
      <w:r>
        <w:rPr>
          <w:rFonts w:eastAsia="Times New Roman"/>
          <w:color w:val="000000"/>
          <w:sz w:val="20"/>
          <w:szCs w:val="20"/>
        </w:rPr>
        <w:t xml:space="preserve"> </w:t>
      </w:r>
      <w:r>
        <w:rPr>
          <w:rFonts w:eastAsia="Times New Roman"/>
          <w:color w:val="000000"/>
          <w:sz w:val="20"/>
          <w:szCs w:val="20"/>
        </w:rPr>
        <w:t>in these Notes for information related to the business combination in which Harris Corporation (“Harris”) and L3 Technologies, Inc. (“L3”) combined their respective businesses in an all-stock merger that resulted in our combined Company, L3Harris Technolog</w:t>
      </w:r>
      <w:r>
        <w:rPr>
          <w:rFonts w:eastAsia="Times New Roman"/>
          <w:color w:val="000000"/>
          <w:sz w:val="20"/>
          <w:szCs w:val="20"/>
        </w:rPr>
        <w:t xml:space="preserve">ies, Inc. </w:t>
      </w:r>
    </w:p>
    <w:p w:rsidR="00000000" w:rsidRDefault="00AE54EE">
      <w:pPr>
        <w:ind w:firstLine="450"/>
        <w:divId w:val="1571035055"/>
        <w:rPr>
          <w:rFonts w:eastAsia="Times New Roman"/>
        </w:rPr>
      </w:pPr>
      <w:r>
        <w:rPr>
          <w:rFonts w:eastAsia="Times New Roman"/>
          <w:color w:val="000000"/>
          <w:sz w:val="20"/>
          <w:szCs w:val="20"/>
        </w:rPr>
        <w:t xml:space="preserve">Due to the L3Harris Merger (as defined in </w:t>
      </w:r>
      <w:r>
        <w:rPr>
          <w:rFonts w:eastAsia="Times New Roman"/>
          <w:i/>
          <w:iCs/>
          <w:color w:val="000000"/>
          <w:sz w:val="20"/>
          <w:szCs w:val="20"/>
        </w:rPr>
        <w:t>Note 4: Business Combination</w:t>
      </w:r>
      <w:r>
        <w:rPr>
          <w:rFonts w:eastAsia="Times New Roman"/>
          <w:color w:val="000000"/>
          <w:sz w:val="20"/>
          <w:szCs w:val="20"/>
        </w:rPr>
        <w:t xml:space="preserve"> in these Notes), which closed on June 29, 2019, the fiscal years ended December 31, 2021 and January 1, 2021 and two quarters ended January 3, 2020 reflect the results of the</w:t>
      </w:r>
      <w:r>
        <w:rPr>
          <w:rFonts w:eastAsia="Times New Roman"/>
          <w:color w:val="000000"/>
          <w:sz w:val="20"/>
          <w:szCs w:val="20"/>
        </w:rPr>
        <w:t xml:space="preserve"> combined Company, while the fiscal year ended June 28, 2019 reflects the results of only Harris operating businesses.</w:t>
      </w:r>
    </w:p>
    <w:p w:rsidR="00000000" w:rsidRDefault="00AE54EE">
      <w:pPr>
        <w:ind w:firstLine="450"/>
        <w:divId w:val="400568134"/>
        <w:rPr>
          <w:rFonts w:eastAsia="Times New Roman"/>
        </w:rPr>
      </w:pPr>
      <w:r>
        <w:rPr>
          <w:rFonts w:eastAsia="Times New Roman"/>
          <w:b/>
          <w:bCs/>
          <w:color w:val="000000"/>
          <w:sz w:val="20"/>
          <w:szCs w:val="20"/>
        </w:rPr>
        <w:t xml:space="preserve">Organizational Structure </w:t>
      </w:r>
      <w:r>
        <w:rPr>
          <w:rFonts w:eastAsia="Times New Roman"/>
          <w:color w:val="000000"/>
          <w:sz w:val="20"/>
          <w:szCs w:val="20"/>
        </w:rPr>
        <w:t>— We implemented a new organizational structure effective June 29, 2019, resulting in changes to our operating o</w:t>
      </w:r>
      <w:r>
        <w:rPr>
          <w:rFonts w:eastAsia="Times New Roman"/>
          <w:color w:val="000000"/>
          <w:sz w:val="20"/>
          <w:szCs w:val="20"/>
        </w:rPr>
        <w:t>r reportable segments, which are referred to as our business segments. During the quarter ended April 3, 2020, we further adjusted our segment reporting to better align our businesses and transferred two businesses between our Integrated Mission Systems an</w:t>
      </w:r>
      <w:r>
        <w:rPr>
          <w:rFonts w:eastAsia="Times New Roman"/>
          <w:color w:val="000000"/>
          <w:sz w:val="20"/>
          <w:szCs w:val="20"/>
        </w:rPr>
        <w:t>d Space &amp; Airborne Systems segments. The historical results, discussion and presentation of our business segments as set forth in the accompanying Consolidated Financial Statements and these Notes reflect the impact of these changes for all periods present</w:t>
      </w:r>
      <w:r>
        <w:rPr>
          <w:rFonts w:eastAsia="Times New Roman"/>
          <w:color w:val="000000"/>
          <w:sz w:val="20"/>
          <w:szCs w:val="20"/>
        </w:rPr>
        <w:t xml:space="preserve">ed in order to present segment information on a comparable basis. There is no impact on our previously reported consolidated statements of income, balance sheets, statements of cash flows or statements of equity resulting from these changes. See </w:t>
      </w:r>
      <w:r>
        <w:rPr>
          <w:rFonts w:eastAsia="Times New Roman"/>
          <w:i/>
          <w:iCs/>
          <w:color w:val="000000"/>
          <w:sz w:val="20"/>
          <w:szCs w:val="20"/>
        </w:rPr>
        <w:t>Note 27: S</w:t>
      </w:r>
      <w:r>
        <w:rPr>
          <w:rFonts w:eastAsia="Times New Roman"/>
          <w:i/>
          <w:iCs/>
          <w:color w:val="000000"/>
          <w:sz w:val="20"/>
          <w:szCs w:val="20"/>
        </w:rPr>
        <w:t>ubsequent Events</w:t>
      </w:r>
      <w:r>
        <w:rPr>
          <w:rFonts w:eastAsia="Times New Roman"/>
          <w:color w:val="000000"/>
          <w:sz w:val="20"/>
          <w:szCs w:val="20"/>
        </w:rPr>
        <w:t xml:space="preserve"> in these Notes for information regarding our new structure effective in fiscal 2022.</w:t>
      </w:r>
    </w:p>
    <w:p w:rsidR="00000000" w:rsidRDefault="00AE54EE">
      <w:pPr>
        <w:ind w:firstLine="450"/>
        <w:divId w:val="646858479"/>
        <w:rPr>
          <w:rFonts w:eastAsia="Times New Roman"/>
        </w:rPr>
      </w:pPr>
      <w:r>
        <w:rPr>
          <w:rFonts w:eastAsia="Times New Roman"/>
          <w:b/>
          <w:bCs/>
          <w:color w:val="000000"/>
          <w:sz w:val="20"/>
          <w:szCs w:val="20"/>
        </w:rPr>
        <w:t>Divestitures</w:t>
      </w:r>
      <w:r>
        <w:rPr>
          <w:rFonts w:eastAsia="Times New Roman"/>
          <w:color w:val="000000"/>
          <w:sz w:val="20"/>
          <w:szCs w:val="20"/>
        </w:rPr>
        <w:t xml:space="preserve"> — See </w:t>
      </w:r>
      <w:r>
        <w:rPr>
          <w:rFonts w:eastAsia="Times New Roman"/>
          <w:i/>
          <w:iCs/>
          <w:color w:val="000000"/>
          <w:sz w:val="20"/>
          <w:szCs w:val="20"/>
        </w:rPr>
        <w:t>Note 3: Business Divestitures and Asset Sales</w:t>
      </w:r>
      <w:r>
        <w:rPr>
          <w:rFonts w:eastAsia="Times New Roman"/>
          <w:color w:val="000000"/>
          <w:sz w:val="20"/>
          <w:szCs w:val="20"/>
        </w:rPr>
        <w:t xml:space="preserve"> in these Notes for information regarding the divestitures and other asset sales by us in </w:t>
      </w:r>
      <w:r>
        <w:rPr>
          <w:rFonts w:eastAsia="Times New Roman"/>
          <w:color w:val="000000"/>
          <w:sz w:val="20"/>
          <w:szCs w:val="20"/>
        </w:rPr>
        <w:t>fiscal 2021, fiscal 2020 and the two quarters ended January 3, 2020.</w:t>
      </w:r>
    </w:p>
    <w:p w:rsidR="00000000" w:rsidRDefault="00AE54EE">
      <w:pPr>
        <w:ind w:firstLine="450"/>
        <w:divId w:val="1404719831"/>
        <w:rPr>
          <w:rFonts w:eastAsia="Times New Roman"/>
        </w:rPr>
      </w:pPr>
      <w:r>
        <w:rPr>
          <w:rFonts w:eastAsia="Times New Roman"/>
          <w:b/>
          <w:bCs/>
          <w:color w:val="000000"/>
          <w:sz w:val="20"/>
          <w:szCs w:val="20"/>
        </w:rPr>
        <w:t xml:space="preserve">Fiscal Year </w:t>
      </w:r>
      <w:r>
        <w:rPr>
          <w:rFonts w:eastAsia="Times New Roman"/>
          <w:color w:val="000000"/>
          <w:sz w:val="20"/>
          <w:szCs w:val="20"/>
        </w:rPr>
        <w:t>— Through fiscal 2019, our fiscal year ended on the Friday nearest June 30. Commencing with the period from June 29, 2019 through January 3, 2020 (“Fiscal Transition Period”),</w:t>
      </w:r>
      <w:r>
        <w:rPr>
          <w:rFonts w:eastAsia="Times New Roman"/>
          <w:color w:val="000000"/>
          <w:sz w:val="20"/>
          <w:szCs w:val="20"/>
        </w:rPr>
        <w:t xml:space="preserve"> our fiscal year ends on the Friday nearest December 31. Each of our fiscal years ended December 31, 2021 and January 1, 2021 included 52 weeks. Our Fiscal Transition Period included 27 weeks and our fiscal year ended June 28, 2019 included 52 weeks. The u</w:t>
      </w:r>
      <w:r>
        <w:rPr>
          <w:rFonts w:eastAsia="Times New Roman"/>
          <w:color w:val="000000"/>
          <w:sz w:val="20"/>
          <w:szCs w:val="20"/>
        </w:rPr>
        <w:t xml:space="preserve">naudited prior four quarter period results for the comparative period ended January 3, 2020 included 53 weeks and the unaudited prior two quarters period results for the comparative period ended December 28, 2018 included 26 weeks. See </w:t>
      </w:r>
      <w:r>
        <w:rPr>
          <w:rFonts w:eastAsia="Times New Roman"/>
          <w:i/>
          <w:iCs/>
          <w:color w:val="000000"/>
          <w:sz w:val="20"/>
          <w:szCs w:val="20"/>
        </w:rPr>
        <w:t xml:space="preserve">Note 26: Transition </w:t>
      </w:r>
      <w:r>
        <w:rPr>
          <w:rFonts w:eastAsia="Times New Roman"/>
          <w:i/>
          <w:iCs/>
          <w:color w:val="000000"/>
          <w:sz w:val="20"/>
          <w:szCs w:val="20"/>
        </w:rPr>
        <w:t>Period Comparative Data (Unaudited)</w:t>
      </w:r>
      <w:r>
        <w:rPr>
          <w:rFonts w:eastAsia="Times New Roman"/>
          <w:color w:val="000000"/>
          <w:sz w:val="20"/>
          <w:szCs w:val="20"/>
        </w:rPr>
        <w:t xml:space="preserve"> in these Notes for additional information. </w:t>
      </w:r>
    </w:p>
    <w:p w:rsidR="00000000" w:rsidRDefault="00AE54EE">
      <w:pPr>
        <w:ind w:firstLine="450"/>
        <w:divId w:val="884951551"/>
        <w:rPr>
          <w:rFonts w:eastAsia="Times New Roman"/>
        </w:rPr>
      </w:pPr>
      <w:r>
        <w:rPr>
          <w:rFonts w:eastAsia="Times New Roman"/>
          <w:b/>
          <w:bCs/>
          <w:color w:val="000000"/>
          <w:sz w:val="20"/>
          <w:szCs w:val="20"/>
        </w:rPr>
        <w:t>Use of Estimates</w:t>
      </w:r>
      <w:r>
        <w:rPr>
          <w:rFonts w:eastAsia="Times New Roman"/>
          <w:color w:val="000000"/>
          <w:sz w:val="20"/>
          <w:szCs w:val="20"/>
        </w:rPr>
        <w:t> — The preparation of financial statements in accordance with U.S. Generally Accepted Accounting Principles (“GAAP”) requires us to make estimates and assumptio</w:t>
      </w:r>
      <w:r>
        <w:rPr>
          <w:rFonts w:eastAsia="Times New Roman"/>
          <w:color w:val="000000"/>
          <w:sz w:val="20"/>
          <w:szCs w:val="20"/>
        </w:rPr>
        <w:t>ns that affect the amounts reported in the accompanying Consolidated Financial Statements and these Notes and related disclosures. These estimates and assumptions are based on experience and other information available prior to issuance of the accompanying</w:t>
      </w:r>
      <w:r>
        <w:rPr>
          <w:rFonts w:eastAsia="Times New Roman"/>
          <w:color w:val="000000"/>
          <w:sz w:val="20"/>
          <w:szCs w:val="20"/>
        </w:rPr>
        <w:t xml:space="preserve"> Consolidated Financial Statements and these Notes. Materially different results can occur as circumstances change and additional information becomes known.</w:t>
      </w:r>
    </w:p>
    <w:p w:rsidR="00000000" w:rsidRDefault="00AE54EE">
      <w:pPr>
        <w:ind w:firstLine="450"/>
        <w:divId w:val="1208175660"/>
        <w:rPr>
          <w:rFonts w:eastAsia="Times New Roman"/>
        </w:rPr>
      </w:pPr>
      <w:r>
        <w:rPr>
          <w:rFonts w:eastAsia="Times New Roman"/>
          <w:b/>
          <w:bCs/>
          <w:color w:val="000000"/>
          <w:sz w:val="20"/>
          <w:szCs w:val="20"/>
        </w:rPr>
        <w:t>Reclassifications</w:t>
      </w:r>
      <w:r>
        <w:rPr>
          <w:rFonts w:eastAsia="Times New Roman"/>
          <w:color w:val="000000"/>
          <w:sz w:val="20"/>
          <w:szCs w:val="20"/>
        </w:rPr>
        <w:t> — The classification of certain prior-year amounts have been adjusted in our Cons</w:t>
      </w:r>
      <w:r>
        <w:rPr>
          <w:rFonts w:eastAsia="Times New Roman"/>
          <w:color w:val="000000"/>
          <w:sz w:val="20"/>
          <w:szCs w:val="20"/>
        </w:rPr>
        <w:t>olidated Financial Statements to conform to current-year classifications. Reclassifications include finance lease liabilities that were previously included in the “Other accrued items” and “Other long-term liabilities” line items and are now reflected in t</w:t>
      </w:r>
      <w:r>
        <w:rPr>
          <w:rFonts w:eastAsia="Times New Roman"/>
          <w:color w:val="000000"/>
          <w:sz w:val="20"/>
          <w:szCs w:val="20"/>
        </w:rPr>
        <w:t>he “Current portion of long-term debt, net” and “Long-term debt, net” line items in our Consolidated Balance Sheet.</w:t>
      </w:r>
    </w:p>
    <w:p w:rsidR="00000000" w:rsidRDefault="00AE54EE">
      <w:pPr>
        <w:ind w:firstLine="450"/>
        <w:divId w:val="1445690538"/>
        <w:rPr>
          <w:rFonts w:eastAsia="Times New Roman"/>
        </w:rPr>
      </w:pPr>
      <w:r>
        <w:rPr>
          <w:rFonts w:eastAsia="Times New Roman"/>
          <w:b/>
          <w:bCs/>
          <w:color w:val="000000"/>
          <w:sz w:val="20"/>
          <w:szCs w:val="20"/>
        </w:rPr>
        <w:t>Supplemental Cash Flow Information</w:t>
      </w:r>
      <w:r>
        <w:rPr>
          <w:rFonts w:eastAsia="Times New Roman"/>
          <w:color w:val="000000"/>
          <w:sz w:val="20"/>
          <w:szCs w:val="20"/>
        </w:rPr>
        <w:t xml:space="preserve"> — Non-cash investing and financing activities during fiscal 2021 included a $260 million right-of-use ass</w:t>
      </w:r>
      <w:r>
        <w:rPr>
          <w:rFonts w:eastAsia="Times New Roman"/>
          <w:color w:val="000000"/>
          <w:sz w:val="20"/>
          <w:szCs w:val="20"/>
        </w:rPr>
        <w:t>et we obtained in exchange for a corresponding operating lease liability. These non-cash investing and financing activities are excluded from the “Other investing” and “Other financing” line items in our Consolidated Statement of Cash Flows. Right-of-use a</w:t>
      </w:r>
      <w:r>
        <w:rPr>
          <w:rFonts w:eastAsia="Times New Roman"/>
          <w:color w:val="000000"/>
          <w:sz w:val="20"/>
          <w:szCs w:val="20"/>
        </w:rPr>
        <w:t>ssets for operating leases are included in the “Operating lease right-of-use assets” line item and the corresponding operating lease liabilities are included in the “Other accrued items” and “Operating lease liabilities” line items in our Consolidated Bala</w:t>
      </w:r>
      <w:r>
        <w:rPr>
          <w:rFonts w:eastAsia="Times New Roman"/>
          <w:color w:val="000000"/>
          <w:sz w:val="20"/>
          <w:szCs w:val="20"/>
        </w:rPr>
        <w:t>nce Sheet.</w:t>
      </w:r>
    </w:p>
    <w:p w:rsidR="00000000" w:rsidRDefault="00AE54EE">
      <w:pPr>
        <w:ind w:firstLine="450"/>
        <w:jc w:val="center"/>
        <w:divId w:val="837577076"/>
        <w:rPr>
          <w:rFonts w:eastAsia="Times New Roman"/>
        </w:rPr>
      </w:pPr>
      <w:r>
        <w:rPr>
          <w:rFonts w:eastAsia="Times New Roman"/>
          <w:color w:val="000000"/>
          <w:sz w:val="20"/>
          <w:szCs w:val="20"/>
        </w:rPr>
        <w:t>74</w:t>
      </w:r>
    </w:p>
    <w:p w:rsidR="00000000" w:rsidRDefault="00AE54EE">
      <w:pPr>
        <w:rPr>
          <w:rFonts w:eastAsia="Times New Roman"/>
        </w:rPr>
      </w:pPr>
      <w:r>
        <w:rPr>
          <w:rFonts w:eastAsia="Times New Roman"/>
        </w:rPr>
        <w:pict>
          <v:rect id="_x0000_i1102" style="width:0;height:1.5pt" o:hralign="center" o:hrstd="t" o:hr="t" fillcolor="#a0a0a0" stroked="f"/>
        </w:pict>
      </w:r>
    </w:p>
    <w:p w:rsidR="00000000" w:rsidRDefault="00AE54EE">
      <w:pPr>
        <w:ind w:firstLine="450"/>
        <w:divId w:val="150100199"/>
        <w:rPr>
          <w:rFonts w:eastAsia="Times New Roman"/>
        </w:rPr>
      </w:pPr>
    </w:p>
    <w:p w:rsidR="00000000" w:rsidRDefault="00AE54EE">
      <w:pPr>
        <w:ind w:firstLine="450"/>
        <w:divId w:val="1242326318"/>
        <w:rPr>
          <w:rFonts w:eastAsia="Times New Roman"/>
        </w:rPr>
      </w:pPr>
      <w:r>
        <w:rPr>
          <w:rFonts w:eastAsia="Times New Roman"/>
          <w:color w:val="000000"/>
          <w:sz w:val="20"/>
          <w:szCs w:val="20"/>
        </w:rPr>
        <w:t xml:space="preserve">Non-cash investing and financing activities during fiscal 2021 included a $120 </w:t>
      </w:r>
      <w:r>
        <w:rPr>
          <w:rFonts w:eastAsia="Times New Roman"/>
          <w:color w:val="000000"/>
          <w:sz w:val="20"/>
          <w:szCs w:val="20"/>
        </w:rPr>
        <w:t>million right-of-use asset we obtained in exchange for a corresponding finance lease liability. These non-cash investing and financing activities are excluded from the “Additions of property, plant and equipment” and “Net proceeds from borrowings” line ite</w:t>
      </w:r>
      <w:r>
        <w:rPr>
          <w:rFonts w:eastAsia="Times New Roman"/>
          <w:color w:val="000000"/>
          <w:sz w:val="20"/>
          <w:szCs w:val="20"/>
        </w:rPr>
        <w:t>ms in our Consolidated Statement of Cash Flows. Right-of-use assets for finance leases are included in the “Property, plant and equipment, net” line item and the corresponding finance lease liabilities are included in the “Current portion of long-term debt</w:t>
      </w:r>
      <w:r>
        <w:rPr>
          <w:rFonts w:eastAsia="Times New Roman"/>
          <w:color w:val="000000"/>
          <w:sz w:val="20"/>
          <w:szCs w:val="20"/>
        </w:rPr>
        <w:t>, net” and “Long-term debt, net” line items in our Consolidated Balance Sheet.</w:t>
      </w:r>
    </w:p>
    <w:p w:rsidR="00000000" w:rsidRDefault="00AE54EE">
      <w:pPr>
        <w:ind w:firstLine="450"/>
        <w:divId w:val="867914566"/>
        <w:rPr>
          <w:rFonts w:eastAsia="Times New Roman"/>
        </w:rPr>
      </w:pPr>
      <w:r>
        <w:rPr>
          <w:rFonts w:eastAsia="Times New Roman"/>
          <w:color w:val="000000"/>
          <w:sz w:val="20"/>
          <w:szCs w:val="20"/>
        </w:rPr>
        <w:t>There were no material non-cash investing or financing activities during fiscal 2020.</w:t>
      </w:r>
    </w:p>
    <w:p w:rsidR="00000000" w:rsidRDefault="00AE54EE">
      <w:pPr>
        <w:ind w:firstLine="450"/>
        <w:divId w:val="1247615151"/>
        <w:rPr>
          <w:rFonts w:eastAsia="Times New Roman"/>
        </w:rPr>
      </w:pPr>
      <w:r>
        <w:rPr>
          <w:rFonts w:eastAsia="Times New Roman"/>
          <w:b/>
          <w:bCs/>
          <w:color w:val="000000"/>
          <w:sz w:val="20"/>
          <w:szCs w:val="20"/>
        </w:rPr>
        <w:t>Cash and Cash Equivalents</w:t>
      </w:r>
      <w:r>
        <w:rPr>
          <w:rFonts w:eastAsia="Times New Roman"/>
          <w:color w:val="000000"/>
          <w:sz w:val="20"/>
          <w:szCs w:val="20"/>
        </w:rPr>
        <w:t> — Cash and cash equivalents include cash at banks and temporary c</w:t>
      </w:r>
      <w:r>
        <w:rPr>
          <w:rFonts w:eastAsia="Times New Roman"/>
          <w:color w:val="000000"/>
          <w:sz w:val="20"/>
          <w:szCs w:val="20"/>
        </w:rPr>
        <w:t>ash investments with a maturity of three or fewer months when purchased. These investments include accrued interest and are carried at the lower of cost or market.</w:t>
      </w:r>
    </w:p>
    <w:p w:rsidR="00000000" w:rsidRDefault="00AE54EE">
      <w:pPr>
        <w:ind w:firstLine="450"/>
        <w:divId w:val="303313049"/>
        <w:rPr>
          <w:rFonts w:eastAsia="Times New Roman"/>
        </w:rPr>
      </w:pPr>
      <w:r>
        <w:rPr>
          <w:rFonts w:eastAsia="Times New Roman"/>
          <w:b/>
          <w:bCs/>
          <w:color w:val="000000"/>
          <w:sz w:val="20"/>
          <w:szCs w:val="20"/>
        </w:rPr>
        <w:t>Fair Value of Financial Instruments</w:t>
      </w:r>
      <w:r>
        <w:rPr>
          <w:rFonts w:eastAsia="Times New Roman"/>
          <w:color w:val="000000"/>
          <w:sz w:val="20"/>
          <w:szCs w:val="20"/>
        </w:rPr>
        <w:t xml:space="preserve"> — The carrying amounts reflected in our Consolidated Bal</w:t>
      </w:r>
      <w:r>
        <w:rPr>
          <w:rFonts w:eastAsia="Times New Roman"/>
          <w:color w:val="000000"/>
          <w:sz w:val="20"/>
          <w:szCs w:val="20"/>
        </w:rPr>
        <w:t>ance Sheet for cash and cash equivalents, accounts receivable, non-current receivables, notes receivable, accounts payable, short-term debt and long-term variable-rate debt approximate their fair values. Fair values for long-term fixed-rate debt are primar</w:t>
      </w:r>
      <w:r>
        <w:rPr>
          <w:rFonts w:eastAsia="Times New Roman"/>
          <w:color w:val="000000"/>
          <w:sz w:val="20"/>
          <w:szCs w:val="20"/>
        </w:rPr>
        <w:t xml:space="preserve">ily based on quoted market prices for those or similar instruments. See </w:t>
      </w:r>
      <w:r>
        <w:rPr>
          <w:rFonts w:eastAsia="Times New Roman"/>
          <w:i/>
          <w:iCs/>
          <w:color w:val="000000"/>
          <w:sz w:val="20"/>
          <w:szCs w:val="20"/>
        </w:rPr>
        <w:t>Note 13: Debt</w:t>
      </w:r>
      <w:r>
        <w:rPr>
          <w:rFonts w:eastAsia="Times New Roman"/>
          <w:color w:val="000000"/>
          <w:sz w:val="20"/>
          <w:szCs w:val="20"/>
        </w:rPr>
        <w:t xml:space="preserve"> in these Notes for additional information regarding fair values for our long-term fixed-rate debt. A discussion of fair values for our derivative financial instruments is</w:t>
      </w:r>
      <w:r>
        <w:rPr>
          <w:rFonts w:eastAsia="Times New Roman"/>
          <w:color w:val="000000"/>
          <w:sz w:val="20"/>
          <w:szCs w:val="20"/>
        </w:rPr>
        <w:t xml:space="preserve"> included under the caption “Financial Instruments and Risk Management” in this </w:t>
      </w:r>
      <w:r>
        <w:rPr>
          <w:rFonts w:eastAsia="Times New Roman"/>
          <w:i/>
          <w:iCs/>
          <w:color w:val="000000"/>
          <w:sz w:val="20"/>
          <w:szCs w:val="20"/>
        </w:rPr>
        <w:t>Note 1: Significant Accounting Policies.</w:t>
      </w:r>
    </w:p>
    <w:p w:rsidR="00000000" w:rsidRDefault="00AE54EE">
      <w:pPr>
        <w:ind w:firstLine="450"/>
        <w:divId w:val="1667243218"/>
        <w:rPr>
          <w:rFonts w:eastAsia="Times New Roman"/>
        </w:rPr>
      </w:pPr>
      <w:r>
        <w:rPr>
          <w:rFonts w:eastAsia="Times New Roman"/>
          <w:b/>
          <w:bCs/>
          <w:color w:val="000000"/>
          <w:sz w:val="20"/>
          <w:szCs w:val="20"/>
        </w:rPr>
        <w:t>Fair Value Measurements</w:t>
      </w:r>
      <w:r>
        <w:rPr>
          <w:rFonts w:eastAsia="Times New Roman"/>
          <w:color w:val="000000"/>
          <w:sz w:val="20"/>
          <w:szCs w:val="20"/>
        </w:rPr>
        <w:t xml:space="preserve"> — Fair value is defined as the price that would be received to sell an asset or paid to transfer a liability in</w:t>
      </w:r>
      <w:r>
        <w:rPr>
          <w:rFonts w:eastAsia="Times New Roman"/>
          <w:color w:val="000000"/>
          <w:sz w:val="20"/>
          <w:szCs w:val="20"/>
        </w:rPr>
        <w:t xml:space="preserve"> the principal market (or most advantageous market, in the absence of a principal market) for the asset or liability in an orderly transaction between market participants at the measurement date. Entities are required to maximize the use of observable inpu</w:t>
      </w:r>
      <w:r>
        <w:rPr>
          <w:rFonts w:eastAsia="Times New Roman"/>
          <w:color w:val="000000"/>
          <w:sz w:val="20"/>
          <w:szCs w:val="20"/>
        </w:rPr>
        <w:t>ts and minimize the use of unobservable inputs in measuring fair value, and to utilize a three-level fair value hierarchy that prioritizes the inputs used to measure fair value. The three levels of inputs used to measure fair value are as follows:</w:t>
      </w:r>
    </w:p>
    <w:p w:rsidR="00000000" w:rsidRDefault="00AE54EE">
      <w:pPr>
        <w:ind w:hanging="360"/>
        <w:divId w:val="618299197"/>
        <w:rPr>
          <w:rFonts w:eastAsia="Times New Roman"/>
        </w:rPr>
      </w:pPr>
      <w:r>
        <w:rPr>
          <w:rFonts w:eastAsia="Times New Roman"/>
          <w:color w:val="000000"/>
          <w:sz w:val="20"/>
          <w:szCs w:val="20"/>
        </w:rPr>
        <w:t>•Level 1</w:t>
      </w:r>
      <w:r>
        <w:rPr>
          <w:rFonts w:eastAsia="Times New Roman"/>
          <w:color w:val="000000"/>
          <w:sz w:val="20"/>
          <w:szCs w:val="20"/>
        </w:rPr>
        <w:t> — Quoted prices in active markets for identical assets or liabilities.</w:t>
      </w:r>
    </w:p>
    <w:p w:rsidR="00000000" w:rsidRDefault="00AE54EE">
      <w:pPr>
        <w:ind w:hanging="360"/>
        <w:divId w:val="1839270693"/>
        <w:rPr>
          <w:rFonts w:eastAsia="Times New Roman"/>
        </w:rPr>
      </w:pPr>
      <w:r>
        <w:rPr>
          <w:rFonts w:eastAsia="Times New Roman"/>
          <w:color w:val="000000"/>
          <w:sz w:val="20"/>
          <w:szCs w:val="20"/>
        </w:rPr>
        <w:t xml:space="preserve">•Level 2 — Observable inputs other than quoted prices included within Level 1, including quoted prices for similar assets or liabilities in active markets; quoted prices for identical </w:t>
      </w:r>
      <w:r>
        <w:rPr>
          <w:rFonts w:eastAsia="Times New Roman"/>
          <w:color w:val="000000"/>
          <w:sz w:val="20"/>
          <w:szCs w:val="20"/>
        </w:rPr>
        <w:t>or similar assets or liabilities in markets that are not active; and inputs other than quoted prices that are observable or are derived principally from, or corroborated by, observable market data by correlation or other means.</w:t>
      </w:r>
    </w:p>
    <w:p w:rsidR="00000000" w:rsidRDefault="00AE54EE">
      <w:pPr>
        <w:ind w:hanging="360"/>
        <w:divId w:val="112555183"/>
        <w:rPr>
          <w:rFonts w:eastAsia="Times New Roman"/>
        </w:rPr>
      </w:pPr>
      <w:r>
        <w:rPr>
          <w:rFonts w:eastAsia="Times New Roman"/>
          <w:color w:val="000000"/>
          <w:sz w:val="20"/>
          <w:szCs w:val="20"/>
        </w:rPr>
        <w:t>•Level 3 — Unobservable inpu</w:t>
      </w:r>
      <w:r>
        <w:rPr>
          <w:rFonts w:eastAsia="Times New Roman"/>
          <w:color w:val="000000"/>
          <w:sz w:val="20"/>
          <w:szCs w:val="20"/>
        </w:rPr>
        <w:t>ts that are supported by little or no market activity, are significant to the fair value of the assets or liabilities, and reflect our own assumptions about the assumptions market participants would use in pricing the asset or liability developed using the</w:t>
      </w:r>
      <w:r>
        <w:rPr>
          <w:rFonts w:eastAsia="Times New Roman"/>
          <w:color w:val="000000"/>
          <w:sz w:val="20"/>
          <w:szCs w:val="20"/>
        </w:rPr>
        <w:t xml:space="preserve"> best information available in the circumstances.</w:t>
      </w:r>
    </w:p>
    <w:p w:rsidR="00000000" w:rsidRDefault="00AE54EE">
      <w:pPr>
        <w:ind w:firstLine="450"/>
        <w:divId w:val="2118600517"/>
        <w:rPr>
          <w:rFonts w:eastAsia="Times New Roman"/>
        </w:rPr>
      </w:pPr>
      <w:r>
        <w:rPr>
          <w:rFonts w:eastAsia="Times New Roman"/>
          <w:color w:val="000000"/>
          <w:sz w:val="20"/>
          <w:szCs w:val="20"/>
        </w:rPr>
        <w:t>In certain instances, fair value is estimated using quoted market prices obtained from external pricing services. In obtaining such data from the pricing service, we have evaluated the methodologies used to</w:t>
      </w:r>
      <w:r>
        <w:rPr>
          <w:rFonts w:eastAsia="Times New Roman"/>
          <w:color w:val="000000"/>
          <w:sz w:val="20"/>
          <w:szCs w:val="20"/>
        </w:rPr>
        <w:t xml:space="preserve"> develop the estimate of fair value in order to assess whether such valuations are representative of fair value, including net asset value (“NAV”). Additionally, in certain circumstances, the NAV reported by an asset manager may be adjusted when sufficient</w:t>
      </w:r>
      <w:r>
        <w:rPr>
          <w:rFonts w:eastAsia="Times New Roman"/>
          <w:color w:val="000000"/>
          <w:sz w:val="20"/>
          <w:szCs w:val="20"/>
        </w:rPr>
        <w:t xml:space="preserve"> evidence indicates NAV is not representative of fair value.</w:t>
      </w:r>
    </w:p>
    <w:p w:rsidR="00000000" w:rsidRDefault="00AE54EE">
      <w:pPr>
        <w:ind w:firstLine="450"/>
        <w:divId w:val="1256596060"/>
        <w:rPr>
          <w:rFonts w:eastAsia="Times New Roman"/>
        </w:rPr>
      </w:pPr>
      <w:r>
        <w:rPr>
          <w:rFonts w:eastAsia="Times New Roman"/>
          <w:b/>
          <w:bCs/>
          <w:color w:val="000000"/>
          <w:sz w:val="20"/>
          <w:szCs w:val="20"/>
        </w:rPr>
        <w:t>Accounts Receivable</w:t>
      </w:r>
      <w:r>
        <w:rPr>
          <w:rFonts w:eastAsia="Times New Roman"/>
          <w:color w:val="000000"/>
          <w:sz w:val="20"/>
          <w:szCs w:val="20"/>
        </w:rPr>
        <w:t> — We record receivables at net realizable value and they generally do not bear interest. This value includes an allowance for estimated uncollectible accounts to reflect any l</w:t>
      </w:r>
      <w:r>
        <w:rPr>
          <w:rFonts w:eastAsia="Times New Roman"/>
          <w:color w:val="000000"/>
          <w:sz w:val="20"/>
          <w:szCs w:val="20"/>
        </w:rPr>
        <w:t>oss anticipated on the accounts receivable balances which is charged to the provision for doubtful accounts. We calculate this allowance at inception based on expected loss over the life of the receivable. We consider historical write-offs by customer, lev</w:t>
      </w:r>
      <w:r>
        <w:rPr>
          <w:rFonts w:eastAsia="Times New Roman"/>
          <w:color w:val="000000"/>
          <w:sz w:val="20"/>
          <w:szCs w:val="20"/>
        </w:rPr>
        <w:t xml:space="preserve">el of past due accounts and economic status of the customers. A receivable is considered delinquent if it is unpaid after the term of the related invoice has expired. Write-offs are recorded at the time a customer receivable is deemed uncollectible. See </w:t>
      </w:r>
      <w:r>
        <w:rPr>
          <w:rFonts w:eastAsia="Times New Roman"/>
          <w:i/>
          <w:iCs/>
          <w:color w:val="000000"/>
          <w:sz w:val="20"/>
          <w:szCs w:val="20"/>
        </w:rPr>
        <w:t>No</w:t>
      </w:r>
      <w:r>
        <w:rPr>
          <w:rFonts w:eastAsia="Times New Roman"/>
          <w:i/>
          <w:iCs/>
          <w:color w:val="000000"/>
          <w:sz w:val="20"/>
          <w:szCs w:val="20"/>
        </w:rPr>
        <w:t>te 5: Receivables, Net</w:t>
      </w:r>
      <w:r>
        <w:rPr>
          <w:rFonts w:eastAsia="Times New Roman"/>
          <w:color w:val="000000"/>
          <w:sz w:val="20"/>
          <w:szCs w:val="20"/>
        </w:rPr>
        <w:t xml:space="preserve"> in these Notes for additional information regarding accounts receivable.</w:t>
      </w:r>
    </w:p>
    <w:p w:rsidR="00000000" w:rsidRDefault="00AE54EE">
      <w:pPr>
        <w:ind w:firstLine="450"/>
        <w:divId w:val="721754057"/>
        <w:rPr>
          <w:rFonts w:eastAsia="Times New Roman"/>
        </w:rPr>
      </w:pPr>
      <w:r>
        <w:rPr>
          <w:rFonts w:eastAsia="Times New Roman"/>
          <w:b/>
          <w:bCs/>
          <w:color w:val="000000"/>
          <w:sz w:val="20"/>
          <w:szCs w:val="20"/>
        </w:rPr>
        <w:t xml:space="preserve">Contract Assets and Liabilities </w:t>
      </w:r>
      <w:r>
        <w:rPr>
          <w:rFonts w:eastAsia="Times New Roman"/>
          <w:color w:val="000000"/>
          <w:sz w:val="20"/>
          <w:szCs w:val="20"/>
        </w:rPr>
        <w:t xml:space="preserve">— The timing of revenue recognition, customer billings and cash collections results in accounts receivable, contract assets and </w:t>
      </w:r>
      <w:r>
        <w:rPr>
          <w:rFonts w:eastAsia="Times New Roman"/>
          <w:color w:val="000000"/>
          <w:sz w:val="20"/>
          <w:szCs w:val="20"/>
        </w:rPr>
        <w:t>contract liabilities at the end of each reporting period. Contract assets include unbilled amounts typically resulting from revenue recognized exceeding amounts billed to customers for contracts utilizing the percentage of completion (“POC”) cost-to-cost r</w:t>
      </w:r>
      <w:r>
        <w:rPr>
          <w:rFonts w:eastAsia="Times New Roman"/>
          <w:color w:val="000000"/>
          <w:sz w:val="20"/>
          <w:szCs w:val="20"/>
        </w:rPr>
        <w:t>evenue recognition method. We bill customers as work progresses in accordance with agreed-upon contractual terms, either at periodic intervals, upon achievement of contractual milestones or upon deliveries and, in certain arrangements, the customer may wit</w:t>
      </w:r>
      <w:r>
        <w:rPr>
          <w:rFonts w:eastAsia="Times New Roman"/>
          <w:color w:val="000000"/>
          <w:sz w:val="20"/>
          <w:szCs w:val="20"/>
        </w:rPr>
        <w:t>hhold payment of a small portion of the contract price until contract completion. Contract liabilities include advance payments and billings in excess of revenue recognized, including deferred revenue. Contract assets and liabilities are reported on a cont</w:t>
      </w:r>
      <w:r>
        <w:rPr>
          <w:rFonts w:eastAsia="Times New Roman"/>
          <w:color w:val="000000"/>
          <w:sz w:val="20"/>
          <w:szCs w:val="20"/>
        </w:rPr>
        <w:t>ract-by-contract basis at the end of each reporting period. The non-current portion of contract liabilities is included within the “Other long-term liabilities” line item in our Consolidated Balance Sheet.</w:t>
      </w:r>
    </w:p>
    <w:p w:rsidR="00000000" w:rsidRDefault="00AE54EE">
      <w:pPr>
        <w:ind w:firstLine="450"/>
        <w:divId w:val="175578736"/>
        <w:rPr>
          <w:rFonts w:eastAsia="Times New Roman"/>
        </w:rPr>
      </w:pPr>
      <w:r>
        <w:rPr>
          <w:rFonts w:eastAsia="Times New Roman"/>
          <w:color w:val="000000"/>
          <w:sz w:val="20"/>
          <w:szCs w:val="20"/>
        </w:rPr>
        <w:t>Contract assets related to amounts withheld by cus</w:t>
      </w:r>
      <w:r>
        <w:rPr>
          <w:rFonts w:eastAsia="Times New Roman"/>
          <w:color w:val="000000"/>
          <w:sz w:val="20"/>
          <w:szCs w:val="20"/>
        </w:rPr>
        <w:t xml:space="preserve">tomers until contract completion are not considered a significant financing component of our contracts because the intent is to protect the customers from our failure to satisfactorily complete our performance obligations. Payments received from customers </w:t>
      </w:r>
      <w:r>
        <w:rPr>
          <w:rFonts w:eastAsia="Times New Roman"/>
          <w:color w:val="000000"/>
          <w:sz w:val="20"/>
          <w:szCs w:val="20"/>
        </w:rPr>
        <w:t xml:space="preserve">in advance of revenue recognition are not considered a significant financing component of our contracts because they are utilized to pay for contract costs within a one-year period or are requested </w:t>
      </w:r>
    </w:p>
    <w:p w:rsidR="00000000" w:rsidRDefault="00AE54EE">
      <w:pPr>
        <w:ind w:firstLine="450"/>
        <w:jc w:val="center"/>
        <w:divId w:val="1168400687"/>
        <w:rPr>
          <w:rFonts w:eastAsia="Times New Roman"/>
        </w:rPr>
      </w:pPr>
      <w:r>
        <w:rPr>
          <w:rFonts w:eastAsia="Times New Roman"/>
          <w:color w:val="000000"/>
          <w:sz w:val="20"/>
          <w:szCs w:val="20"/>
        </w:rPr>
        <w:t>75</w:t>
      </w:r>
    </w:p>
    <w:p w:rsidR="00000000" w:rsidRDefault="00AE54EE">
      <w:pPr>
        <w:rPr>
          <w:rFonts w:eastAsia="Times New Roman"/>
        </w:rPr>
      </w:pPr>
      <w:r>
        <w:rPr>
          <w:rFonts w:eastAsia="Times New Roman"/>
        </w:rPr>
        <w:pict>
          <v:rect id="_x0000_i1103" style="width:0;height:1.5pt" o:hralign="center" o:hrstd="t" o:hr="t" fillcolor="#a0a0a0" stroked="f"/>
        </w:pict>
      </w:r>
    </w:p>
    <w:p w:rsidR="00000000" w:rsidRDefault="00AE54EE">
      <w:pPr>
        <w:ind w:firstLine="450"/>
        <w:divId w:val="317538056"/>
        <w:rPr>
          <w:rFonts w:eastAsia="Times New Roman"/>
        </w:rPr>
      </w:pPr>
    </w:p>
    <w:p w:rsidR="00000000" w:rsidRDefault="00AE54EE">
      <w:pPr>
        <w:divId w:val="439834434"/>
        <w:rPr>
          <w:rFonts w:eastAsia="Times New Roman"/>
        </w:rPr>
      </w:pPr>
      <w:r>
        <w:rPr>
          <w:rFonts w:eastAsia="Times New Roman"/>
          <w:color w:val="000000"/>
          <w:sz w:val="20"/>
          <w:szCs w:val="20"/>
        </w:rPr>
        <w:t xml:space="preserve">by us to ensure </w:t>
      </w:r>
      <w:r>
        <w:rPr>
          <w:rFonts w:eastAsia="Times New Roman"/>
          <w:color w:val="000000"/>
          <w:sz w:val="20"/>
          <w:szCs w:val="20"/>
        </w:rPr>
        <w:t xml:space="preserve">the customers meet their payment obligations. See </w:t>
      </w:r>
      <w:r>
        <w:rPr>
          <w:rFonts w:eastAsia="Times New Roman"/>
          <w:i/>
          <w:iCs/>
          <w:color w:val="000000"/>
          <w:sz w:val="20"/>
          <w:szCs w:val="20"/>
        </w:rPr>
        <w:t>Note 6: Contract Assets and Contract Liabilities</w:t>
      </w:r>
      <w:r>
        <w:rPr>
          <w:rFonts w:eastAsia="Times New Roman"/>
          <w:color w:val="000000"/>
          <w:sz w:val="20"/>
          <w:szCs w:val="20"/>
        </w:rPr>
        <w:t xml:space="preserve"> in these Notes for additional information.</w:t>
      </w:r>
    </w:p>
    <w:p w:rsidR="00000000" w:rsidRDefault="00AE54EE">
      <w:pPr>
        <w:ind w:firstLine="450"/>
        <w:divId w:val="758645734"/>
        <w:rPr>
          <w:rFonts w:eastAsia="Times New Roman"/>
        </w:rPr>
      </w:pPr>
      <w:r>
        <w:rPr>
          <w:rFonts w:eastAsia="Times New Roman"/>
          <w:b/>
          <w:bCs/>
          <w:color w:val="000000"/>
          <w:sz w:val="20"/>
          <w:szCs w:val="20"/>
        </w:rPr>
        <w:t>Inventories</w:t>
      </w:r>
      <w:r>
        <w:rPr>
          <w:rFonts w:eastAsia="Times New Roman"/>
          <w:color w:val="000000"/>
          <w:sz w:val="20"/>
          <w:szCs w:val="20"/>
        </w:rPr>
        <w:t xml:space="preserve"> — Inventories are valued at the lower of cost (determined by average and first-in, first-out methods) </w:t>
      </w:r>
      <w:r>
        <w:rPr>
          <w:rFonts w:eastAsia="Times New Roman"/>
          <w:color w:val="000000"/>
          <w:sz w:val="20"/>
          <w:szCs w:val="20"/>
        </w:rPr>
        <w:t>or net realizable value. We regularly review inventory quantities on hand and record a provision for excess and obsolete inventory primarily based on our estimated forecast of product demand, anticipated end of product life and production requirements. See</w:t>
      </w:r>
      <w:r>
        <w:rPr>
          <w:rFonts w:eastAsia="Times New Roman"/>
          <w:color w:val="000000"/>
          <w:sz w:val="20"/>
          <w:szCs w:val="20"/>
        </w:rPr>
        <w:t xml:space="preserve"> </w:t>
      </w:r>
      <w:r>
        <w:rPr>
          <w:rFonts w:eastAsia="Times New Roman"/>
          <w:i/>
          <w:iCs/>
          <w:color w:val="000000"/>
          <w:sz w:val="20"/>
          <w:szCs w:val="20"/>
        </w:rPr>
        <w:t>Note 7: Inventories</w:t>
      </w:r>
      <w:r>
        <w:rPr>
          <w:rFonts w:eastAsia="Times New Roman"/>
          <w:color w:val="000000"/>
          <w:sz w:val="20"/>
          <w:szCs w:val="20"/>
        </w:rPr>
        <w:t xml:space="preserve"> in these Notes for additional information regarding inventories.</w:t>
      </w:r>
    </w:p>
    <w:p w:rsidR="00000000" w:rsidRDefault="00AE54EE">
      <w:pPr>
        <w:ind w:firstLine="450"/>
        <w:divId w:val="193202827"/>
        <w:rPr>
          <w:rFonts w:eastAsia="Times New Roman"/>
        </w:rPr>
      </w:pPr>
      <w:r>
        <w:rPr>
          <w:rFonts w:eastAsia="Times New Roman"/>
          <w:b/>
          <w:bCs/>
          <w:color w:val="000000"/>
          <w:sz w:val="20"/>
          <w:szCs w:val="20"/>
        </w:rPr>
        <w:t xml:space="preserve">Costs to Obtain or Fulfill a Contract </w:t>
      </w:r>
      <w:r>
        <w:rPr>
          <w:rFonts w:eastAsia="Times New Roman"/>
          <w:color w:val="000000"/>
          <w:sz w:val="20"/>
          <w:szCs w:val="20"/>
        </w:rPr>
        <w:t xml:space="preserve">— </w:t>
      </w:r>
      <w:r>
        <w:rPr>
          <w:rFonts w:eastAsia="Times New Roman"/>
          <w:color w:val="000000"/>
          <w:sz w:val="20"/>
          <w:szCs w:val="20"/>
        </w:rPr>
        <w:t>Costs to obtain a contract are incremental direct costs incurred to obtain a contract with a customer, including sales commissions and dealer fees, and are capitalized if material. Costs to fulfill a contract include costs directly related to a contract or</w:t>
      </w:r>
      <w:r>
        <w:rPr>
          <w:rFonts w:eastAsia="Times New Roman"/>
          <w:color w:val="000000"/>
          <w:sz w:val="20"/>
          <w:szCs w:val="20"/>
        </w:rPr>
        <w:t xml:space="preserve"> specific anticipated contract (for example, mobilization, set-up and certain design costs) that generate or enhance our ability to satisfy our performance obligations under these contracts. These costs are capitalized to the extent they are expected to be</w:t>
      </w:r>
      <w:r>
        <w:rPr>
          <w:rFonts w:eastAsia="Times New Roman"/>
          <w:color w:val="000000"/>
          <w:sz w:val="20"/>
          <w:szCs w:val="20"/>
        </w:rPr>
        <w:t xml:space="preserve"> recovered from the associated contract. Capitalized costs to obtain or fulfill a contract are amortized to expense over the expected period of benefit for contracts with terms greater than one year on a systematic basis that is consistent with the pattern</w:t>
      </w:r>
      <w:r>
        <w:rPr>
          <w:rFonts w:eastAsia="Times New Roman"/>
          <w:color w:val="000000"/>
          <w:sz w:val="20"/>
          <w:szCs w:val="20"/>
        </w:rPr>
        <w:t xml:space="preserve"> of transfer of the associated goods and services to the customer. As a practical expedient, capitalized costs to obtain or fulfill a contract with a term of one year or less are expensed as incurred. Capitalized costs to obtain or fulfill a contract inclu</w:t>
      </w:r>
      <w:r>
        <w:rPr>
          <w:rFonts w:eastAsia="Times New Roman"/>
          <w:color w:val="000000"/>
          <w:sz w:val="20"/>
          <w:szCs w:val="20"/>
        </w:rPr>
        <w:t>ded in the “Other current assets” and “Other non-current assets” line items in our Consolidated Balance Sheet were $11 million and $26 million, respectively, at December 31, 2021 and $14 million and $35 million, respectively, at January 1, 2021.</w:t>
      </w:r>
    </w:p>
    <w:p w:rsidR="00000000" w:rsidRDefault="00AE54EE">
      <w:pPr>
        <w:ind w:firstLine="450"/>
        <w:divId w:val="1962958812"/>
        <w:rPr>
          <w:rFonts w:eastAsia="Times New Roman"/>
        </w:rPr>
      </w:pPr>
      <w:r>
        <w:rPr>
          <w:rFonts w:eastAsia="Times New Roman"/>
          <w:b/>
          <w:bCs/>
          <w:color w:val="000000"/>
          <w:sz w:val="20"/>
          <w:szCs w:val="20"/>
        </w:rPr>
        <w:t xml:space="preserve">Property, </w:t>
      </w:r>
      <w:r>
        <w:rPr>
          <w:rFonts w:eastAsia="Times New Roman"/>
          <w:b/>
          <w:bCs/>
          <w:color w:val="000000"/>
          <w:sz w:val="20"/>
          <w:szCs w:val="20"/>
        </w:rPr>
        <w:t>Plant and Equipment</w:t>
      </w:r>
      <w:r>
        <w:rPr>
          <w:rFonts w:eastAsia="Times New Roman"/>
          <w:color w:val="000000"/>
          <w:sz w:val="20"/>
          <w:szCs w:val="20"/>
        </w:rPr>
        <w:t> — Property, plant and equipment are carried on the basis of cost and include software capitalized for internal use. Depreciation of buildings, machinery and equipment is computed by the straight-line and accelerated methods. The estimat</w:t>
      </w:r>
      <w:r>
        <w:rPr>
          <w:rFonts w:eastAsia="Times New Roman"/>
          <w:color w:val="000000"/>
          <w:sz w:val="20"/>
          <w:szCs w:val="20"/>
        </w:rPr>
        <w:t>ed useful lives of buildings, including leasehold improvements, generally range between 2 and 50 years. The estimated useful lives of machinery and equipment generally range between 2 and 15 years. Amortization of internal-use software begins when the soft</w:t>
      </w:r>
      <w:r>
        <w:rPr>
          <w:rFonts w:eastAsia="Times New Roman"/>
          <w:color w:val="000000"/>
          <w:sz w:val="20"/>
          <w:szCs w:val="20"/>
        </w:rPr>
        <w:t xml:space="preserve">ware is put into service and is based on the expected useful life of the software. The useful lives over which we amortize internal-use software generally range between 3 and 10 years. See </w:t>
      </w:r>
      <w:r>
        <w:rPr>
          <w:rFonts w:eastAsia="Times New Roman"/>
          <w:i/>
          <w:iCs/>
          <w:color w:val="000000"/>
          <w:sz w:val="20"/>
          <w:szCs w:val="20"/>
        </w:rPr>
        <w:t>Note 8: Property, Plant and Equipment, Net</w:t>
      </w:r>
      <w:r>
        <w:rPr>
          <w:rFonts w:eastAsia="Times New Roman"/>
          <w:color w:val="000000"/>
          <w:sz w:val="20"/>
          <w:szCs w:val="20"/>
        </w:rPr>
        <w:t xml:space="preserve"> in these Notes for addit</w:t>
      </w:r>
      <w:r>
        <w:rPr>
          <w:rFonts w:eastAsia="Times New Roman"/>
          <w:color w:val="000000"/>
          <w:sz w:val="20"/>
          <w:szCs w:val="20"/>
        </w:rPr>
        <w:t>ional information regarding property, plant and equipment.</w:t>
      </w:r>
    </w:p>
    <w:p w:rsidR="00000000" w:rsidRDefault="00AE54EE">
      <w:pPr>
        <w:ind w:firstLine="450"/>
        <w:divId w:val="375592699"/>
        <w:rPr>
          <w:rFonts w:eastAsia="Times New Roman"/>
        </w:rPr>
      </w:pPr>
      <w:r>
        <w:rPr>
          <w:rFonts w:eastAsia="Times New Roman"/>
          <w:b/>
          <w:bCs/>
          <w:color w:val="000000"/>
          <w:sz w:val="20"/>
          <w:szCs w:val="20"/>
        </w:rPr>
        <w:t>Goodwill</w:t>
      </w:r>
      <w:r>
        <w:rPr>
          <w:rFonts w:eastAsia="Times New Roman"/>
          <w:color w:val="000000"/>
          <w:sz w:val="20"/>
          <w:szCs w:val="20"/>
        </w:rPr>
        <w:t> — We follow the acquisition method of accounting to record the assets and liabilities of acquired businesses at their estimated fair value at the date of acquisition. We initially record g</w:t>
      </w:r>
      <w:r>
        <w:rPr>
          <w:rFonts w:eastAsia="Times New Roman"/>
          <w:color w:val="000000"/>
          <w:sz w:val="20"/>
          <w:szCs w:val="20"/>
        </w:rPr>
        <w:t>oodwill for the amount the consideration transferred exceeds the acquisition-date fair value of net identifiable assets acquired.</w:t>
      </w:r>
    </w:p>
    <w:p w:rsidR="00000000" w:rsidRDefault="00AE54EE">
      <w:pPr>
        <w:ind w:firstLine="450"/>
        <w:divId w:val="497581710"/>
        <w:rPr>
          <w:rFonts w:eastAsia="Times New Roman"/>
        </w:rPr>
      </w:pPr>
      <w:r>
        <w:rPr>
          <w:rFonts w:eastAsia="Times New Roman"/>
          <w:color w:val="000000"/>
          <w:sz w:val="20"/>
          <w:szCs w:val="20"/>
        </w:rPr>
        <w:t>We test goodwill for impairment at a level within the Company referred to as the reporting unit, which is our business segment</w:t>
      </w:r>
      <w:r>
        <w:rPr>
          <w:rFonts w:eastAsia="Times New Roman"/>
          <w:color w:val="000000"/>
          <w:sz w:val="20"/>
          <w:szCs w:val="20"/>
        </w:rPr>
        <w:t xml:space="preserve"> level or one level below the business segment. We test our goodwill for impairment annually as of the first day of our fourth fiscal quarter, or under certain circumstances, more frequently, such as when events or circumstances indicate there may be impai</w:t>
      </w:r>
      <w:r>
        <w:rPr>
          <w:rFonts w:eastAsia="Times New Roman"/>
          <w:color w:val="000000"/>
          <w:sz w:val="20"/>
          <w:szCs w:val="20"/>
        </w:rPr>
        <w:t>rment. Such events or circumstances may include a significant deterioration in overall economic conditions, changes in the business climate of our industry, a decline in our market capitalization, operating performance indicators, competition, reorganizati</w:t>
      </w:r>
      <w:r>
        <w:rPr>
          <w:rFonts w:eastAsia="Times New Roman"/>
          <w:color w:val="000000"/>
          <w:sz w:val="20"/>
          <w:szCs w:val="20"/>
        </w:rPr>
        <w:t xml:space="preserve">ons of our business or the disposal of all or a portion of a reporting unit. </w:t>
      </w:r>
    </w:p>
    <w:p w:rsidR="00000000" w:rsidRDefault="00AE54EE">
      <w:pPr>
        <w:ind w:firstLine="450"/>
        <w:divId w:val="1183396021"/>
        <w:rPr>
          <w:rFonts w:eastAsia="Times New Roman"/>
        </w:rPr>
      </w:pPr>
      <w:r>
        <w:rPr>
          <w:rFonts w:eastAsia="Times New Roman"/>
          <w:color w:val="000000"/>
          <w:sz w:val="20"/>
          <w:szCs w:val="20"/>
        </w:rPr>
        <w:t>To test goodwill for impairment, we may perform both qualitative and quantitative assessments. If we elect to perform a qualitative assessment for a certain reporting unit, we ev</w:t>
      </w:r>
      <w:r>
        <w:rPr>
          <w:rFonts w:eastAsia="Times New Roman"/>
          <w:color w:val="000000"/>
          <w:sz w:val="20"/>
          <w:szCs w:val="20"/>
        </w:rPr>
        <w:t>aluate events and circumstances impacting the reporting unit to determine the probability that goodwill is impaired. If we determine it is more-likely-than-not that the fair value of  the reporting unit is less than its carrying amount, we measure any loss</w:t>
      </w:r>
      <w:r>
        <w:rPr>
          <w:rFonts w:eastAsia="Times New Roman"/>
          <w:color w:val="000000"/>
          <w:sz w:val="20"/>
          <w:szCs w:val="20"/>
        </w:rPr>
        <w:t xml:space="preserve"> from an impairment by comparing the fair value of each reporting unit to its carrying amount, including goodwill. If the carrying amount of a reporting unit exceeds its fair value, goodwill is considered impaired, and an impairment loss is recognized in a</w:t>
      </w:r>
      <w:r>
        <w:rPr>
          <w:rFonts w:eastAsia="Times New Roman"/>
          <w:color w:val="000000"/>
          <w:sz w:val="20"/>
          <w:szCs w:val="20"/>
        </w:rPr>
        <w:t xml:space="preserve">n amount equal to that excess. See </w:t>
      </w:r>
      <w:r>
        <w:rPr>
          <w:rFonts w:eastAsia="Times New Roman"/>
          <w:i/>
          <w:iCs/>
          <w:color w:val="000000"/>
          <w:sz w:val="20"/>
          <w:szCs w:val="20"/>
        </w:rPr>
        <w:t>Note 3: Business Divestitures and Asset Sales, Note 4: Business Combination</w:t>
      </w:r>
      <w:r>
        <w:rPr>
          <w:rFonts w:eastAsia="Times New Roman"/>
          <w:color w:val="000000"/>
          <w:sz w:val="20"/>
          <w:szCs w:val="20"/>
        </w:rPr>
        <w:t xml:space="preserve"> and</w:t>
      </w:r>
      <w:r>
        <w:rPr>
          <w:rFonts w:eastAsia="Times New Roman"/>
          <w:i/>
          <w:iCs/>
          <w:color w:val="000000"/>
          <w:sz w:val="20"/>
          <w:szCs w:val="20"/>
        </w:rPr>
        <w:t xml:space="preserve"> Note 9: Goodwill</w:t>
      </w:r>
      <w:r>
        <w:rPr>
          <w:rFonts w:eastAsia="Times New Roman"/>
          <w:color w:val="000000"/>
          <w:sz w:val="20"/>
          <w:szCs w:val="20"/>
        </w:rPr>
        <w:t xml:space="preserve"> in these Notes for additional information regarding goodwill. </w:t>
      </w:r>
    </w:p>
    <w:p w:rsidR="00000000" w:rsidRDefault="00AE54EE">
      <w:pPr>
        <w:ind w:firstLine="450"/>
        <w:divId w:val="338702426"/>
        <w:rPr>
          <w:rFonts w:eastAsia="Times New Roman"/>
        </w:rPr>
      </w:pPr>
      <w:r>
        <w:rPr>
          <w:rFonts w:eastAsia="Times New Roman"/>
          <w:b/>
          <w:bCs/>
          <w:color w:val="000000"/>
          <w:sz w:val="20"/>
          <w:szCs w:val="20"/>
        </w:rPr>
        <w:t>Long-Lived Assets, Including Intangible Assets</w:t>
      </w:r>
      <w:r>
        <w:rPr>
          <w:rFonts w:eastAsia="Times New Roman"/>
          <w:color w:val="000000"/>
          <w:sz w:val="20"/>
          <w:szCs w:val="20"/>
        </w:rPr>
        <w:t> — Long-lived a</w:t>
      </w:r>
      <w:r>
        <w:rPr>
          <w:rFonts w:eastAsia="Times New Roman"/>
          <w:color w:val="000000"/>
          <w:sz w:val="20"/>
          <w:szCs w:val="20"/>
        </w:rPr>
        <w:t xml:space="preserve">ssets, including finite-lived intangible assets, are amortized to expense over their useful lives either according to the underlying economic benefit as reflected by future net cash inflows or on a straight-line basis depending on the nature of the asset. </w:t>
      </w:r>
      <w:r>
        <w:rPr>
          <w:rFonts w:eastAsia="Times New Roman"/>
          <w:color w:val="000000"/>
          <w:sz w:val="20"/>
          <w:szCs w:val="20"/>
        </w:rPr>
        <w:t>We assess the recoverability of the carrying value of our long-lived assets, including finite-lived intangible assets, whenever events or changes in circumstances indicate the carrying amount of the assets may not be recoverable. We evaluate the recoverabi</w:t>
      </w:r>
      <w:r>
        <w:rPr>
          <w:rFonts w:eastAsia="Times New Roman"/>
          <w:color w:val="000000"/>
          <w:sz w:val="20"/>
          <w:szCs w:val="20"/>
        </w:rPr>
        <w:t xml:space="preserve">lity of such assets based on the expectations of undiscounted cash flows from such assets. If the sum of the expected future undiscounted cash flows were less than the carrying amount of the asset, a loss would be recognized for the difference between the </w:t>
      </w:r>
      <w:r>
        <w:rPr>
          <w:rFonts w:eastAsia="Times New Roman"/>
          <w:color w:val="000000"/>
          <w:sz w:val="20"/>
          <w:szCs w:val="20"/>
        </w:rPr>
        <w:t xml:space="preserve">fair value and the carrying amount. Indefinite-lived intangible assets are not amortized, but are tested annually for impairment. This testing compares the fair value of the asset to its carrying amount, and, when appropriate, the carrying amount of these </w:t>
      </w:r>
      <w:r>
        <w:rPr>
          <w:rFonts w:eastAsia="Times New Roman"/>
          <w:color w:val="000000"/>
          <w:sz w:val="20"/>
          <w:szCs w:val="20"/>
        </w:rPr>
        <w:t xml:space="preserve">assets is reduced to its fair value. See </w:t>
      </w:r>
      <w:r>
        <w:rPr>
          <w:rFonts w:eastAsia="Times New Roman"/>
          <w:i/>
          <w:iCs/>
          <w:color w:val="000000"/>
          <w:sz w:val="20"/>
          <w:szCs w:val="20"/>
        </w:rPr>
        <w:t>Note 8: Property, Plant and Equipment, Net</w:t>
      </w:r>
      <w:r>
        <w:rPr>
          <w:rFonts w:eastAsia="Times New Roman"/>
          <w:color w:val="000000"/>
          <w:sz w:val="20"/>
          <w:szCs w:val="20"/>
        </w:rPr>
        <w:t xml:space="preserve"> and </w:t>
      </w:r>
      <w:r>
        <w:rPr>
          <w:rFonts w:eastAsia="Times New Roman"/>
          <w:i/>
          <w:iCs/>
          <w:color w:val="000000"/>
          <w:sz w:val="20"/>
          <w:szCs w:val="20"/>
        </w:rPr>
        <w:t>Note 10: Intangible Assets</w:t>
      </w:r>
      <w:r>
        <w:rPr>
          <w:rFonts w:eastAsia="Times New Roman"/>
          <w:color w:val="000000"/>
          <w:sz w:val="20"/>
          <w:szCs w:val="20"/>
        </w:rPr>
        <w:t xml:space="preserve"> in these Notes for additional information regarding long-lived assets and intangible assets.</w:t>
      </w:r>
    </w:p>
    <w:p w:rsidR="00000000" w:rsidRDefault="00AE54EE">
      <w:pPr>
        <w:ind w:firstLine="450"/>
        <w:divId w:val="12341336"/>
        <w:rPr>
          <w:rFonts w:eastAsia="Times New Roman"/>
        </w:rPr>
      </w:pPr>
      <w:r>
        <w:rPr>
          <w:rFonts w:eastAsia="Times New Roman"/>
          <w:b/>
          <w:bCs/>
          <w:color w:val="000000"/>
          <w:sz w:val="20"/>
          <w:szCs w:val="20"/>
        </w:rPr>
        <w:t>Leases</w:t>
      </w:r>
      <w:r>
        <w:rPr>
          <w:rFonts w:eastAsia="Times New Roman"/>
          <w:color w:val="000000"/>
          <w:sz w:val="20"/>
          <w:szCs w:val="20"/>
        </w:rPr>
        <w:t xml:space="preserve"> — We recognize right-of-use (“ROU”) asset</w:t>
      </w:r>
      <w:r>
        <w:rPr>
          <w:rFonts w:eastAsia="Times New Roman"/>
          <w:color w:val="000000"/>
          <w:sz w:val="20"/>
          <w:szCs w:val="20"/>
        </w:rPr>
        <w:t>s and lease liabilities in our Consolidated Balance Sheet for operating and finance leases under which we are the lessee. As a practical expedient, leases with a term of twelve months or less (including reasonably certain extension periods) and leases with</w:t>
      </w:r>
      <w:r>
        <w:rPr>
          <w:rFonts w:eastAsia="Times New Roman"/>
          <w:color w:val="000000"/>
          <w:sz w:val="20"/>
          <w:szCs w:val="20"/>
        </w:rPr>
        <w:t xml:space="preserve"> expected lease payments of less than $250 thousand are expensed as incurred. Also as a practical expedient, we did not reassess lease classification for contracts in existence or expired prior to our </w:t>
      </w:r>
    </w:p>
    <w:p w:rsidR="00000000" w:rsidRDefault="00AE54EE">
      <w:pPr>
        <w:ind w:firstLine="450"/>
        <w:jc w:val="center"/>
        <w:divId w:val="1684475239"/>
        <w:rPr>
          <w:rFonts w:eastAsia="Times New Roman"/>
        </w:rPr>
      </w:pPr>
      <w:r>
        <w:rPr>
          <w:rFonts w:eastAsia="Times New Roman"/>
          <w:color w:val="000000"/>
          <w:sz w:val="20"/>
          <w:szCs w:val="20"/>
        </w:rPr>
        <w:t>76</w:t>
      </w:r>
    </w:p>
    <w:p w:rsidR="00000000" w:rsidRDefault="00AE54EE">
      <w:pPr>
        <w:rPr>
          <w:rFonts w:eastAsia="Times New Roman"/>
        </w:rPr>
      </w:pPr>
      <w:r>
        <w:rPr>
          <w:rFonts w:eastAsia="Times New Roman"/>
        </w:rPr>
        <w:pict>
          <v:rect id="_x0000_i1104" style="width:0;height:1.5pt" o:hralign="center" o:hrstd="t" o:hr="t" fillcolor="#a0a0a0" stroked="f"/>
        </w:pict>
      </w:r>
    </w:p>
    <w:p w:rsidR="00000000" w:rsidRDefault="00AE54EE">
      <w:pPr>
        <w:ind w:firstLine="450"/>
        <w:divId w:val="200019070"/>
        <w:rPr>
          <w:rFonts w:eastAsia="Times New Roman"/>
        </w:rPr>
      </w:pPr>
    </w:p>
    <w:p w:rsidR="00000000" w:rsidRDefault="00AE54EE">
      <w:pPr>
        <w:divId w:val="972440633"/>
        <w:rPr>
          <w:rFonts w:eastAsia="Times New Roman"/>
        </w:rPr>
      </w:pPr>
      <w:r>
        <w:rPr>
          <w:rFonts w:eastAsia="Times New Roman"/>
          <w:color w:val="000000"/>
          <w:sz w:val="20"/>
          <w:szCs w:val="20"/>
        </w:rPr>
        <w:t>adoption of Accounting Standards Update (“ASU”) 2016-02, Leases (Topic 842), as amended (“ASC 842”) on June 29, 2019, and we continue to account for these leases in accordance with Topic 840.</w:t>
      </w:r>
    </w:p>
    <w:p w:rsidR="00000000" w:rsidRDefault="00AE54EE">
      <w:pPr>
        <w:ind w:firstLine="450"/>
        <w:divId w:val="1463419789"/>
        <w:rPr>
          <w:rFonts w:eastAsia="Times New Roman"/>
        </w:rPr>
      </w:pPr>
      <w:r>
        <w:rPr>
          <w:rFonts w:eastAsia="Times New Roman"/>
          <w:color w:val="000000"/>
          <w:sz w:val="20"/>
          <w:szCs w:val="20"/>
        </w:rPr>
        <w:t xml:space="preserve">Operating lease assets and finance lease assets are included in </w:t>
      </w:r>
      <w:r>
        <w:rPr>
          <w:rFonts w:eastAsia="Times New Roman"/>
          <w:color w:val="000000"/>
          <w:sz w:val="20"/>
          <w:szCs w:val="20"/>
        </w:rPr>
        <w:t xml:space="preserve">the “Operating lease right-of-use assets” and “Property, plant and equipment, net” line items, respectively, in our Consolidated Balance Sheet. Operating lease liabilities and finance lease liabilities for obligations due within twelve months are included </w:t>
      </w:r>
      <w:r>
        <w:rPr>
          <w:rFonts w:eastAsia="Times New Roman"/>
          <w:color w:val="000000"/>
          <w:sz w:val="20"/>
          <w:szCs w:val="20"/>
        </w:rPr>
        <w:t>in the “Other accrued items” line item in our Consolidated Balance Sheet. Operating lease liabilities and finance lease liabilities for obligations due longer than twelve months are included in the “Operating lease liabilities” and “Other long-term liabili</w:t>
      </w:r>
      <w:r>
        <w:rPr>
          <w:rFonts w:eastAsia="Times New Roman"/>
          <w:color w:val="000000"/>
          <w:sz w:val="20"/>
          <w:szCs w:val="20"/>
        </w:rPr>
        <w:t>ties” line items, respectively, in our Consolidated Balance Sheet.            </w:t>
      </w:r>
    </w:p>
    <w:p w:rsidR="00000000" w:rsidRDefault="00AE54EE">
      <w:pPr>
        <w:ind w:firstLine="450"/>
        <w:divId w:val="932937205"/>
        <w:rPr>
          <w:rFonts w:eastAsia="Times New Roman"/>
        </w:rPr>
      </w:pPr>
      <w:r>
        <w:rPr>
          <w:rFonts w:eastAsia="Times New Roman"/>
          <w:color w:val="000000"/>
          <w:sz w:val="20"/>
          <w:szCs w:val="20"/>
        </w:rPr>
        <w:t>ROU assets and lease liabilities are recognized based on the present value of future lease payments. Lease payments primarily include base rent. We have some lease payments that</w:t>
      </w:r>
      <w:r>
        <w:rPr>
          <w:rFonts w:eastAsia="Times New Roman"/>
          <w:color w:val="000000"/>
          <w:sz w:val="20"/>
          <w:szCs w:val="20"/>
        </w:rPr>
        <w:t xml:space="preserve"> are based on an index and changes to the index are treated as variable lease payments and recognized in the period in which the obligation for those payments is incurred. Our lease payments also include non-lease components such as real estate taxes and c</w:t>
      </w:r>
      <w:r>
        <w:rPr>
          <w:rFonts w:eastAsia="Times New Roman"/>
          <w:color w:val="000000"/>
          <w:sz w:val="20"/>
          <w:szCs w:val="20"/>
        </w:rPr>
        <w:t>ommon-area maintenance costs. As a practical expedient, we account for lease and non-lease components as a single component. For certain leases, the non-lease components are variable and are therefore excluded from lease payments to determine the ROU asset</w:t>
      </w:r>
      <w:r>
        <w:rPr>
          <w:rFonts w:eastAsia="Times New Roman"/>
          <w:color w:val="000000"/>
          <w:sz w:val="20"/>
          <w:szCs w:val="20"/>
        </w:rPr>
        <w:t>. The present value of future lease payments is determined using our incremental borrowing rate at lease commencement over the expected lease term. We use our incremental borrowing rate because our leases do not provide an implicit lease rate. The expected</w:t>
      </w:r>
      <w:r>
        <w:rPr>
          <w:rFonts w:eastAsia="Times New Roman"/>
          <w:color w:val="000000"/>
          <w:sz w:val="20"/>
          <w:szCs w:val="20"/>
        </w:rPr>
        <w:t xml:space="preserve"> lease term represents the number of years we expect to lease the property, including options to extend or terminate the lease when it is reasonably certain that we will exercise the option. </w:t>
      </w:r>
    </w:p>
    <w:p w:rsidR="00000000" w:rsidRDefault="00AE54EE">
      <w:pPr>
        <w:ind w:firstLine="450"/>
        <w:divId w:val="1014069232"/>
        <w:rPr>
          <w:rFonts w:eastAsia="Times New Roman"/>
        </w:rPr>
      </w:pPr>
      <w:r>
        <w:rPr>
          <w:rFonts w:eastAsia="Times New Roman"/>
          <w:color w:val="000000"/>
          <w:sz w:val="20"/>
          <w:szCs w:val="20"/>
        </w:rPr>
        <w:t xml:space="preserve">Operating lease expense is recognized as an operating cost on a </w:t>
      </w:r>
      <w:r>
        <w:rPr>
          <w:rFonts w:eastAsia="Times New Roman"/>
          <w:color w:val="000000"/>
          <w:sz w:val="20"/>
          <w:szCs w:val="20"/>
        </w:rPr>
        <w:t xml:space="preserve">straight-line basis over the expected lease term in our Consolidated Statement of Income. For finance leases, the asset is amortized on a straight-line basis over the lease term, and interest on the lease liability is recognized in interest expense. </w:t>
      </w:r>
    </w:p>
    <w:p w:rsidR="00000000" w:rsidRDefault="00AE54EE">
      <w:pPr>
        <w:ind w:firstLine="450"/>
        <w:divId w:val="1529098819"/>
        <w:rPr>
          <w:rFonts w:eastAsia="Times New Roman"/>
        </w:rPr>
      </w:pPr>
      <w:r>
        <w:rPr>
          <w:rFonts w:eastAsia="Times New Roman"/>
          <w:color w:val="000000"/>
          <w:sz w:val="20"/>
          <w:szCs w:val="20"/>
        </w:rPr>
        <w:t>We ar</w:t>
      </w:r>
      <w:r>
        <w:rPr>
          <w:rFonts w:eastAsia="Times New Roman"/>
          <w:color w:val="000000"/>
          <w:sz w:val="20"/>
          <w:szCs w:val="20"/>
        </w:rPr>
        <w:t>e a lessor for certain flight simulators and aircraft which meet the criteria for operating lease classification. Lease income associated with these leases was not material in fiscal 2021, fiscal 2020 or the two quarters ended January 3, 2020.</w:t>
      </w:r>
    </w:p>
    <w:p w:rsidR="00000000" w:rsidRDefault="00AE54EE">
      <w:pPr>
        <w:ind w:firstLine="450"/>
        <w:divId w:val="1550996242"/>
        <w:rPr>
          <w:rFonts w:eastAsia="Times New Roman"/>
        </w:rPr>
      </w:pPr>
      <w:r>
        <w:rPr>
          <w:rFonts w:eastAsia="Times New Roman"/>
          <w:color w:val="000000"/>
          <w:sz w:val="20"/>
          <w:szCs w:val="20"/>
        </w:rPr>
        <w:t xml:space="preserve">See </w:t>
      </w:r>
      <w:r>
        <w:rPr>
          <w:rFonts w:eastAsia="Times New Roman"/>
          <w:i/>
          <w:iCs/>
          <w:color w:val="000000"/>
          <w:sz w:val="20"/>
          <w:szCs w:val="20"/>
        </w:rPr>
        <w:t>Note 18:</w:t>
      </w:r>
      <w:r>
        <w:rPr>
          <w:rFonts w:eastAsia="Times New Roman"/>
          <w:i/>
          <w:iCs/>
          <w:color w:val="000000"/>
          <w:sz w:val="20"/>
          <w:szCs w:val="20"/>
        </w:rPr>
        <w:t xml:space="preserve"> Lease Commitments</w:t>
      </w:r>
      <w:r>
        <w:rPr>
          <w:rFonts w:eastAsia="Times New Roman"/>
          <w:color w:val="000000"/>
          <w:sz w:val="20"/>
          <w:szCs w:val="20"/>
        </w:rPr>
        <w:t xml:space="preserve"> in these Notes for additional information regarding leases.</w:t>
      </w:r>
    </w:p>
    <w:p w:rsidR="00000000" w:rsidRDefault="00AE54EE">
      <w:pPr>
        <w:ind w:firstLine="450"/>
        <w:divId w:val="133377829"/>
        <w:rPr>
          <w:rFonts w:eastAsia="Times New Roman"/>
        </w:rPr>
      </w:pPr>
      <w:r>
        <w:rPr>
          <w:rFonts w:eastAsia="Times New Roman"/>
          <w:b/>
          <w:bCs/>
          <w:color w:val="000000"/>
          <w:sz w:val="20"/>
          <w:szCs w:val="20"/>
        </w:rPr>
        <w:t>Other Assets and Liabilities</w:t>
      </w:r>
      <w:r>
        <w:rPr>
          <w:rFonts w:eastAsia="Times New Roman"/>
          <w:color w:val="000000"/>
          <w:sz w:val="20"/>
          <w:szCs w:val="20"/>
        </w:rPr>
        <w:t> — No assets within the “Other current assets” or “Other non-current assets” line items in our Consolidated Balance Sheet exceeded 5 percent of our t</w:t>
      </w:r>
      <w:r>
        <w:rPr>
          <w:rFonts w:eastAsia="Times New Roman"/>
          <w:color w:val="000000"/>
          <w:sz w:val="20"/>
          <w:szCs w:val="20"/>
        </w:rPr>
        <w:t>otal current assets or total assets, respectively, at December 31, 2021 or January 1, 2021. No accrued liabilities or expenses within the “Other accrued items” or “Other long-term liabilities” line items in our Consolidated Balance Sheet exceeded 5 percent</w:t>
      </w:r>
      <w:r>
        <w:rPr>
          <w:rFonts w:eastAsia="Times New Roman"/>
          <w:color w:val="000000"/>
          <w:sz w:val="20"/>
          <w:szCs w:val="20"/>
        </w:rPr>
        <w:t xml:space="preserve"> of our total current liabilities or total liabilities, respectively, at December 31, 2021 or January 1, 2021.</w:t>
      </w:r>
    </w:p>
    <w:p w:rsidR="00000000" w:rsidRDefault="00AE54EE">
      <w:pPr>
        <w:ind w:firstLine="450"/>
        <w:divId w:val="686979427"/>
        <w:rPr>
          <w:rFonts w:eastAsia="Times New Roman"/>
        </w:rPr>
      </w:pPr>
      <w:r>
        <w:rPr>
          <w:rFonts w:eastAsia="Times New Roman"/>
          <w:b/>
          <w:bCs/>
          <w:color w:val="000000"/>
          <w:sz w:val="20"/>
          <w:szCs w:val="20"/>
        </w:rPr>
        <w:t>Income Taxes</w:t>
      </w:r>
      <w:r>
        <w:rPr>
          <w:rFonts w:eastAsia="Times New Roman"/>
          <w:color w:val="000000"/>
          <w:sz w:val="20"/>
          <w:szCs w:val="20"/>
        </w:rPr>
        <w:t> — We follow the liability method of accounting for income taxes. We record the estimated future tax effects of temporary differences</w:t>
      </w:r>
      <w:r>
        <w:rPr>
          <w:rFonts w:eastAsia="Times New Roman"/>
          <w:color w:val="000000"/>
          <w:sz w:val="20"/>
          <w:szCs w:val="20"/>
        </w:rPr>
        <w:t xml:space="preserve"> between the tax basis of assets and liabilities and amounts reported in our Consolidated Balance Sheet, as well as operating loss and tax credit carryforwards. We follow very specific and detailed guidelines in each tax jurisdiction regarding the recovera</w:t>
      </w:r>
      <w:r>
        <w:rPr>
          <w:rFonts w:eastAsia="Times New Roman"/>
          <w:color w:val="000000"/>
          <w:sz w:val="20"/>
          <w:szCs w:val="20"/>
        </w:rPr>
        <w:t xml:space="preserve">bility of any tax assets recorded on the balance sheet and provide necessary valuation allowances as required. We regularly review our deferred tax assets for recoverability based on historical taxable income, projected future taxable income, the expected </w:t>
      </w:r>
      <w:r>
        <w:rPr>
          <w:rFonts w:eastAsia="Times New Roman"/>
          <w:color w:val="000000"/>
          <w:sz w:val="20"/>
          <w:szCs w:val="20"/>
        </w:rPr>
        <w:t xml:space="preserve">timing of the reversals of existing temporary differences and tax planning strategies. See </w:t>
      </w:r>
      <w:r>
        <w:rPr>
          <w:rFonts w:eastAsia="Times New Roman"/>
          <w:i/>
          <w:iCs/>
          <w:color w:val="000000"/>
          <w:sz w:val="20"/>
          <w:szCs w:val="20"/>
        </w:rPr>
        <w:t>Note 22: Income Taxes</w:t>
      </w:r>
      <w:r>
        <w:rPr>
          <w:rFonts w:eastAsia="Times New Roman"/>
          <w:color w:val="000000"/>
          <w:sz w:val="20"/>
          <w:szCs w:val="20"/>
        </w:rPr>
        <w:t xml:space="preserve"> in these Notes for additional information regarding income taxes.</w:t>
      </w:r>
    </w:p>
    <w:p w:rsidR="00000000" w:rsidRDefault="00AE54EE">
      <w:pPr>
        <w:ind w:firstLine="450"/>
        <w:divId w:val="1856385489"/>
        <w:rPr>
          <w:rFonts w:eastAsia="Times New Roman"/>
        </w:rPr>
      </w:pPr>
      <w:r>
        <w:rPr>
          <w:rFonts w:eastAsia="Times New Roman"/>
          <w:b/>
          <w:bCs/>
          <w:color w:val="000000"/>
          <w:sz w:val="20"/>
          <w:szCs w:val="20"/>
        </w:rPr>
        <w:t>Standard Warranties</w:t>
      </w:r>
      <w:r>
        <w:rPr>
          <w:rFonts w:eastAsia="Times New Roman"/>
          <w:color w:val="000000"/>
          <w:sz w:val="20"/>
          <w:szCs w:val="20"/>
        </w:rPr>
        <w:t> — We record estimated standard warranty costs in the peri</w:t>
      </w:r>
      <w:r>
        <w:rPr>
          <w:rFonts w:eastAsia="Times New Roman"/>
          <w:color w:val="000000"/>
          <w:sz w:val="20"/>
          <w:szCs w:val="20"/>
        </w:rPr>
        <w:t>od that control of the related products transfers to the customer. Factors that affect the estimated cost for warranties include the terms of the contract, the type and complexity of the delivered product, number of installed units, historical experience a</w:t>
      </w:r>
      <w:r>
        <w:rPr>
          <w:rFonts w:eastAsia="Times New Roman"/>
          <w:color w:val="000000"/>
          <w:sz w:val="20"/>
          <w:szCs w:val="20"/>
        </w:rPr>
        <w:t>nd management’s assumptions regarding anticipated rates of warranty claims and cost per claim. Our standard warranties start from the shipment, delivery or customer acceptance date and continue as follows:</w:t>
      </w:r>
    </w:p>
    <w:tbl>
      <w:tblPr>
        <w:tblW w:w="3548" w:type="pct"/>
        <w:jc w:val="center"/>
        <w:tblCellMar>
          <w:top w:w="15" w:type="dxa"/>
          <w:left w:w="15" w:type="dxa"/>
          <w:bottom w:w="15" w:type="dxa"/>
          <w:right w:w="15" w:type="dxa"/>
        </w:tblCellMar>
        <w:tblLook w:val="04A0" w:firstRow="1" w:lastRow="0" w:firstColumn="1" w:lastColumn="0" w:noHBand="0" w:noVBand="1"/>
      </w:tblPr>
      <w:tblGrid>
        <w:gridCol w:w="39"/>
        <w:gridCol w:w="3175"/>
        <w:gridCol w:w="37"/>
        <w:gridCol w:w="36"/>
        <w:gridCol w:w="96"/>
        <w:gridCol w:w="36"/>
        <w:gridCol w:w="37"/>
        <w:gridCol w:w="2402"/>
        <w:gridCol w:w="36"/>
      </w:tblGrid>
      <w:tr w:rsidR="00000000">
        <w:trPr>
          <w:divId w:val="229079248"/>
          <w:jc w:val="center"/>
        </w:trPr>
        <w:tc>
          <w:tcPr>
            <w:tcW w:w="50" w:type="pct"/>
            <w:vAlign w:val="center"/>
            <w:hideMark/>
          </w:tcPr>
          <w:p w:rsidR="00000000" w:rsidRDefault="00AE54EE">
            <w:pPr>
              <w:ind w:firstLine="450"/>
              <w:rPr>
                <w:rFonts w:eastAsia="Times New Roman"/>
              </w:rPr>
            </w:pPr>
          </w:p>
        </w:tc>
        <w:tc>
          <w:tcPr>
            <w:tcW w:w="274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4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09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229079248"/>
          <w:jc w:val="center"/>
        </w:trPr>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Segment</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Average Warranty Period</w:t>
            </w:r>
          </w:p>
        </w:tc>
      </w:tr>
      <w:tr w:rsidR="00000000">
        <w:trPr>
          <w:divId w:val="229079248"/>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Integrated Mission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w:t>
            </w:r>
          </w:p>
        </w:tc>
      </w:tr>
      <w:tr w:rsidR="00000000">
        <w:trPr>
          <w:divId w:val="229079248"/>
          <w:jc w:val="center"/>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Space &amp; Airborne Systems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w:t>
            </w:r>
          </w:p>
        </w:tc>
      </w:tr>
      <w:tr w:rsidR="00000000">
        <w:trPr>
          <w:divId w:val="229079248"/>
          <w:jc w:val="center"/>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Communication Systems</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five years</w:t>
            </w:r>
          </w:p>
        </w:tc>
      </w:tr>
      <w:tr w:rsidR="00000000">
        <w:trPr>
          <w:divId w:val="229079248"/>
          <w:jc w:val="center"/>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Aviation Systems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two years</w:t>
            </w:r>
          </w:p>
        </w:tc>
      </w:tr>
    </w:tbl>
    <w:p w:rsidR="00000000" w:rsidRDefault="00AE54EE">
      <w:pPr>
        <w:ind w:firstLine="450"/>
        <w:divId w:val="2034383576"/>
        <w:rPr>
          <w:rFonts w:eastAsia="Times New Roman"/>
        </w:rPr>
      </w:pPr>
      <w:r>
        <w:rPr>
          <w:rFonts w:eastAsia="Times New Roman"/>
          <w:color w:val="000000"/>
          <w:sz w:val="20"/>
          <w:szCs w:val="20"/>
        </w:rPr>
        <w:t xml:space="preserve">Because our products are manufactured, in many cases, to customer specifications and their acceptance is based on meeting those specifications, we historically have experienced minimal warranty costs. Factors that affect our warranty liability include the </w:t>
      </w:r>
      <w:r>
        <w:rPr>
          <w:rFonts w:eastAsia="Times New Roman"/>
          <w:color w:val="000000"/>
          <w:sz w:val="20"/>
          <w:szCs w:val="20"/>
        </w:rPr>
        <w:t>number of installed units, historical experience, anticipated delays in delivery of products to end customers, in-country support for international sales and our assumptions regarding anticipated rates of warranty claims and cost per claim. We assess the a</w:t>
      </w:r>
      <w:r>
        <w:rPr>
          <w:rFonts w:eastAsia="Times New Roman"/>
          <w:color w:val="000000"/>
          <w:sz w:val="20"/>
          <w:szCs w:val="20"/>
        </w:rPr>
        <w:t xml:space="preserve">dequacy of our recorded warranty liabilities every quarter and make adjustments to the liability as necessary. See </w:t>
      </w:r>
      <w:r>
        <w:rPr>
          <w:rFonts w:eastAsia="Times New Roman"/>
          <w:i/>
          <w:iCs/>
          <w:color w:val="000000"/>
          <w:sz w:val="20"/>
          <w:szCs w:val="20"/>
        </w:rPr>
        <w:t>Note 11: Accrued Warranties</w:t>
      </w:r>
      <w:r>
        <w:rPr>
          <w:rFonts w:eastAsia="Times New Roman"/>
          <w:color w:val="000000"/>
          <w:sz w:val="20"/>
          <w:szCs w:val="20"/>
        </w:rPr>
        <w:t xml:space="preserve"> in these Notes for additional information regarding warranties.</w:t>
      </w:r>
    </w:p>
    <w:p w:rsidR="00000000" w:rsidRDefault="00AE54EE">
      <w:pPr>
        <w:ind w:firstLine="450"/>
        <w:jc w:val="center"/>
        <w:divId w:val="2043557249"/>
        <w:rPr>
          <w:rFonts w:eastAsia="Times New Roman"/>
        </w:rPr>
      </w:pPr>
      <w:r>
        <w:rPr>
          <w:rFonts w:eastAsia="Times New Roman"/>
          <w:color w:val="000000"/>
          <w:sz w:val="20"/>
          <w:szCs w:val="20"/>
        </w:rPr>
        <w:t>77</w:t>
      </w:r>
    </w:p>
    <w:p w:rsidR="00000000" w:rsidRDefault="00AE54EE">
      <w:pPr>
        <w:rPr>
          <w:rFonts w:eastAsia="Times New Roman"/>
        </w:rPr>
      </w:pPr>
      <w:r>
        <w:rPr>
          <w:rFonts w:eastAsia="Times New Roman"/>
        </w:rPr>
        <w:pict>
          <v:rect id="_x0000_i1105" style="width:0;height:1.5pt" o:hralign="center" o:hrstd="t" o:hr="t" fillcolor="#a0a0a0" stroked="f"/>
        </w:pict>
      </w:r>
    </w:p>
    <w:p w:rsidR="00000000" w:rsidRDefault="00AE54EE">
      <w:pPr>
        <w:ind w:firstLine="450"/>
        <w:divId w:val="1829860188"/>
        <w:rPr>
          <w:rFonts w:eastAsia="Times New Roman"/>
        </w:rPr>
      </w:pPr>
    </w:p>
    <w:p w:rsidR="00000000" w:rsidRDefault="00AE54EE">
      <w:pPr>
        <w:ind w:firstLine="450"/>
        <w:divId w:val="2025201071"/>
        <w:rPr>
          <w:rFonts w:eastAsia="Times New Roman"/>
        </w:rPr>
      </w:pPr>
      <w:r>
        <w:rPr>
          <w:rFonts w:eastAsia="Times New Roman"/>
          <w:b/>
          <w:bCs/>
          <w:color w:val="000000"/>
          <w:sz w:val="20"/>
          <w:szCs w:val="20"/>
        </w:rPr>
        <w:t xml:space="preserve">Foreign </w:t>
      </w:r>
      <w:r>
        <w:rPr>
          <w:rFonts w:eastAsia="Times New Roman"/>
          <w:b/>
          <w:bCs/>
          <w:color w:val="000000"/>
          <w:sz w:val="20"/>
          <w:szCs w:val="20"/>
        </w:rPr>
        <w:t>Currency Translation</w:t>
      </w:r>
      <w:r>
        <w:rPr>
          <w:rFonts w:eastAsia="Times New Roman"/>
          <w:color w:val="000000"/>
          <w:sz w:val="20"/>
          <w:szCs w:val="20"/>
        </w:rPr>
        <w:t> — The functional currency for most international subsidiaries is the local currency. Assets and liabilities are translated at current rates of exchange and income and expense items are translated at the weighted average exchange rate f</w:t>
      </w:r>
      <w:r>
        <w:rPr>
          <w:rFonts w:eastAsia="Times New Roman"/>
          <w:color w:val="000000"/>
          <w:sz w:val="20"/>
          <w:szCs w:val="20"/>
        </w:rPr>
        <w:t xml:space="preserve">or the year. The resulting translation adjustments are recorded as a separate component of shareholders’ equity. </w:t>
      </w:r>
    </w:p>
    <w:p w:rsidR="00000000" w:rsidRDefault="00AE54EE">
      <w:pPr>
        <w:ind w:firstLine="450"/>
        <w:divId w:val="1676687417"/>
        <w:rPr>
          <w:rFonts w:eastAsia="Times New Roman"/>
        </w:rPr>
      </w:pPr>
      <w:r>
        <w:rPr>
          <w:rFonts w:eastAsia="Times New Roman"/>
          <w:b/>
          <w:bCs/>
          <w:color w:val="000000"/>
          <w:sz w:val="20"/>
          <w:szCs w:val="20"/>
        </w:rPr>
        <w:t>Stock Options and Other Share-Based Compensation</w:t>
      </w:r>
      <w:r>
        <w:rPr>
          <w:rFonts w:eastAsia="Times New Roman"/>
          <w:color w:val="000000"/>
          <w:sz w:val="20"/>
          <w:szCs w:val="20"/>
        </w:rPr>
        <w:t> — We measure compensation cost for all share-based payments (including employee stock options</w:t>
      </w:r>
      <w:r>
        <w:rPr>
          <w:rFonts w:eastAsia="Times New Roman"/>
          <w:color w:val="000000"/>
          <w:sz w:val="20"/>
          <w:szCs w:val="20"/>
        </w:rPr>
        <w:t xml:space="preserve">) at fair value and recognize cost over the vesting period, with forfeitures recognized as they occur. It is our practice to issue shares when options are exercised. See </w:t>
      </w:r>
      <w:r>
        <w:rPr>
          <w:rFonts w:eastAsia="Times New Roman"/>
          <w:i/>
          <w:iCs/>
          <w:color w:val="000000"/>
          <w:sz w:val="20"/>
          <w:szCs w:val="20"/>
        </w:rPr>
        <w:t>Note 15: Stock Options and Other Share-Based Compensation</w:t>
      </w:r>
      <w:r>
        <w:rPr>
          <w:rFonts w:eastAsia="Times New Roman"/>
          <w:color w:val="000000"/>
          <w:sz w:val="20"/>
          <w:szCs w:val="20"/>
        </w:rPr>
        <w:t xml:space="preserve"> in these Notes for additiona</w:t>
      </w:r>
      <w:r>
        <w:rPr>
          <w:rFonts w:eastAsia="Times New Roman"/>
          <w:color w:val="000000"/>
          <w:sz w:val="20"/>
          <w:szCs w:val="20"/>
        </w:rPr>
        <w:t>l information regarding share-based compensation.</w:t>
      </w:r>
    </w:p>
    <w:p w:rsidR="00000000" w:rsidRDefault="00AE54EE">
      <w:pPr>
        <w:ind w:firstLine="450"/>
        <w:divId w:val="149369548"/>
        <w:rPr>
          <w:rFonts w:eastAsia="Times New Roman"/>
        </w:rPr>
      </w:pPr>
      <w:r>
        <w:rPr>
          <w:rFonts w:eastAsia="Times New Roman"/>
          <w:b/>
          <w:bCs/>
          <w:color w:val="000000"/>
          <w:sz w:val="20"/>
          <w:szCs w:val="20"/>
        </w:rPr>
        <w:t xml:space="preserve">Restructuring and Other Exit Costs </w:t>
      </w:r>
      <w:r>
        <w:rPr>
          <w:rFonts w:eastAsia="Times New Roman"/>
          <w:color w:val="000000"/>
          <w:sz w:val="20"/>
          <w:szCs w:val="20"/>
        </w:rPr>
        <w:t>— We record restructuring and other exit costs at their fair value when incurred. In cases where employees are required to render service until they are terminated in orde</w:t>
      </w:r>
      <w:r>
        <w:rPr>
          <w:rFonts w:eastAsia="Times New Roman"/>
          <w:color w:val="000000"/>
          <w:sz w:val="20"/>
          <w:szCs w:val="20"/>
        </w:rPr>
        <w:t xml:space="preserve">r to receive the termination benefits and will be retained beyond the minimum retention period, we record the expense ratably over the future service period. These costs are included as a component of the “Engineering, selling and administrative expenses” </w:t>
      </w:r>
      <w:r>
        <w:rPr>
          <w:rFonts w:eastAsia="Times New Roman"/>
          <w:color w:val="000000"/>
          <w:sz w:val="20"/>
          <w:szCs w:val="20"/>
        </w:rPr>
        <w:t xml:space="preserve">line items in our Consolidated Statement of Income. Restructuring payments and charges were not material for fiscal 2021 and liabilities outstanding related to restructuring actions were not material at December 31, 2021. </w:t>
      </w:r>
    </w:p>
    <w:p w:rsidR="00000000" w:rsidRDefault="00AE54EE">
      <w:pPr>
        <w:ind w:firstLine="450"/>
        <w:divId w:val="1652827310"/>
        <w:rPr>
          <w:rFonts w:eastAsia="Times New Roman"/>
        </w:rPr>
      </w:pPr>
      <w:r>
        <w:rPr>
          <w:rFonts w:eastAsia="Times New Roman"/>
          <w:b/>
          <w:bCs/>
          <w:color w:val="000000"/>
          <w:sz w:val="20"/>
          <w:szCs w:val="20"/>
        </w:rPr>
        <w:t>Revenue Recognition</w:t>
      </w:r>
      <w:r>
        <w:rPr>
          <w:rFonts w:eastAsia="Times New Roman"/>
          <w:color w:val="000000"/>
          <w:sz w:val="20"/>
          <w:szCs w:val="20"/>
        </w:rPr>
        <w:t> — We account for a contract when it has approval and commitment from all parties, the rights and payment terms of the parties can be identified, the contract has commercial substance and the collectability of the consideration, or trans</w:t>
      </w:r>
      <w:r>
        <w:rPr>
          <w:rFonts w:eastAsia="Times New Roman"/>
          <w:color w:val="000000"/>
          <w:sz w:val="20"/>
          <w:szCs w:val="20"/>
        </w:rPr>
        <w:t>action price, is probable. Our contracts are often subsequently modified to include changes in specifications, requirements or price that may create new or change existing enforceable rights and obligations. We do not account for contract modifications (in</w:t>
      </w:r>
      <w:r>
        <w:rPr>
          <w:rFonts w:eastAsia="Times New Roman"/>
          <w:color w:val="000000"/>
          <w:sz w:val="20"/>
          <w:szCs w:val="20"/>
        </w:rPr>
        <w:t>cluding unexercised options) or follow-on contracts until they meet the requirements noted above to account for a contract.</w:t>
      </w:r>
    </w:p>
    <w:p w:rsidR="00000000" w:rsidRDefault="00AE54EE">
      <w:pPr>
        <w:ind w:firstLine="450"/>
        <w:divId w:val="1021203412"/>
        <w:rPr>
          <w:rFonts w:eastAsia="Times New Roman"/>
        </w:rPr>
      </w:pPr>
      <w:r>
        <w:rPr>
          <w:rFonts w:eastAsia="Times New Roman"/>
          <w:color w:val="000000"/>
          <w:sz w:val="20"/>
          <w:szCs w:val="20"/>
        </w:rPr>
        <w:t>At the inception of each contract, we evaluate the promised goods and services to determine whether the contract should be accounted</w:t>
      </w:r>
      <w:r>
        <w:rPr>
          <w:rFonts w:eastAsia="Times New Roman"/>
          <w:color w:val="000000"/>
          <w:sz w:val="20"/>
          <w:szCs w:val="20"/>
        </w:rPr>
        <w:t xml:space="preserve"> for as having one or more performance obligations. A performance obligation is a promise to transfer a distinct good or service to a customer and represents the unit of accounting for revenue recognition. A substantial majority of our revenue is derived f</w:t>
      </w:r>
      <w:r>
        <w:rPr>
          <w:rFonts w:eastAsia="Times New Roman"/>
          <w:color w:val="000000"/>
          <w:sz w:val="20"/>
          <w:szCs w:val="20"/>
        </w:rPr>
        <w:t>rom long-term development and production contracts involving the design, development, manufacture or modification of aerospace and defense products and related services according to the customers’ specifications. Due to the highly interdependent and interr</w:t>
      </w:r>
      <w:r>
        <w:rPr>
          <w:rFonts w:eastAsia="Times New Roman"/>
          <w:color w:val="000000"/>
          <w:sz w:val="20"/>
          <w:szCs w:val="20"/>
        </w:rPr>
        <w:t>elated nature of the underlying goods and services and the significant service of integration that we provide, which often result in the delivery of multiple units, we account for these contracts as one performance obligation. For contracts that include bo</w:t>
      </w:r>
      <w:r>
        <w:rPr>
          <w:rFonts w:eastAsia="Times New Roman"/>
          <w:color w:val="000000"/>
          <w:sz w:val="20"/>
          <w:szCs w:val="20"/>
        </w:rPr>
        <w:t>th development/production and follow-on support services (for example, operations and maintenance), we generally consider the follow-on services distinct in the context of the contract and account for them as separate performance obligations. Additionally,</w:t>
      </w:r>
      <w:r>
        <w:rPr>
          <w:rFonts w:eastAsia="Times New Roman"/>
          <w:color w:val="000000"/>
          <w:sz w:val="20"/>
          <w:szCs w:val="20"/>
        </w:rPr>
        <w:t xml:space="preserve"> a significant amount of our revenue is derived from contracts to provide multiple distinct goods to a customer where the goods can readily be sold to other customers based on their commercial nature and, accordingly, these goods are accounted for as separ</w:t>
      </w:r>
      <w:r>
        <w:rPr>
          <w:rFonts w:eastAsia="Times New Roman"/>
          <w:color w:val="000000"/>
          <w:sz w:val="20"/>
          <w:szCs w:val="20"/>
        </w:rPr>
        <w:t>ate performance obligations. Shipping and handling costs incurred after control of a product has transferred to the customer (for example, in free on board shipping arrangements) are treated as fulfillment costs and, therefore, are not accounted for as sep</w:t>
      </w:r>
      <w:r>
        <w:rPr>
          <w:rFonts w:eastAsia="Times New Roman"/>
          <w:color w:val="000000"/>
          <w:sz w:val="20"/>
          <w:szCs w:val="20"/>
        </w:rPr>
        <w:t>arate performance obligations. Also, we record taxes collected from customers and remitted to governmental authorities on a net basis in that they are excluded from revenue.</w:t>
      </w:r>
    </w:p>
    <w:p w:rsidR="00000000" w:rsidRDefault="00AE54EE">
      <w:pPr>
        <w:ind w:firstLine="450"/>
        <w:divId w:val="2045212673"/>
        <w:rPr>
          <w:rFonts w:eastAsia="Times New Roman"/>
        </w:rPr>
      </w:pPr>
      <w:r>
        <w:rPr>
          <w:rFonts w:eastAsia="Times New Roman"/>
          <w:color w:val="000000"/>
          <w:sz w:val="20"/>
          <w:szCs w:val="20"/>
        </w:rPr>
        <w:t>As noted above, our contracts are often subsequently modified to include changes i</w:t>
      </w:r>
      <w:r>
        <w:rPr>
          <w:rFonts w:eastAsia="Times New Roman"/>
          <w:color w:val="000000"/>
          <w:sz w:val="20"/>
          <w:szCs w:val="20"/>
        </w:rPr>
        <w:t>n specifications, requirements or price. Depending on the nature of the modification, we consider whether to account for the modification as an adjustment to the existing contract or as a separate contract. Often, the deliverables in our contract modificat</w:t>
      </w:r>
      <w:r>
        <w:rPr>
          <w:rFonts w:eastAsia="Times New Roman"/>
          <w:color w:val="000000"/>
          <w:sz w:val="20"/>
          <w:szCs w:val="20"/>
        </w:rPr>
        <w:t xml:space="preserve">ions are not distinct from the existing contract due to the significant integration and interrelated tasks provided in the context of the contract. Therefore, such modifications are accounted for as if they are part of the existing contract, and we may be </w:t>
      </w:r>
      <w:r>
        <w:rPr>
          <w:rFonts w:eastAsia="Times New Roman"/>
          <w:color w:val="000000"/>
          <w:sz w:val="20"/>
          <w:szCs w:val="20"/>
        </w:rPr>
        <w:t>required to recognize a cumulative catch-up adjustment to revenue at the date of the contract modification.</w:t>
      </w:r>
    </w:p>
    <w:p w:rsidR="00000000" w:rsidRDefault="00AE54EE">
      <w:pPr>
        <w:ind w:firstLine="450"/>
        <w:divId w:val="2070305986"/>
        <w:rPr>
          <w:rFonts w:eastAsia="Times New Roman"/>
        </w:rPr>
      </w:pPr>
      <w:r>
        <w:rPr>
          <w:rFonts w:eastAsia="Times New Roman"/>
          <w:color w:val="000000"/>
          <w:sz w:val="20"/>
          <w:szCs w:val="20"/>
        </w:rPr>
        <w:t>We determine the transaction price for each contract based on our best estimate of the consideration we expect to receive, which includes assumption</w:t>
      </w:r>
      <w:r>
        <w:rPr>
          <w:rFonts w:eastAsia="Times New Roman"/>
          <w:color w:val="000000"/>
          <w:sz w:val="20"/>
          <w:szCs w:val="20"/>
        </w:rPr>
        <w:t xml:space="preserve">s regarding variable consideration, such as award and incentive fees. These variable amounts are generally awarded upon achievement of certain negotiated performance metrics, program milestones or cost targets and can be based upon customer discretion. We </w:t>
      </w:r>
      <w:r>
        <w:rPr>
          <w:rFonts w:eastAsia="Times New Roman"/>
          <w:color w:val="000000"/>
          <w:sz w:val="20"/>
          <w:szCs w:val="20"/>
        </w:rPr>
        <w:t>include such estimated amounts in the transaction price to the extent it is probable that a significant reversal of cumulative revenue recognized will not occur when the uncertainty associated with the variable consideration is resolved. We estimate variab</w:t>
      </w:r>
      <w:r>
        <w:rPr>
          <w:rFonts w:eastAsia="Times New Roman"/>
          <w:color w:val="000000"/>
          <w:sz w:val="20"/>
          <w:szCs w:val="20"/>
        </w:rPr>
        <w:t>le consideration primarily using the most likely amount method.</w:t>
      </w:r>
    </w:p>
    <w:p w:rsidR="00000000" w:rsidRDefault="00AE54EE">
      <w:pPr>
        <w:ind w:firstLine="450"/>
        <w:divId w:val="840240109"/>
        <w:rPr>
          <w:rFonts w:eastAsia="Times New Roman"/>
        </w:rPr>
      </w:pPr>
      <w:r>
        <w:rPr>
          <w:rFonts w:eastAsia="Times New Roman"/>
          <w:color w:val="000000"/>
          <w:sz w:val="20"/>
          <w:szCs w:val="20"/>
        </w:rPr>
        <w:t>For contracts with multiple performance obligations, we allocate the transaction price to each performance obligation based on the relative standalone selling price of the good or service unde</w:t>
      </w:r>
      <w:r>
        <w:rPr>
          <w:rFonts w:eastAsia="Times New Roman"/>
          <w:color w:val="000000"/>
          <w:sz w:val="20"/>
          <w:szCs w:val="20"/>
        </w:rPr>
        <w:t xml:space="preserve">rlying each performance obligation. The standalone selling price represents the amount for which we would sell the good or service to a customer on a standalone basis (i.e., not sold as a bundle with any other products or services). Our contracts with the </w:t>
      </w:r>
      <w:r>
        <w:rPr>
          <w:rFonts w:eastAsia="Times New Roman"/>
          <w:color w:val="000000"/>
          <w:sz w:val="20"/>
          <w:szCs w:val="20"/>
        </w:rPr>
        <w:t>U.S. Government, including foreign military sales contracts, are subject to the Federal Acquisition Regulations (“FAR”) and the prices of our contract deliverables are typically based on our estimated or actual costs plus a reasonable profit margin. As a r</w:t>
      </w:r>
      <w:r>
        <w:rPr>
          <w:rFonts w:eastAsia="Times New Roman"/>
          <w:color w:val="000000"/>
          <w:sz w:val="20"/>
          <w:szCs w:val="20"/>
        </w:rPr>
        <w:t xml:space="preserve">esult, the standalone selling prices of the goods and services in these contracts are typically equal to the selling prices stated in the contract, thereby, eliminating the need to allocate (or reallocate) the transaction price to the multiple performance </w:t>
      </w:r>
      <w:r>
        <w:rPr>
          <w:rFonts w:eastAsia="Times New Roman"/>
          <w:color w:val="000000"/>
          <w:sz w:val="20"/>
          <w:szCs w:val="20"/>
        </w:rPr>
        <w:t>obligations. In our non-U.S. Government contracts, we also generally use the expected cost plus a reasonable profit margin approach to determine standalone selling price. In addition, we determine standalone selling price for certain contracts that are com</w:t>
      </w:r>
      <w:r>
        <w:rPr>
          <w:rFonts w:eastAsia="Times New Roman"/>
          <w:color w:val="000000"/>
          <w:sz w:val="20"/>
          <w:szCs w:val="20"/>
        </w:rPr>
        <w:t>mercial in nature based on observable selling prices.</w:t>
      </w:r>
    </w:p>
    <w:p w:rsidR="00000000" w:rsidRDefault="00AE54EE">
      <w:pPr>
        <w:ind w:firstLine="450"/>
        <w:jc w:val="center"/>
        <w:divId w:val="512573427"/>
        <w:rPr>
          <w:rFonts w:eastAsia="Times New Roman"/>
        </w:rPr>
      </w:pPr>
      <w:r>
        <w:rPr>
          <w:rFonts w:eastAsia="Times New Roman"/>
          <w:color w:val="000000"/>
          <w:sz w:val="20"/>
          <w:szCs w:val="20"/>
        </w:rPr>
        <w:t>78</w:t>
      </w:r>
    </w:p>
    <w:p w:rsidR="00000000" w:rsidRDefault="00AE54EE">
      <w:pPr>
        <w:rPr>
          <w:rFonts w:eastAsia="Times New Roman"/>
        </w:rPr>
      </w:pPr>
      <w:r>
        <w:rPr>
          <w:rFonts w:eastAsia="Times New Roman"/>
        </w:rPr>
        <w:pict>
          <v:rect id="_x0000_i1106" style="width:0;height:1.5pt" o:hralign="center" o:hrstd="t" o:hr="t" fillcolor="#a0a0a0" stroked="f"/>
        </w:pict>
      </w:r>
    </w:p>
    <w:p w:rsidR="00000000" w:rsidRDefault="00AE54EE">
      <w:pPr>
        <w:ind w:firstLine="450"/>
        <w:divId w:val="2105493845"/>
        <w:rPr>
          <w:rFonts w:eastAsia="Times New Roman"/>
        </w:rPr>
      </w:pPr>
    </w:p>
    <w:p w:rsidR="00000000" w:rsidRDefault="00AE54EE">
      <w:pPr>
        <w:ind w:firstLine="450"/>
        <w:divId w:val="476843283"/>
        <w:rPr>
          <w:rFonts w:eastAsia="Times New Roman"/>
        </w:rPr>
      </w:pPr>
      <w:r>
        <w:rPr>
          <w:rFonts w:eastAsia="Times New Roman"/>
          <w:color w:val="000000"/>
          <w:sz w:val="20"/>
          <w:szCs w:val="20"/>
        </w:rPr>
        <w:t>We recognize revenue for each performance obligation when (or as) the performance obligation is satisfied by transferring control of the promised goods or services underlying the performance obligation to the customer. The transfer of control can occur ove</w:t>
      </w:r>
      <w:r>
        <w:rPr>
          <w:rFonts w:eastAsia="Times New Roman"/>
          <w:color w:val="000000"/>
          <w:sz w:val="20"/>
          <w:szCs w:val="20"/>
        </w:rPr>
        <w:t>r time or at a point in time.</w:t>
      </w:r>
    </w:p>
    <w:p w:rsidR="00000000" w:rsidRDefault="00AE54EE">
      <w:pPr>
        <w:ind w:firstLine="450"/>
        <w:divId w:val="349600268"/>
        <w:rPr>
          <w:rFonts w:eastAsia="Times New Roman"/>
        </w:rPr>
      </w:pPr>
      <w:r>
        <w:rPr>
          <w:rFonts w:eastAsia="Times New Roman"/>
          <w:i/>
          <w:iCs/>
          <w:color w:val="000000"/>
          <w:sz w:val="20"/>
          <w:szCs w:val="20"/>
        </w:rPr>
        <w:t>Point in Time Revenue Recognition:</w:t>
      </w:r>
      <w:r>
        <w:rPr>
          <w:rFonts w:eastAsia="Times New Roman"/>
          <w:color w:val="000000"/>
          <w:sz w:val="20"/>
          <w:szCs w:val="20"/>
        </w:rPr>
        <w:t xml:space="preserve"> Our performance obligations are satisfied at a point in time unless they meet at least one of the following criteria, in which case they are satisfied over time:</w:t>
      </w:r>
    </w:p>
    <w:p w:rsidR="00000000" w:rsidRDefault="00AE54EE">
      <w:pPr>
        <w:ind w:hanging="360"/>
        <w:divId w:val="1038167256"/>
        <w:rPr>
          <w:rFonts w:eastAsia="Times New Roman"/>
        </w:rPr>
      </w:pPr>
      <w:r>
        <w:rPr>
          <w:rFonts w:eastAsia="Times New Roman"/>
          <w:color w:val="000000"/>
          <w:sz w:val="20"/>
          <w:szCs w:val="20"/>
        </w:rPr>
        <w:t xml:space="preserve">•The customer simultaneously </w:t>
      </w:r>
      <w:r>
        <w:rPr>
          <w:rFonts w:eastAsia="Times New Roman"/>
          <w:color w:val="000000"/>
          <w:sz w:val="20"/>
          <w:szCs w:val="20"/>
        </w:rPr>
        <w:t>receives and consumes the benefits provided by our performance as we perform;</w:t>
      </w:r>
    </w:p>
    <w:p w:rsidR="00000000" w:rsidRDefault="00AE54EE">
      <w:pPr>
        <w:ind w:hanging="360"/>
        <w:divId w:val="2127462149"/>
        <w:rPr>
          <w:rFonts w:eastAsia="Times New Roman"/>
        </w:rPr>
      </w:pPr>
      <w:r>
        <w:rPr>
          <w:rFonts w:eastAsia="Times New Roman"/>
          <w:color w:val="000000"/>
          <w:sz w:val="20"/>
          <w:szCs w:val="20"/>
        </w:rPr>
        <w:t>•Our performance creates or enhances an asset (for example, work in process) that the customer controls as the asset is created or enhanced; or</w:t>
      </w:r>
    </w:p>
    <w:p w:rsidR="00000000" w:rsidRDefault="00AE54EE">
      <w:pPr>
        <w:ind w:hanging="360"/>
        <w:divId w:val="97146536"/>
        <w:rPr>
          <w:rFonts w:eastAsia="Times New Roman"/>
        </w:rPr>
      </w:pPr>
      <w:r>
        <w:rPr>
          <w:rFonts w:eastAsia="Times New Roman"/>
          <w:color w:val="000000"/>
          <w:sz w:val="20"/>
          <w:szCs w:val="20"/>
        </w:rPr>
        <w:t>•Our performance does not create a</w:t>
      </w:r>
      <w:r>
        <w:rPr>
          <w:rFonts w:eastAsia="Times New Roman"/>
          <w:color w:val="000000"/>
          <w:sz w:val="20"/>
          <w:szCs w:val="20"/>
        </w:rPr>
        <w:t>n asset with an alternative use to us and we have an enforceable right to payment for performance completed to date.</w:t>
      </w:r>
    </w:p>
    <w:p w:rsidR="00000000" w:rsidRDefault="00AE54EE">
      <w:pPr>
        <w:ind w:firstLine="450"/>
        <w:divId w:val="340157626"/>
        <w:rPr>
          <w:rFonts w:eastAsia="Times New Roman"/>
        </w:rPr>
      </w:pPr>
      <w:r>
        <w:rPr>
          <w:rFonts w:eastAsia="Times New Roman"/>
          <w:color w:val="000000"/>
          <w:sz w:val="20"/>
          <w:szCs w:val="20"/>
        </w:rPr>
        <w:t>As noted above, a significant amount of our revenue is derived from contracts to provide multiple distinct goods to a customer that are com</w:t>
      </w:r>
      <w:r>
        <w:rPr>
          <w:rFonts w:eastAsia="Times New Roman"/>
          <w:color w:val="000000"/>
          <w:sz w:val="20"/>
          <w:szCs w:val="20"/>
        </w:rPr>
        <w:t xml:space="preserve">mercial in nature and can readily be sold to other customers. These performance obligations do not meet any of the three criteria listed above to recognize revenue over time; therefore, we recognize revenue at a point in time, generally when the goods are </w:t>
      </w:r>
      <w:r>
        <w:rPr>
          <w:rFonts w:eastAsia="Times New Roman"/>
          <w:color w:val="000000"/>
          <w:sz w:val="20"/>
          <w:szCs w:val="20"/>
        </w:rPr>
        <w:t>received and accepted by the customer.</w:t>
      </w:r>
    </w:p>
    <w:p w:rsidR="00000000" w:rsidRDefault="00AE54EE">
      <w:pPr>
        <w:ind w:firstLine="450"/>
        <w:divId w:val="1689597649"/>
        <w:rPr>
          <w:rFonts w:eastAsia="Times New Roman"/>
        </w:rPr>
      </w:pPr>
      <w:r>
        <w:rPr>
          <w:rFonts w:eastAsia="Times New Roman"/>
          <w:i/>
          <w:iCs/>
          <w:color w:val="000000"/>
          <w:sz w:val="20"/>
          <w:szCs w:val="20"/>
        </w:rPr>
        <w:t xml:space="preserve">Over Time Revenue Recognition: </w:t>
      </w:r>
      <w:r>
        <w:rPr>
          <w:rFonts w:eastAsia="Times New Roman"/>
          <w:color w:val="000000"/>
          <w:sz w:val="20"/>
          <w:szCs w:val="20"/>
        </w:rPr>
        <w:t>For U.S. Government development and production contracts, there is a continuous transfer of control of the asset to the customer as it is being produced based on FAR clauses in the contr</w:t>
      </w:r>
      <w:r>
        <w:rPr>
          <w:rFonts w:eastAsia="Times New Roman"/>
          <w:color w:val="000000"/>
          <w:sz w:val="20"/>
          <w:szCs w:val="20"/>
        </w:rPr>
        <w:t>act that provide the customer with lien rights to work in process and allow the customer to unilaterally terminate the contract for convenience, pay us for costs incurred plus a reasonable profit and take control of any work in process. This also typically</w:t>
      </w:r>
      <w:r>
        <w:rPr>
          <w:rFonts w:eastAsia="Times New Roman"/>
          <w:color w:val="000000"/>
          <w:sz w:val="20"/>
          <w:szCs w:val="20"/>
        </w:rPr>
        <w:t xml:space="preserve"> applies to our contracts with prime contractors for U.S. Government development and production contracts, when the above-described FAR clauses are flowed down to us by the prime contractors.</w:t>
      </w:r>
    </w:p>
    <w:p w:rsidR="00000000" w:rsidRDefault="00AE54EE">
      <w:pPr>
        <w:ind w:firstLine="450"/>
        <w:divId w:val="2112894931"/>
        <w:rPr>
          <w:rFonts w:eastAsia="Times New Roman"/>
        </w:rPr>
      </w:pPr>
      <w:r>
        <w:rPr>
          <w:rFonts w:eastAsia="Times New Roman"/>
          <w:color w:val="000000"/>
          <w:sz w:val="20"/>
          <w:szCs w:val="20"/>
        </w:rPr>
        <w:t>Our non-U.S. Government development and production contracts, in</w:t>
      </w:r>
      <w:r>
        <w:rPr>
          <w:rFonts w:eastAsia="Times New Roman"/>
          <w:color w:val="000000"/>
          <w:sz w:val="20"/>
          <w:szCs w:val="20"/>
        </w:rPr>
        <w:t>cluding international direct commercial contracts and U.S. contracts with state and local agencies, utilities, commercial and transportation organizations, often do not include the FAR clauses described above. However, over time revenue recognition is typi</w:t>
      </w:r>
      <w:r>
        <w:rPr>
          <w:rFonts w:eastAsia="Times New Roman"/>
          <w:color w:val="000000"/>
          <w:sz w:val="20"/>
          <w:szCs w:val="20"/>
        </w:rPr>
        <w:t>cally supported either through our performance creating or enhancing an asset that the customer controls as it is created or enhanced or based on other contractual provisions or relevant laws that provide us with an enforceable right to payment for our wor</w:t>
      </w:r>
      <w:r>
        <w:rPr>
          <w:rFonts w:eastAsia="Times New Roman"/>
          <w:color w:val="000000"/>
          <w:sz w:val="20"/>
          <w:szCs w:val="20"/>
        </w:rPr>
        <w:t>k performed to date plus a reasonable profit if our customer were permitted to and did terminate the contract for reasons other than our failure to perform as promised.</w:t>
      </w:r>
    </w:p>
    <w:p w:rsidR="00000000" w:rsidRDefault="00AE54EE">
      <w:pPr>
        <w:ind w:firstLine="450"/>
        <w:divId w:val="648941982"/>
        <w:rPr>
          <w:rFonts w:eastAsia="Times New Roman"/>
        </w:rPr>
      </w:pPr>
      <w:r>
        <w:rPr>
          <w:rFonts w:eastAsia="Times New Roman"/>
          <w:color w:val="000000"/>
          <w:sz w:val="20"/>
          <w:szCs w:val="20"/>
        </w:rPr>
        <w:t>Revenue for our development and production contracts is recognized over time, typically</w:t>
      </w:r>
      <w:r>
        <w:rPr>
          <w:rFonts w:eastAsia="Times New Roman"/>
          <w:color w:val="000000"/>
          <w:sz w:val="20"/>
          <w:szCs w:val="20"/>
        </w:rPr>
        <w:t xml:space="preserve"> using the POC cost-to-cost method, whereby we measure our progress towards completion of the performance obligation based on the ratio of costs incurred to date to estimated costs at completion under the contract. Because costs incurred represent work per</w:t>
      </w:r>
      <w:r>
        <w:rPr>
          <w:rFonts w:eastAsia="Times New Roman"/>
          <w:color w:val="000000"/>
          <w:sz w:val="20"/>
          <w:szCs w:val="20"/>
        </w:rPr>
        <w:t>formed, we believe this method best depicts transfer of control of the asset to the customer.</w:t>
      </w:r>
    </w:p>
    <w:p w:rsidR="00000000" w:rsidRDefault="00AE54EE">
      <w:pPr>
        <w:ind w:firstLine="450"/>
        <w:divId w:val="1954510767"/>
        <w:rPr>
          <w:rFonts w:eastAsia="Times New Roman"/>
        </w:rPr>
      </w:pPr>
      <w:r>
        <w:rPr>
          <w:rFonts w:eastAsia="Times New Roman"/>
          <w:color w:val="000000"/>
          <w:sz w:val="20"/>
          <w:szCs w:val="20"/>
        </w:rPr>
        <w:t>For performance obligations to provide services that are satisfied over time, we recognize revenue either on a straight-line basis, the POC cost-to-cost method, o</w:t>
      </w:r>
      <w:r>
        <w:rPr>
          <w:rFonts w:eastAsia="Times New Roman"/>
          <w:color w:val="000000"/>
          <w:sz w:val="20"/>
          <w:szCs w:val="20"/>
        </w:rPr>
        <w:t>r based on the right-to-invoice method (i.e., based on our right to bill the customer), depending on which method best depicts transfer of control to the customer.</w:t>
      </w:r>
    </w:p>
    <w:p w:rsidR="00000000" w:rsidRDefault="00AE54EE">
      <w:pPr>
        <w:ind w:firstLine="450"/>
        <w:divId w:val="470489849"/>
        <w:rPr>
          <w:rFonts w:eastAsia="Times New Roman"/>
        </w:rPr>
      </w:pPr>
      <w:r>
        <w:rPr>
          <w:rFonts w:eastAsia="Times New Roman"/>
          <w:i/>
          <w:iCs/>
          <w:color w:val="000000"/>
          <w:sz w:val="20"/>
          <w:szCs w:val="20"/>
        </w:rPr>
        <w:t xml:space="preserve">Contract Estimates: </w:t>
      </w:r>
      <w:r>
        <w:rPr>
          <w:rFonts w:eastAsia="Times New Roman"/>
          <w:color w:val="000000"/>
          <w:sz w:val="20"/>
          <w:szCs w:val="20"/>
        </w:rPr>
        <w:t>Under the POC cost-to-cost method of revenue recognition, a single estim</w:t>
      </w:r>
      <w:r>
        <w:rPr>
          <w:rFonts w:eastAsia="Times New Roman"/>
          <w:color w:val="000000"/>
          <w:sz w:val="20"/>
          <w:szCs w:val="20"/>
        </w:rPr>
        <w:t>ated profit margin is used to recognize profit for each performance obligation over its period of performance. Recognition of profit on a contract requires estimates of the total cost at completion and transaction price and the measurement of progress towa</w:t>
      </w:r>
      <w:r>
        <w:rPr>
          <w:rFonts w:eastAsia="Times New Roman"/>
          <w:color w:val="000000"/>
          <w:sz w:val="20"/>
          <w:szCs w:val="20"/>
        </w:rPr>
        <w:t xml:space="preserve">rds completion. Due to the long-term nature of many of our contracts, developing the estimated total cost at completion and total transaction price often requires judgment. Factors that must be considered in estimating the cost of the work to be completed </w:t>
      </w:r>
      <w:r>
        <w:rPr>
          <w:rFonts w:eastAsia="Times New Roman"/>
          <w:color w:val="000000"/>
          <w:sz w:val="20"/>
          <w:szCs w:val="20"/>
        </w:rPr>
        <w:t>include the nature and complexity of the work to be performed, subcontractor performance and the risk and impact of delayed performance. Factors that must be considered in estimating the total transaction price include contractual cost or performance incen</w:t>
      </w:r>
      <w:r>
        <w:rPr>
          <w:rFonts w:eastAsia="Times New Roman"/>
          <w:color w:val="000000"/>
          <w:sz w:val="20"/>
          <w:szCs w:val="20"/>
        </w:rPr>
        <w:t>tives (such as incentive fees, award fees and penalties) and other forms of variable consideration as well as our historical experience and our expectation for performance on the contract. At the outset of each contract, we gauge its complexity and perceiv</w:t>
      </w:r>
      <w:r>
        <w:rPr>
          <w:rFonts w:eastAsia="Times New Roman"/>
          <w:color w:val="000000"/>
          <w:sz w:val="20"/>
          <w:szCs w:val="20"/>
        </w:rPr>
        <w:t>ed risks and establish an estimated total cost at completion in line with these expectations. After establishing the estimated total cost at completion, we follow a standard Estimate at Completion (“EAC”) process in which we review the progress and perform</w:t>
      </w:r>
      <w:r>
        <w:rPr>
          <w:rFonts w:eastAsia="Times New Roman"/>
          <w:color w:val="000000"/>
          <w:sz w:val="20"/>
          <w:szCs w:val="20"/>
        </w:rPr>
        <w:t>ance on our ongoing contracts at least quarterly and, in many cases, more frequently. If we successfully retire risks associated with the technical, schedule and cost aspects of a contract, we may lower our estimated total cost at completion commensurate w</w:t>
      </w:r>
      <w:r>
        <w:rPr>
          <w:rFonts w:eastAsia="Times New Roman"/>
          <w:color w:val="000000"/>
          <w:sz w:val="20"/>
          <w:szCs w:val="20"/>
        </w:rPr>
        <w:t>ith the retirement of these risks. Conversely, if we are not successful in retiring these risks, we may increase our estimated total cost at completion. Additionally, as the contract progresses, our estimates of total transaction price may increase or decr</w:t>
      </w:r>
      <w:r>
        <w:rPr>
          <w:rFonts w:eastAsia="Times New Roman"/>
          <w:color w:val="000000"/>
          <w:sz w:val="20"/>
          <w:szCs w:val="20"/>
        </w:rPr>
        <w:t>ease if, for example, we receive award fees that are higher or lower than expected. When adjustments in estimated total costs at completion or in estimated total transaction price are determined, the related impact on operating income is recognized using t</w:t>
      </w:r>
      <w:r>
        <w:rPr>
          <w:rFonts w:eastAsia="Times New Roman"/>
          <w:color w:val="000000"/>
          <w:sz w:val="20"/>
          <w:szCs w:val="20"/>
        </w:rPr>
        <w:t>he cumulative catch-up method, which recognizes in the current period the cumulative effect of such adjustments for all prior periods. Any anticipated losses on these contracts are fully recognized in the period in which the losses become evident.</w:t>
      </w:r>
    </w:p>
    <w:p w:rsidR="00000000" w:rsidRDefault="00AE54EE">
      <w:pPr>
        <w:ind w:firstLine="450"/>
        <w:jc w:val="center"/>
        <w:divId w:val="1638141479"/>
        <w:rPr>
          <w:rFonts w:eastAsia="Times New Roman"/>
        </w:rPr>
      </w:pPr>
      <w:r>
        <w:rPr>
          <w:rFonts w:eastAsia="Times New Roman"/>
          <w:color w:val="000000"/>
          <w:sz w:val="20"/>
          <w:szCs w:val="20"/>
        </w:rPr>
        <w:t>79</w:t>
      </w:r>
    </w:p>
    <w:p w:rsidR="00000000" w:rsidRDefault="00AE54EE">
      <w:pPr>
        <w:rPr>
          <w:rFonts w:eastAsia="Times New Roman"/>
        </w:rPr>
      </w:pPr>
      <w:r>
        <w:rPr>
          <w:rFonts w:eastAsia="Times New Roman"/>
        </w:rPr>
        <w:pict>
          <v:rect id="_x0000_i1107" style="width:0;height:1.5pt" o:hralign="center" o:hrstd="t" o:hr="t" fillcolor="#a0a0a0" stroked="f"/>
        </w:pict>
      </w:r>
    </w:p>
    <w:p w:rsidR="00000000" w:rsidRDefault="00AE54EE">
      <w:pPr>
        <w:ind w:firstLine="450"/>
        <w:divId w:val="318506622"/>
        <w:rPr>
          <w:rFonts w:eastAsia="Times New Roman"/>
        </w:rPr>
      </w:pPr>
    </w:p>
    <w:p w:rsidR="00000000" w:rsidRDefault="00AE54EE">
      <w:pPr>
        <w:ind w:firstLine="450"/>
        <w:divId w:val="103154605"/>
        <w:rPr>
          <w:rFonts w:eastAsia="Times New Roman"/>
        </w:rPr>
      </w:pPr>
      <w:r>
        <w:rPr>
          <w:rFonts w:eastAsia="Times New Roman"/>
          <w:color w:val="000000"/>
          <w:sz w:val="20"/>
          <w:szCs w:val="20"/>
        </w:rPr>
        <w:t>Net EAC adjustments had the following impact to earnings for the periods presented:</w:t>
      </w:r>
    </w:p>
    <w:tbl>
      <w:tblPr>
        <w:tblW w:w="4971" w:type="pct"/>
        <w:tblCellMar>
          <w:top w:w="15" w:type="dxa"/>
          <w:left w:w="15" w:type="dxa"/>
          <w:bottom w:w="15" w:type="dxa"/>
          <w:right w:w="15" w:type="dxa"/>
        </w:tblCellMar>
        <w:tblLook w:val="04A0" w:firstRow="1" w:lastRow="0" w:firstColumn="1" w:lastColumn="0" w:noHBand="0" w:noVBand="1"/>
      </w:tblPr>
      <w:tblGrid>
        <w:gridCol w:w="57"/>
        <w:gridCol w:w="3784"/>
        <w:gridCol w:w="36"/>
        <w:gridCol w:w="121"/>
        <w:gridCol w:w="991"/>
        <w:gridCol w:w="36"/>
        <w:gridCol w:w="36"/>
        <w:gridCol w:w="36"/>
        <w:gridCol w:w="36"/>
        <w:gridCol w:w="121"/>
        <w:gridCol w:w="828"/>
        <w:gridCol w:w="37"/>
        <w:gridCol w:w="36"/>
        <w:gridCol w:w="36"/>
        <w:gridCol w:w="36"/>
        <w:gridCol w:w="121"/>
        <w:gridCol w:w="899"/>
        <w:gridCol w:w="36"/>
        <w:gridCol w:w="36"/>
        <w:gridCol w:w="36"/>
        <w:gridCol w:w="36"/>
        <w:gridCol w:w="121"/>
        <w:gridCol w:w="710"/>
        <w:gridCol w:w="36"/>
      </w:tblGrid>
      <w:tr w:rsidR="00000000">
        <w:trPr>
          <w:divId w:val="1487672045"/>
        </w:trPr>
        <w:tc>
          <w:tcPr>
            <w:tcW w:w="50" w:type="pct"/>
            <w:vAlign w:val="center"/>
            <w:hideMark/>
          </w:tcPr>
          <w:p w:rsidR="00000000" w:rsidRDefault="00AE54EE">
            <w:pPr>
              <w:ind w:firstLine="450"/>
              <w:rPr>
                <w:rFonts w:eastAsia="Times New Roman"/>
              </w:rPr>
            </w:pPr>
          </w:p>
        </w:tc>
        <w:tc>
          <w:tcPr>
            <w:tcW w:w="233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3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0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8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487672045"/>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487672045"/>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 except per share </w:t>
            </w:r>
            <w:r>
              <w:rPr>
                <w:rFonts w:eastAsia="Times New Roman"/>
                <w:b/>
                <w:bCs/>
                <w:color w:val="000000"/>
                <w:sz w:val="16"/>
                <w:szCs w:val="16"/>
              </w:rPr>
              <w:t>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487672045"/>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87672045"/>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EAC adjustments, before income taxes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87672045"/>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EAC adjustments,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300 </w:t>
            </w:r>
          </w:p>
        </w:tc>
        <w:tc>
          <w:tcPr>
            <w:tcW w:w="0" w:type="auto"/>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103 </w:t>
            </w:r>
          </w:p>
        </w:tc>
        <w:tc>
          <w:tcPr>
            <w:tcW w:w="0" w:type="auto"/>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13 </w:t>
            </w:r>
          </w:p>
        </w:tc>
        <w:tc>
          <w:tcPr>
            <w:tcW w:w="0" w:type="auto"/>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87672045"/>
        </w:trPr>
        <w:tc>
          <w:tcPr>
            <w:tcW w:w="0" w:type="auto"/>
            <w:gridSpan w:val="3"/>
            <w:shd w:val="clear" w:color="auto" w:fill="CCEEFF"/>
            <w:tcMar>
              <w:top w:w="30" w:type="dxa"/>
              <w:left w:w="20" w:type="dxa"/>
              <w:bottom w:w="30" w:type="dxa"/>
              <w:right w:w="20" w:type="dxa"/>
            </w:tcMar>
            <w:hideMark/>
          </w:tcPr>
          <w:p w:rsidR="00000000" w:rsidRDefault="00AE54EE">
            <w:pPr>
              <w:spacing w:after="100"/>
              <w:ind w:hanging="270"/>
              <w:divId w:val="2141340202"/>
              <w:rPr>
                <w:rFonts w:eastAsia="Times New Roman"/>
              </w:rPr>
            </w:pPr>
            <w:r>
              <w:rPr>
                <w:rFonts w:eastAsia="Times New Roman"/>
                <w:color w:val="000000"/>
                <w:sz w:val="20"/>
                <w:szCs w:val="20"/>
              </w:rPr>
              <w:t>Net EAC adjustments, net of income taxes, per diluted share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0.46 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87672045"/>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firstLine="450"/>
        <w:divId w:val="538393028"/>
        <w:rPr>
          <w:rFonts w:eastAsia="Times New Roman"/>
        </w:rPr>
      </w:pPr>
      <w:r>
        <w:rPr>
          <w:rFonts w:eastAsia="Times New Roman"/>
          <w:color w:val="000000"/>
          <w:sz w:val="20"/>
          <w:szCs w:val="20"/>
        </w:rPr>
        <w:t xml:space="preserve">Revenue recognized from performance obligations satisfied in prior periods was $402 million, $493 </w:t>
      </w:r>
      <w:r>
        <w:rPr>
          <w:rFonts w:eastAsia="Times New Roman"/>
          <w:color w:val="000000"/>
          <w:sz w:val="20"/>
          <w:szCs w:val="20"/>
        </w:rPr>
        <w:t>million, $170 million and $59 million in fiscal 2021, fiscal 2020, the two quarters ended January 3, 2020 and fiscal 2019, respectively.</w:t>
      </w:r>
    </w:p>
    <w:p w:rsidR="00000000" w:rsidRDefault="00AE54EE">
      <w:pPr>
        <w:ind w:firstLine="450"/>
        <w:divId w:val="1043677917"/>
        <w:rPr>
          <w:rFonts w:eastAsia="Times New Roman"/>
        </w:rPr>
      </w:pPr>
      <w:r>
        <w:rPr>
          <w:rFonts w:eastAsia="Times New Roman"/>
          <w:i/>
          <w:iCs/>
          <w:color w:val="000000"/>
          <w:sz w:val="20"/>
          <w:szCs w:val="20"/>
        </w:rPr>
        <w:t xml:space="preserve">Bill-and-Hold Arrangements: </w:t>
      </w:r>
      <w:r>
        <w:rPr>
          <w:rFonts w:eastAsia="Times New Roman"/>
          <w:color w:val="000000"/>
          <w:sz w:val="20"/>
          <w:szCs w:val="20"/>
        </w:rPr>
        <w:t>For certain contracts, the finished product may temporarily be stored at our location under</w:t>
      </w:r>
      <w:r>
        <w:rPr>
          <w:rFonts w:eastAsia="Times New Roman"/>
          <w:color w:val="000000"/>
          <w:sz w:val="20"/>
          <w:szCs w:val="20"/>
        </w:rPr>
        <w:t xml:space="preserve"> a bill-and-hold arrangement. Revenue is recognized on bill-and-hold arrangements at the point in time when the customer obtains control of the product and all of the following criteria have been met: the arrangement is substantive (for example, the custom</w:t>
      </w:r>
      <w:r>
        <w:rPr>
          <w:rFonts w:eastAsia="Times New Roman"/>
          <w:color w:val="000000"/>
          <w:sz w:val="20"/>
          <w:szCs w:val="20"/>
        </w:rPr>
        <w:t>er has requested the arrangement); the product is identified separately as belonging to the customer; the product is ready for physical transfer to the customer; and we do not have the ability to use the product or direct it to another customer. In determi</w:t>
      </w:r>
      <w:r>
        <w:rPr>
          <w:rFonts w:eastAsia="Times New Roman"/>
          <w:color w:val="000000"/>
          <w:sz w:val="20"/>
          <w:szCs w:val="20"/>
        </w:rPr>
        <w:t xml:space="preserve">ning when the customer obtains control of the product, we consider certain indicators, including whether we have a present right to payment from the customer, whether title and/or significant risks and rewards of ownership have transferred to the customer </w:t>
      </w:r>
      <w:r>
        <w:rPr>
          <w:rFonts w:eastAsia="Times New Roman"/>
          <w:color w:val="000000"/>
          <w:sz w:val="20"/>
          <w:szCs w:val="20"/>
        </w:rPr>
        <w:t>and whether customer acceptance has been received (in the case of arrangements with customer acceptance provisions).</w:t>
      </w:r>
    </w:p>
    <w:p w:rsidR="00000000" w:rsidRDefault="00AE54EE">
      <w:pPr>
        <w:ind w:firstLine="450"/>
        <w:divId w:val="744187980"/>
        <w:rPr>
          <w:rFonts w:eastAsia="Times New Roman"/>
        </w:rPr>
      </w:pPr>
      <w:r>
        <w:rPr>
          <w:rFonts w:eastAsia="Times New Roman"/>
          <w:i/>
          <w:iCs/>
          <w:color w:val="000000"/>
          <w:sz w:val="20"/>
          <w:szCs w:val="20"/>
        </w:rPr>
        <w:t>Backlog:</w:t>
      </w:r>
      <w:r>
        <w:rPr>
          <w:rFonts w:eastAsia="Times New Roman"/>
          <w:color w:val="000000"/>
          <w:sz w:val="20"/>
          <w:szCs w:val="20"/>
        </w:rPr>
        <w:t xml:space="preserve"> Backlog, which is the equivalent of our remaining performance obligations, represents the future revenue we expect to recognize as</w:t>
      </w:r>
      <w:r>
        <w:rPr>
          <w:rFonts w:eastAsia="Times New Roman"/>
          <w:color w:val="000000"/>
          <w:sz w:val="20"/>
          <w:szCs w:val="20"/>
        </w:rPr>
        <w:t xml:space="preserve"> we perform on our current contracts. Backlog comprises both funded backlog (i.e., firm orders for which funding is authorized and appropriated) and unfunded backlog. Backlog excludes unexercised contract options and potential orders under ordering-type co</w:t>
      </w:r>
      <w:r>
        <w:rPr>
          <w:rFonts w:eastAsia="Times New Roman"/>
          <w:color w:val="000000"/>
          <w:sz w:val="20"/>
          <w:szCs w:val="20"/>
        </w:rPr>
        <w:t>ntracts, such as indefinite delivery, indefinite quantity (“IDIQ”) contracts.</w:t>
      </w:r>
    </w:p>
    <w:p w:rsidR="00000000" w:rsidRDefault="00AE54EE">
      <w:pPr>
        <w:ind w:firstLine="450"/>
        <w:divId w:val="1274555798"/>
        <w:rPr>
          <w:rFonts w:eastAsia="Times New Roman"/>
        </w:rPr>
      </w:pPr>
      <w:r>
        <w:rPr>
          <w:rFonts w:eastAsia="Times New Roman"/>
          <w:b/>
          <w:bCs/>
          <w:color w:val="000000"/>
          <w:sz w:val="20"/>
          <w:szCs w:val="20"/>
        </w:rPr>
        <w:t>Retirement and Post-Employment Benefits</w:t>
      </w:r>
      <w:r>
        <w:rPr>
          <w:rFonts w:eastAsia="Times New Roman"/>
          <w:color w:val="000000"/>
          <w:sz w:val="20"/>
          <w:szCs w:val="20"/>
        </w:rPr>
        <w:t xml:space="preserve"> — </w:t>
      </w:r>
      <w:r>
        <w:rPr>
          <w:rFonts w:eastAsia="Times New Roman"/>
          <w:color w:val="000000"/>
          <w:sz w:val="20"/>
          <w:szCs w:val="20"/>
        </w:rPr>
        <w:t>Defined benefit plans that we sponsor are accounted for as defined benefit pension and other postretirement defined benefit plans (collectively referred to as “defined benefit plans”). Accordingly, the funded or unfunded position of each defined benefit pl</w:t>
      </w:r>
      <w:r>
        <w:rPr>
          <w:rFonts w:eastAsia="Times New Roman"/>
          <w:color w:val="000000"/>
          <w:sz w:val="20"/>
          <w:szCs w:val="20"/>
        </w:rPr>
        <w:t>an is recorded in our Consolidated Balance Sheet. Actuarial gains and losses and prior service costs or credits that have not yet been recognized through income are recorded in the “Accumulated other comprehensive loss” line item within equity in our Conso</w:t>
      </w:r>
      <w:r>
        <w:rPr>
          <w:rFonts w:eastAsia="Times New Roman"/>
          <w:color w:val="000000"/>
          <w:sz w:val="20"/>
          <w:szCs w:val="20"/>
        </w:rPr>
        <w:t>lidated Balance Sheet, net of taxes, until they are amortized as a component of net periodic benefit cost. The determination of benefit obligations and the recognition of expenses related to defined benefit plans are dependent on various assumptions. The m</w:t>
      </w:r>
      <w:r>
        <w:rPr>
          <w:rFonts w:eastAsia="Times New Roman"/>
          <w:color w:val="000000"/>
          <w:sz w:val="20"/>
          <w:szCs w:val="20"/>
        </w:rPr>
        <w:t>ajor assumptions primarily relate to discount rates, long-term expected rates of return on plan assets, the rate of future compensation increases, mortality, termination and health care cost trend rates. We develop each assumption using relevant Company ex</w:t>
      </w:r>
      <w:r>
        <w:rPr>
          <w:rFonts w:eastAsia="Times New Roman"/>
          <w:color w:val="000000"/>
          <w:sz w:val="20"/>
          <w:szCs w:val="20"/>
        </w:rPr>
        <w:t>perience in conjunction with market-related data. Actuarial assumptions are reviewed annually with third-party consultants and adjusted as appropriate. For the recognition of net periodic benefit cost, the calculation of the long-term expected return on pl</w:t>
      </w:r>
      <w:r>
        <w:rPr>
          <w:rFonts w:eastAsia="Times New Roman"/>
          <w:color w:val="000000"/>
          <w:sz w:val="20"/>
          <w:szCs w:val="20"/>
        </w:rPr>
        <w:t>an assets is generally derived using a market-related value of plan assets based on yearly average asset values at the measurement date over the last five years, to be phased in over five years. Actual results that differ from our assumptions are accumulat</w:t>
      </w:r>
      <w:r>
        <w:rPr>
          <w:rFonts w:eastAsia="Times New Roman"/>
          <w:color w:val="000000"/>
          <w:sz w:val="20"/>
          <w:szCs w:val="20"/>
        </w:rPr>
        <w:t>ed and generally amortized for each plan to the extent required over the estimated future life expectancy or, if applicable, the future working lifetime of the plan’s active participants. The fair value of plan assets is determined based on market prices o</w:t>
      </w:r>
      <w:r>
        <w:rPr>
          <w:rFonts w:eastAsia="Times New Roman"/>
          <w:color w:val="000000"/>
          <w:sz w:val="20"/>
          <w:szCs w:val="20"/>
        </w:rPr>
        <w:t xml:space="preserve">r estimated fair value at the measurement date. The measurement date for valuing defined benefit plan assets and obligations is the end of the month closest to our fiscal year end. </w:t>
      </w:r>
    </w:p>
    <w:p w:rsidR="00000000" w:rsidRDefault="00AE54EE">
      <w:pPr>
        <w:ind w:firstLine="450"/>
        <w:divId w:val="1932271180"/>
        <w:rPr>
          <w:rFonts w:eastAsia="Times New Roman"/>
        </w:rPr>
      </w:pPr>
      <w:r>
        <w:rPr>
          <w:rFonts w:eastAsia="Times New Roman"/>
          <w:color w:val="000000"/>
          <w:sz w:val="20"/>
          <w:szCs w:val="20"/>
        </w:rPr>
        <w:t>We record the service cost component of net periodic benefit income in the</w:t>
      </w:r>
      <w:r>
        <w:rPr>
          <w:rFonts w:eastAsia="Times New Roman"/>
          <w:color w:val="000000"/>
          <w:sz w:val="20"/>
          <w:szCs w:val="20"/>
        </w:rPr>
        <w:t xml:space="preserve"> “Cost of product sales and services” and “Engineering, selling and administrative expenses” line items in our Consolidated Statement of Income. The non-service cost components of net periodic benefit income are included in the “Non-operating income” line </w:t>
      </w:r>
      <w:r>
        <w:rPr>
          <w:rFonts w:eastAsia="Times New Roman"/>
          <w:color w:val="000000"/>
          <w:sz w:val="20"/>
          <w:szCs w:val="20"/>
        </w:rPr>
        <w:t xml:space="preserve">item in our Consolidated Statement of Income. </w:t>
      </w:r>
    </w:p>
    <w:p w:rsidR="00000000" w:rsidRDefault="00AE54EE">
      <w:pPr>
        <w:ind w:firstLine="450"/>
        <w:divId w:val="1319967189"/>
        <w:rPr>
          <w:rFonts w:eastAsia="Times New Roman"/>
        </w:rPr>
      </w:pPr>
      <w:r>
        <w:rPr>
          <w:rFonts w:eastAsia="Times New Roman"/>
          <w:color w:val="000000"/>
          <w:sz w:val="20"/>
          <w:szCs w:val="20"/>
        </w:rPr>
        <w:t xml:space="preserve">We also provide retirement benefits to many of our U.S.-based employees through defined contribution retirement plans, including 401(k) plans and certain non-qualified deferred compensation plans. The defined </w:t>
      </w:r>
      <w:r>
        <w:rPr>
          <w:rFonts w:eastAsia="Times New Roman"/>
          <w:color w:val="000000"/>
          <w:sz w:val="20"/>
          <w:szCs w:val="20"/>
        </w:rPr>
        <w:t>contribution retirement plans have matching and savings elements. Company contributions to the retirement plans are based on employees’ savings with no other funding requirements. We may make additional contributions to the retirement plans at our discreti</w:t>
      </w:r>
      <w:r>
        <w:rPr>
          <w:rFonts w:eastAsia="Times New Roman"/>
          <w:color w:val="000000"/>
          <w:sz w:val="20"/>
          <w:szCs w:val="20"/>
        </w:rPr>
        <w:t>on. Retirement and postretirement benefits also include unfunded limited healthcare plans for U.S.-based retirees and employees on long-term disability. We estimate benefits for these plans using actuarial valuations that are based, in part, on certain key</w:t>
      </w:r>
      <w:r>
        <w:rPr>
          <w:rFonts w:eastAsia="Times New Roman"/>
          <w:color w:val="000000"/>
          <w:sz w:val="20"/>
          <w:szCs w:val="20"/>
        </w:rPr>
        <w:t xml:space="preserve"> assumptions we make, including the discount rate, the expected long-term rate of return on plan assets, the rate of future compensation increases, healthcare cost trend rates and employee turnover and mortality, each appropriately based on the nature of t</w:t>
      </w:r>
      <w:r>
        <w:rPr>
          <w:rFonts w:eastAsia="Times New Roman"/>
          <w:color w:val="000000"/>
          <w:sz w:val="20"/>
          <w:szCs w:val="20"/>
        </w:rPr>
        <w:t xml:space="preserve">he plans. We accrue the cost of these benefits during an employee’s active service life, except in the case of our healthcare plans for disabled employees, the costs of which we accrue when the disabling event occurs. </w:t>
      </w:r>
    </w:p>
    <w:p w:rsidR="00000000" w:rsidRDefault="00AE54EE">
      <w:pPr>
        <w:ind w:firstLine="450"/>
        <w:divId w:val="21328966"/>
        <w:rPr>
          <w:rFonts w:eastAsia="Times New Roman"/>
        </w:rPr>
      </w:pPr>
      <w:r>
        <w:rPr>
          <w:rFonts w:eastAsia="Times New Roman"/>
          <w:color w:val="000000"/>
          <w:sz w:val="20"/>
          <w:szCs w:val="20"/>
        </w:rPr>
        <w:t xml:space="preserve">See </w:t>
      </w:r>
      <w:r>
        <w:rPr>
          <w:rFonts w:eastAsia="Times New Roman"/>
          <w:i/>
          <w:iCs/>
          <w:color w:val="000000"/>
          <w:sz w:val="20"/>
          <w:szCs w:val="20"/>
        </w:rPr>
        <w:t>Note 14: Pension and Other Postre</w:t>
      </w:r>
      <w:r>
        <w:rPr>
          <w:rFonts w:eastAsia="Times New Roman"/>
          <w:i/>
          <w:iCs/>
          <w:color w:val="000000"/>
          <w:sz w:val="20"/>
          <w:szCs w:val="20"/>
        </w:rPr>
        <w:t xml:space="preserve">tirement Benefits </w:t>
      </w:r>
      <w:r>
        <w:rPr>
          <w:rFonts w:eastAsia="Times New Roman"/>
          <w:color w:val="000000"/>
          <w:sz w:val="20"/>
          <w:szCs w:val="20"/>
        </w:rPr>
        <w:t>in these Notes for additional information regarding our defined benefit plans.</w:t>
      </w:r>
    </w:p>
    <w:p w:rsidR="00000000" w:rsidRDefault="00AE54EE">
      <w:pPr>
        <w:ind w:firstLine="450"/>
        <w:jc w:val="center"/>
        <w:divId w:val="1131636641"/>
        <w:rPr>
          <w:rFonts w:eastAsia="Times New Roman"/>
        </w:rPr>
      </w:pPr>
      <w:r>
        <w:rPr>
          <w:rFonts w:eastAsia="Times New Roman"/>
          <w:color w:val="000000"/>
          <w:sz w:val="20"/>
          <w:szCs w:val="20"/>
        </w:rPr>
        <w:t>80</w:t>
      </w:r>
    </w:p>
    <w:p w:rsidR="00000000" w:rsidRDefault="00AE54EE">
      <w:pPr>
        <w:rPr>
          <w:rFonts w:eastAsia="Times New Roman"/>
        </w:rPr>
      </w:pPr>
      <w:r>
        <w:rPr>
          <w:rFonts w:eastAsia="Times New Roman"/>
        </w:rPr>
        <w:pict>
          <v:rect id="_x0000_i1108" style="width:0;height:1.5pt" o:hralign="center" o:hrstd="t" o:hr="t" fillcolor="#a0a0a0" stroked="f"/>
        </w:pict>
      </w:r>
    </w:p>
    <w:p w:rsidR="00000000" w:rsidRDefault="00AE54EE">
      <w:pPr>
        <w:ind w:firstLine="450"/>
        <w:divId w:val="1242838023"/>
        <w:rPr>
          <w:rFonts w:eastAsia="Times New Roman"/>
        </w:rPr>
      </w:pPr>
    </w:p>
    <w:p w:rsidR="00000000" w:rsidRDefault="00AE54EE">
      <w:pPr>
        <w:ind w:firstLine="450"/>
        <w:divId w:val="1392729098"/>
        <w:rPr>
          <w:rFonts w:eastAsia="Times New Roman"/>
        </w:rPr>
      </w:pPr>
      <w:r>
        <w:rPr>
          <w:rFonts w:eastAsia="Times New Roman"/>
          <w:b/>
          <w:bCs/>
          <w:color w:val="000000"/>
          <w:sz w:val="20"/>
          <w:szCs w:val="20"/>
        </w:rPr>
        <w:t>Environmental Expenditures</w:t>
      </w:r>
      <w:r>
        <w:rPr>
          <w:rFonts w:eastAsia="Times New Roman"/>
          <w:color w:val="000000"/>
          <w:sz w:val="20"/>
          <w:szCs w:val="20"/>
        </w:rPr>
        <w:t> — We capitalize environmental expenditures that increase the life or efficiency of property</w:t>
      </w:r>
      <w:r>
        <w:rPr>
          <w:rFonts w:eastAsia="Times New Roman"/>
          <w:color w:val="000000"/>
          <w:sz w:val="20"/>
          <w:szCs w:val="20"/>
        </w:rPr>
        <w:t xml:space="preserve"> or that reduce or prevent environmental contamination. We accrue environmental expenses resulting from existing conditions that relate to past or current operations. Our accruals for environmental expenses are recorded on a site-by-site basis when it is p</w:t>
      </w:r>
      <w:r>
        <w:rPr>
          <w:rFonts w:eastAsia="Times New Roman"/>
          <w:color w:val="000000"/>
          <w:sz w:val="20"/>
          <w:szCs w:val="20"/>
        </w:rPr>
        <w:t>robable a liability has been incurred and the amount of the liability can be reasonably estimated, based on current law and existing technologies available to us. Our accruals for environmental expenses represent the best estimates related to the investiga</w:t>
      </w:r>
      <w:r>
        <w:rPr>
          <w:rFonts w:eastAsia="Times New Roman"/>
          <w:color w:val="000000"/>
          <w:sz w:val="20"/>
          <w:szCs w:val="20"/>
        </w:rPr>
        <w:t>tion and remediation of environmental media such as water, soil, soil vapor, air and structures, as well as related legal fees, and are reviewed periodically, at least annually at the year-end balance sheet date, and updated for progress of investigation a</w:t>
      </w:r>
      <w:r>
        <w:rPr>
          <w:rFonts w:eastAsia="Times New Roman"/>
          <w:color w:val="000000"/>
          <w:sz w:val="20"/>
          <w:szCs w:val="20"/>
        </w:rPr>
        <w:t xml:space="preserve">nd remediation efforts and changes in facts and legal circumstances. If the timing and amount of future cash payments for environmental liabilities are fixed or reliably determinable, we generally discount such cash flows in estimating our accrual. </w:t>
      </w:r>
    </w:p>
    <w:p w:rsidR="00000000" w:rsidRDefault="00AE54EE">
      <w:pPr>
        <w:ind w:firstLine="450"/>
        <w:divId w:val="114640991"/>
        <w:rPr>
          <w:rFonts w:eastAsia="Times New Roman"/>
        </w:rPr>
      </w:pPr>
      <w:r>
        <w:rPr>
          <w:rFonts w:eastAsia="Times New Roman"/>
          <w:color w:val="000000"/>
          <w:sz w:val="20"/>
          <w:szCs w:val="20"/>
        </w:rPr>
        <w:t xml:space="preserve">As of </w:t>
      </w:r>
      <w:r>
        <w:rPr>
          <w:rFonts w:eastAsia="Times New Roman"/>
          <w:color w:val="000000"/>
          <w:sz w:val="20"/>
          <w:szCs w:val="20"/>
        </w:rPr>
        <w:t>December 31, 2021, we were named, and continue to be named, as a potentially responsible party at 82 sites where future liabilities could exist. These sites included 8 sites owned by us, 63 sites associated with our former and current locations or operatio</w:t>
      </w:r>
      <w:r>
        <w:rPr>
          <w:rFonts w:eastAsia="Times New Roman"/>
          <w:color w:val="000000"/>
          <w:sz w:val="20"/>
          <w:szCs w:val="20"/>
        </w:rPr>
        <w:t>ns and 11 hazardous waste treatment, storage or disposal facility sites not owned by us that contain hazardous substances allegedly attributable to us from past operations.</w:t>
      </w:r>
    </w:p>
    <w:p w:rsidR="00000000" w:rsidRDefault="00AE54EE">
      <w:pPr>
        <w:ind w:firstLine="450"/>
        <w:divId w:val="1900627355"/>
        <w:rPr>
          <w:rFonts w:eastAsia="Times New Roman"/>
        </w:rPr>
      </w:pPr>
      <w:r>
        <w:rPr>
          <w:rFonts w:eastAsia="Times New Roman"/>
          <w:color w:val="000000"/>
          <w:sz w:val="20"/>
          <w:szCs w:val="20"/>
        </w:rPr>
        <w:t>Based on an assessment of relevant factors, we estimated that our liability under a</w:t>
      </w:r>
      <w:r>
        <w:rPr>
          <w:rFonts w:eastAsia="Times New Roman"/>
          <w:color w:val="000000"/>
          <w:sz w:val="20"/>
          <w:szCs w:val="20"/>
        </w:rPr>
        <w:t>pplicable environmental statutes and regulations for identified sites was $115 million. The current portion of our estimated environmental liability is included in the “Other accrued items” line item and the non-current portion is included in the “Other lo</w:t>
      </w:r>
      <w:r>
        <w:rPr>
          <w:rFonts w:eastAsia="Times New Roman"/>
          <w:color w:val="000000"/>
          <w:sz w:val="20"/>
          <w:szCs w:val="20"/>
        </w:rPr>
        <w:t>ng-term liabilities” line item in our Consolidated Balance Sheet.</w:t>
      </w:r>
    </w:p>
    <w:p w:rsidR="00000000" w:rsidRDefault="00AE54EE">
      <w:pPr>
        <w:ind w:firstLine="450"/>
        <w:divId w:val="1942184752"/>
        <w:rPr>
          <w:rFonts w:eastAsia="Times New Roman"/>
        </w:rPr>
      </w:pPr>
      <w:r>
        <w:rPr>
          <w:rFonts w:eastAsia="Times New Roman"/>
          <w:color w:val="000000"/>
          <w:sz w:val="20"/>
          <w:szCs w:val="20"/>
        </w:rPr>
        <w:t>The relevant factors we considered in estimating our potential liabilities under applicable environmental statutes and regulations included some or all of the following as to each site: inco</w:t>
      </w:r>
      <w:r>
        <w:rPr>
          <w:rFonts w:eastAsia="Times New Roman"/>
          <w:color w:val="000000"/>
          <w:sz w:val="20"/>
          <w:szCs w:val="20"/>
        </w:rPr>
        <w:t>mplete information regarding particular sites and other potentially responsible parties; uncertainty regarding the extent of investigation or remediation; our share, if any, of liability for such conditions; the selection of alternative remedial approaches</w:t>
      </w:r>
      <w:r>
        <w:rPr>
          <w:rFonts w:eastAsia="Times New Roman"/>
          <w:color w:val="000000"/>
          <w:sz w:val="20"/>
          <w:szCs w:val="20"/>
        </w:rPr>
        <w:t>; changes in environmental standards and regulatory requirements; probable insurance proceeds; cost-sharing agreements with other parties and potential indemnification from successor and predecessor owners of these sites. We do not believe that any uncerta</w:t>
      </w:r>
      <w:r>
        <w:rPr>
          <w:rFonts w:eastAsia="Times New Roman"/>
          <w:color w:val="000000"/>
          <w:sz w:val="20"/>
          <w:szCs w:val="20"/>
        </w:rPr>
        <w:t>inties regarding these relevant factors will materially affect our potential liability under applicable environmental statutes and regulations. We believe the total amount accrued is appropriate based on existing facts and circumstances, although we note t</w:t>
      </w:r>
      <w:r>
        <w:rPr>
          <w:rFonts w:eastAsia="Times New Roman"/>
          <w:color w:val="000000"/>
          <w:sz w:val="20"/>
          <w:szCs w:val="20"/>
        </w:rPr>
        <w:t>he total amount accrued may increase or decrease in future years.</w:t>
      </w:r>
    </w:p>
    <w:p w:rsidR="00000000" w:rsidRDefault="00AE54EE">
      <w:pPr>
        <w:ind w:firstLine="450"/>
        <w:divId w:val="1434856397"/>
        <w:rPr>
          <w:rFonts w:eastAsia="Times New Roman"/>
        </w:rPr>
      </w:pPr>
      <w:r>
        <w:rPr>
          <w:rFonts w:eastAsia="Times New Roman"/>
          <w:b/>
          <w:bCs/>
          <w:color w:val="000000"/>
          <w:sz w:val="20"/>
          <w:szCs w:val="20"/>
        </w:rPr>
        <w:t>Financial Guarantees and Commercial Commitments</w:t>
      </w:r>
      <w:r>
        <w:rPr>
          <w:rFonts w:eastAsia="Times New Roman"/>
          <w:color w:val="000000"/>
          <w:sz w:val="20"/>
          <w:szCs w:val="20"/>
        </w:rPr>
        <w:t> — Financial guarantees are contingent commitments issued to guarantee the performance of a customer to a third party in borrowing arrangements</w:t>
      </w:r>
      <w:r>
        <w:rPr>
          <w:rFonts w:eastAsia="Times New Roman"/>
          <w:color w:val="000000"/>
          <w:sz w:val="20"/>
          <w:szCs w:val="20"/>
        </w:rPr>
        <w:t xml:space="preserve">, such as commercial paper issuances, bond financings and similar transactions. As of December 31, 2021, we did not have material financial guarantees and there were no such contingent commitments accrued for in our Consolidated Balance Sheet. </w:t>
      </w:r>
    </w:p>
    <w:p w:rsidR="00000000" w:rsidRDefault="00AE54EE">
      <w:pPr>
        <w:ind w:firstLine="450"/>
        <w:divId w:val="1904950077"/>
        <w:rPr>
          <w:rFonts w:eastAsia="Times New Roman"/>
        </w:rPr>
      </w:pPr>
      <w:r>
        <w:rPr>
          <w:rFonts w:eastAsia="Times New Roman"/>
          <w:color w:val="000000"/>
          <w:sz w:val="20"/>
          <w:szCs w:val="20"/>
        </w:rPr>
        <w:t>We have ent</w:t>
      </w:r>
      <w:r>
        <w:rPr>
          <w:rFonts w:eastAsia="Times New Roman"/>
          <w:color w:val="000000"/>
          <w:sz w:val="20"/>
          <w:szCs w:val="20"/>
        </w:rPr>
        <w:t>ered into commercial commitments in the normal course of business including surety bonds, standby letter of credit agreements and other arrangements with financial institutions and customers primarily relating to the guarantee of future performance on cert</w:t>
      </w:r>
      <w:r>
        <w:rPr>
          <w:rFonts w:eastAsia="Times New Roman"/>
          <w:color w:val="000000"/>
          <w:sz w:val="20"/>
          <w:szCs w:val="20"/>
        </w:rPr>
        <w:t xml:space="preserve">ain contracts to provide products and services to customers and to obtain insurance policies with our insurance carriers. </w:t>
      </w:r>
    </w:p>
    <w:p w:rsidR="00000000" w:rsidRDefault="00AE54EE">
      <w:pPr>
        <w:ind w:firstLine="450"/>
        <w:divId w:val="947195856"/>
        <w:rPr>
          <w:rFonts w:eastAsia="Times New Roman"/>
        </w:rPr>
      </w:pPr>
      <w:r>
        <w:rPr>
          <w:rFonts w:eastAsia="Times New Roman"/>
          <w:b/>
          <w:bCs/>
          <w:color w:val="000000"/>
          <w:sz w:val="20"/>
          <w:szCs w:val="20"/>
        </w:rPr>
        <w:t>Financial Instruments and Risk Management</w:t>
      </w:r>
      <w:r>
        <w:rPr>
          <w:rFonts w:eastAsia="Times New Roman"/>
          <w:color w:val="000000"/>
          <w:sz w:val="20"/>
          <w:szCs w:val="20"/>
        </w:rPr>
        <w:t> — In the normal course of business, we are exposed to global market risks, including the ef</w:t>
      </w:r>
      <w:r>
        <w:rPr>
          <w:rFonts w:eastAsia="Times New Roman"/>
          <w:color w:val="000000"/>
          <w:sz w:val="20"/>
          <w:szCs w:val="20"/>
        </w:rPr>
        <w:t>fect of changes in foreign currency exchange rates. We use derivative instruments to manage our exposure to such risks and formally document all relationships between hedging instruments and hedged items, as well as the risk-management objective and strate</w:t>
      </w:r>
      <w:r>
        <w:rPr>
          <w:rFonts w:eastAsia="Times New Roman"/>
          <w:color w:val="000000"/>
          <w:sz w:val="20"/>
          <w:szCs w:val="20"/>
        </w:rPr>
        <w:t>gy for undertaking hedge transactions. We may also enter into derivative instruments that are not designated as hedges and do not qualify for hedge accounting. We recognize all derivatives in our Consolidated Balance Sheet at fair value. Derivatives that a</w:t>
      </w:r>
      <w:r>
        <w:rPr>
          <w:rFonts w:eastAsia="Times New Roman"/>
          <w:color w:val="000000"/>
          <w:sz w:val="20"/>
          <w:szCs w:val="20"/>
        </w:rPr>
        <w:t>re not hedges are adjusted to fair value through income. If the derivative is a hedge, depending on the nature of the hedge, changes in the fair value of the derivative are either offset against the change in fair value of assets, liabilities or firm commi</w:t>
      </w:r>
      <w:r>
        <w:rPr>
          <w:rFonts w:eastAsia="Times New Roman"/>
          <w:color w:val="000000"/>
          <w:sz w:val="20"/>
          <w:szCs w:val="20"/>
        </w:rPr>
        <w:t xml:space="preserve">tments through earnings or recognized in other comprehensive income until the hedged item is recognized in earnings. We do not hold or issue derivatives for speculative trading purposes. See </w:t>
      </w:r>
      <w:r>
        <w:rPr>
          <w:rFonts w:eastAsia="Times New Roman"/>
          <w:i/>
          <w:iCs/>
          <w:color w:val="000000"/>
          <w:sz w:val="20"/>
          <w:szCs w:val="20"/>
        </w:rPr>
        <w:t>Note 19: Derivative Instruments and Hedging Activities</w:t>
      </w:r>
      <w:r>
        <w:rPr>
          <w:rFonts w:eastAsia="Times New Roman"/>
          <w:color w:val="000000"/>
          <w:sz w:val="20"/>
          <w:szCs w:val="20"/>
        </w:rPr>
        <w:t xml:space="preserve"> in these N</w:t>
      </w:r>
      <w:r>
        <w:rPr>
          <w:rFonts w:eastAsia="Times New Roman"/>
          <w:color w:val="000000"/>
          <w:sz w:val="20"/>
          <w:szCs w:val="20"/>
        </w:rPr>
        <w:t>otes for additional information regarding our use of derivative instruments.</w:t>
      </w:r>
    </w:p>
    <w:p w:rsidR="00000000" w:rsidRDefault="00AE54EE">
      <w:pPr>
        <w:ind w:firstLine="450"/>
        <w:divId w:val="590554607"/>
        <w:rPr>
          <w:rFonts w:eastAsia="Times New Roman"/>
        </w:rPr>
      </w:pPr>
      <w:r>
        <w:rPr>
          <w:rFonts w:eastAsia="Times New Roman"/>
          <w:b/>
          <w:bCs/>
          <w:color w:val="000000"/>
          <w:sz w:val="20"/>
          <w:szCs w:val="20"/>
        </w:rPr>
        <w:t>Income From Continuing Operations Per Share</w:t>
      </w:r>
      <w:r>
        <w:rPr>
          <w:rFonts w:eastAsia="Times New Roman"/>
          <w:color w:val="000000"/>
          <w:sz w:val="20"/>
          <w:szCs w:val="20"/>
        </w:rPr>
        <w:t> — For all periods presented in our Consolidated Financial Statements and these Notes, income from continuing operations per share is co</w:t>
      </w:r>
      <w:r>
        <w:rPr>
          <w:rFonts w:eastAsia="Times New Roman"/>
          <w:color w:val="000000"/>
          <w:sz w:val="20"/>
          <w:szCs w:val="20"/>
        </w:rPr>
        <w:t>mputed using the two-class method. The two-class method of computing income from continuing operations per share is an earnings allocation formula that determines income from continuing operations per share for common stock and any participating securities</w:t>
      </w:r>
      <w:r>
        <w:rPr>
          <w:rFonts w:eastAsia="Times New Roman"/>
          <w:color w:val="000000"/>
          <w:sz w:val="20"/>
          <w:szCs w:val="20"/>
        </w:rPr>
        <w:t xml:space="preserve"> according to dividends paid and participation rights in undistributed earnings. Historically, our restricted stock awards and restricted stock unit awards generally have met the definition of participating securities and were included in the computations </w:t>
      </w:r>
      <w:r>
        <w:rPr>
          <w:rFonts w:eastAsia="Times New Roman"/>
          <w:color w:val="000000"/>
          <w:sz w:val="20"/>
          <w:szCs w:val="20"/>
        </w:rPr>
        <w:t>of income from continuing operations per basic and diluted common share. However, restricted stock awards and restricted stock unit awards granted during fiscal 2020 and the two quarters ended January 3, 2020 did not meet the definition of participating se</w:t>
      </w:r>
      <w:r>
        <w:rPr>
          <w:rFonts w:eastAsia="Times New Roman"/>
          <w:color w:val="000000"/>
          <w:sz w:val="20"/>
          <w:szCs w:val="20"/>
        </w:rPr>
        <w:t>curities. Under the two-class method, income from continuing operations per common share is computed by dividing the sum of earnings distributed to common shareholders and undistributed earnings allocated to common shareholders by the weighted-average numb</w:t>
      </w:r>
      <w:r>
        <w:rPr>
          <w:rFonts w:eastAsia="Times New Roman"/>
          <w:color w:val="000000"/>
          <w:sz w:val="20"/>
          <w:szCs w:val="20"/>
        </w:rPr>
        <w:t xml:space="preserve">er of common shares outstanding for the period. Income from continuing operations per diluted common share is computed using the more dilutive of the two-class method or the </w:t>
      </w:r>
    </w:p>
    <w:p w:rsidR="00000000" w:rsidRDefault="00AE54EE">
      <w:pPr>
        <w:ind w:firstLine="450"/>
        <w:jc w:val="center"/>
        <w:divId w:val="1553954788"/>
        <w:rPr>
          <w:rFonts w:eastAsia="Times New Roman"/>
        </w:rPr>
      </w:pPr>
      <w:r>
        <w:rPr>
          <w:rFonts w:eastAsia="Times New Roman"/>
          <w:color w:val="000000"/>
          <w:sz w:val="20"/>
          <w:szCs w:val="20"/>
        </w:rPr>
        <w:t>81</w:t>
      </w:r>
    </w:p>
    <w:p w:rsidR="00000000" w:rsidRDefault="00AE54EE">
      <w:pPr>
        <w:rPr>
          <w:rFonts w:eastAsia="Times New Roman"/>
        </w:rPr>
      </w:pPr>
      <w:r>
        <w:rPr>
          <w:rFonts w:eastAsia="Times New Roman"/>
        </w:rPr>
        <w:pict>
          <v:rect id="_x0000_i1109" style="width:0;height:1.5pt" o:hralign="center" o:hrstd="t" o:hr="t" fillcolor="#a0a0a0" stroked="f"/>
        </w:pict>
      </w:r>
    </w:p>
    <w:p w:rsidR="00000000" w:rsidRDefault="00AE54EE">
      <w:pPr>
        <w:ind w:firstLine="450"/>
        <w:divId w:val="1116215130"/>
        <w:rPr>
          <w:rFonts w:eastAsia="Times New Roman"/>
        </w:rPr>
      </w:pPr>
    </w:p>
    <w:p w:rsidR="00000000" w:rsidRDefault="00AE54EE">
      <w:pPr>
        <w:divId w:val="1798832504"/>
        <w:rPr>
          <w:rFonts w:eastAsia="Times New Roman"/>
        </w:rPr>
      </w:pPr>
      <w:r>
        <w:rPr>
          <w:rFonts w:eastAsia="Times New Roman"/>
          <w:color w:val="000000"/>
          <w:sz w:val="20"/>
          <w:szCs w:val="20"/>
        </w:rPr>
        <w:t xml:space="preserve">treasury stock method. In applying the two-class method, undistributed earnings are allocated to both common shares and participating securities based on the weighted-average shares outstanding during the period. See </w:t>
      </w:r>
      <w:r>
        <w:rPr>
          <w:rFonts w:eastAsia="Times New Roman"/>
          <w:i/>
          <w:iCs/>
          <w:color w:val="000000"/>
          <w:sz w:val="20"/>
          <w:szCs w:val="20"/>
        </w:rPr>
        <w:t>N</w:t>
      </w:r>
      <w:r>
        <w:rPr>
          <w:rFonts w:eastAsia="Times New Roman"/>
          <w:i/>
          <w:iCs/>
          <w:color w:val="000000"/>
          <w:sz w:val="20"/>
          <w:szCs w:val="20"/>
        </w:rPr>
        <w:t>ote 16: Income From Continuing Operations Per Share</w:t>
      </w:r>
      <w:r>
        <w:rPr>
          <w:rFonts w:eastAsia="Times New Roman"/>
          <w:color w:val="000000"/>
          <w:sz w:val="20"/>
          <w:szCs w:val="20"/>
        </w:rPr>
        <w:t xml:space="preserve"> in these Notes for additional information.</w:t>
      </w:r>
    </w:p>
    <w:p w:rsidR="00000000" w:rsidRDefault="00AE54EE">
      <w:pPr>
        <w:ind w:firstLine="450"/>
        <w:divId w:val="1923564333"/>
        <w:rPr>
          <w:rFonts w:eastAsia="Times New Roman"/>
        </w:rPr>
      </w:pPr>
      <w:r>
        <w:rPr>
          <w:rFonts w:eastAsia="Times New Roman"/>
          <w:b/>
          <w:bCs/>
          <w:color w:val="000000"/>
          <w:sz w:val="20"/>
          <w:szCs w:val="20"/>
        </w:rPr>
        <w:t>Business Segments</w:t>
      </w:r>
      <w:r>
        <w:rPr>
          <w:rFonts w:eastAsia="Times New Roman"/>
          <w:color w:val="000000"/>
          <w:sz w:val="20"/>
          <w:szCs w:val="20"/>
        </w:rPr>
        <w:t> — We evaluate each business segment’s performance based on its operating income or loss, which we define as profit or loss from operations befo</w:t>
      </w:r>
      <w:r>
        <w:rPr>
          <w:rFonts w:eastAsia="Times New Roman"/>
          <w:color w:val="000000"/>
          <w:sz w:val="20"/>
          <w:szCs w:val="20"/>
        </w:rPr>
        <w:t>re income taxes, including pension income and excluding interest income and expense, royalties and related intellectual property expenses, equity method investment income or loss and gains or losses from securities and other investments. Intersegment sales</w:t>
      </w:r>
      <w:r>
        <w:rPr>
          <w:rFonts w:eastAsia="Times New Roman"/>
          <w:color w:val="000000"/>
          <w:sz w:val="20"/>
          <w:szCs w:val="20"/>
        </w:rPr>
        <w:t xml:space="preserve"> are generally transferred at cost to the buying segment, and the sourcing segment recognizes a profit that is eliminated. The “Corporate eliminations” line item in </w:t>
      </w:r>
      <w:r>
        <w:rPr>
          <w:rFonts w:eastAsia="Times New Roman"/>
          <w:i/>
          <w:iCs/>
          <w:color w:val="000000"/>
          <w:sz w:val="20"/>
          <w:szCs w:val="20"/>
        </w:rPr>
        <w:t>Note 24: Business Segments</w:t>
      </w:r>
      <w:r>
        <w:rPr>
          <w:rFonts w:eastAsia="Times New Roman"/>
          <w:color w:val="000000"/>
          <w:sz w:val="20"/>
          <w:szCs w:val="20"/>
        </w:rPr>
        <w:t xml:space="preserve"> in these Notes represents the elimination of intersegment sales.</w:t>
      </w:r>
      <w:r>
        <w:rPr>
          <w:rFonts w:eastAsia="Times New Roman"/>
          <w:color w:val="000000"/>
          <w:sz w:val="20"/>
          <w:szCs w:val="20"/>
        </w:rPr>
        <w:t xml:space="preserve"> Corporate expenses are primarily allocated to our business segments using an allocation methodology prescribed by U.S. Government regulations for government contractors. The “Unallocated corporate department expense, net” line items in </w:t>
      </w:r>
      <w:r>
        <w:rPr>
          <w:rFonts w:eastAsia="Times New Roman"/>
          <w:i/>
          <w:iCs/>
          <w:color w:val="000000"/>
          <w:sz w:val="20"/>
          <w:szCs w:val="20"/>
        </w:rPr>
        <w:t>Note 24: Business S</w:t>
      </w:r>
      <w:r>
        <w:rPr>
          <w:rFonts w:eastAsia="Times New Roman"/>
          <w:i/>
          <w:iCs/>
          <w:color w:val="000000"/>
          <w:sz w:val="20"/>
          <w:szCs w:val="20"/>
        </w:rPr>
        <w:t>egments</w:t>
      </w:r>
      <w:r>
        <w:rPr>
          <w:rFonts w:eastAsia="Times New Roman"/>
          <w:color w:val="000000"/>
          <w:sz w:val="20"/>
          <w:szCs w:val="20"/>
        </w:rPr>
        <w:t xml:space="preserve"> in these Notes represents the portion of corporate expenses not allocated to our business segments or elimination of intersegment profits. The “Pension adjustment” line item in </w:t>
      </w:r>
      <w:r>
        <w:rPr>
          <w:rFonts w:eastAsia="Times New Roman"/>
          <w:i/>
          <w:iCs/>
          <w:color w:val="000000"/>
          <w:sz w:val="20"/>
          <w:szCs w:val="20"/>
        </w:rPr>
        <w:t>Note 24: Business Segments</w:t>
      </w:r>
      <w:r>
        <w:rPr>
          <w:rFonts w:eastAsia="Times New Roman"/>
          <w:color w:val="000000"/>
          <w:sz w:val="20"/>
          <w:szCs w:val="20"/>
        </w:rPr>
        <w:t xml:space="preserve"> in these Notes represents the reconciliation</w:t>
      </w:r>
      <w:r>
        <w:rPr>
          <w:rFonts w:eastAsia="Times New Roman"/>
          <w:color w:val="000000"/>
          <w:sz w:val="20"/>
          <w:szCs w:val="20"/>
        </w:rPr>
        <w:t xml:space="preserve"> of the non-service cost components of net periodic pension and postretirement benefit income, which are a component of segment operating income but are included in the “Non-operating income” line item in our Consolidated Statement of Income. The non-servi</w:t>
      </w:r>
      <w:r>
        <w:rPr>
          <w:rFonts w:eastAsia="Times New Roman"/>
          <w:color w:val="000000"/>
          <w:sz w:val="20"/>
          <w:szCs w:val="20"/>
        </w:rPr>
        <w:t>ce cost components of net periodic pension and postretirement benefit income includes interest cost, expected return on plan assets, amortization of net actuarial gain or loss and effect of curtailments or settlements under our pension and postretirement b</w:t>
      </w:r>
      <w:r>
        <w:rPr>
          <w:rFonts w:eastAsia="Times New Roman"/>
          <w:color w:val="000000"/>
          <w:sz w:val="20"/>
          <w:szCs w:val="20"/>
        </w:rPr>
        <w:t xml:space="preserve">enefit plans. </w:t>
      </w:r>
    </w:p>
    <w:p w:rsidR="00000000" w:rsidRDefault="00AE54EE">
      <w:pPr>
        <w:divId w:val="1146975656"/>
        <w:rPr>
          <w:rFonts w:eastAsia="Times New Roman"/>
        </w:rPr>
      </w:pPr>
      <w:r>
        <w:rPr>
          <w:rFonts w:eastAsia="Times New Roman"/>
          <w:b/>
          <w:bCs/>
          <w:color w:val="000000"/>
          <w:sz w:val="20"/>
          <w:szCs w:val="20"/>
        </w:rPr>
        <w:t xml:space="preserve">NOTE 2: ACCOUNTING CHANGES OR RECENT ACCOUNTING PRONOUNCEMENTS </w:t>
      </w:r>
    </w:p>
    <w:p w:rsidR="00000000" w:rsidRDefault="00AE54EE">
      <w:pPr>
        <w:divId w:val="1280409559"/>
        <w:rPr>
          <w:rFonts w:eastAsia="Times New Roman"/>
        </w:rPr>
      </w:pPr>
      <w:r>
        <w:rPr>
          <w:rFonts w:eastAsia="Times New Roman"/>
          <w:b/>
          <w:bCs/>
          <w:color w:val="000000"/>
          <w:sz w:val="20"/>
          <w:szCs w:val="20"/>
        </w:rPr>
        <w:t>Adoption of New Accounting Standards</w:t>
      </w:r>
    </w:p>
    <w:p w:rsidR="00000000" w:rsidRDefault="00AE54EE">
      <w:pPr>
        <w:ind w:firstLine="450"/>
        <w:divId w:val="2019649321"/>
        <w:rPr>
          <w:rFonts w:eastAsia="Times New Roman"/>
        </w:rPr>
      </w:pPr>
      <w:r>
        <w:rPr>
          <w:rFonts w:eastAsia="Times New Roman"/>
          <w:color w:val="000000"/>
          <w:sz w:val="20"/>
          <w:szCs w:val="20"/>
        </w:rPr>
        <w:t>There have been no new accounting pronouncements which became effective during fiscal 2021 that have a material impact on our Consolidated F</w:t>
      </w:r>
      <w:r>
        <w:rPr>
          <w:rFonts w:eastAsia="Times New Roman"/>
          <w:color w:val="000000"/>
          <w:sz w:val="20"/>
          <w:szCs w:val="20"/>
        </w:rPr>
        <w:t>inancial Statements.</w:t>
      </w:r>
    </w:p>
    <w:p w:rsidR="00000000" w:rsidRDefault="00AE54EE">
      <w:pPr>
        <w:divId w:val="699739650"/>
        <w:rPr>
          <w:rFonts w:eastAsia="Times New Roman"/>
        </w:rPr>
      </w:pPr>
      <w:r>
        <w:rPr>
          <w:rFonts w:eastAsia="Times New Roman"/>
          <w:b/>
          <w:bCs/>
          <w:color w:val="000000"/>
          <w:sz w:val="20"/>
          <w:szCs w:val="20"/>
        </w:rPr>
        <w:t xml:space="preserve">NOTE 3: BUSINESS DIVESTITURES AND ASSET SALES </w:t>
      </w:r>
    </w:p>
    <w:p w:rsidR="00000000" w:rsidRDefault="00AE54EE">
      <w:pPr>
        <w:ind w:hanging="270"/>
        <w:divId w:val="573197476"/>
        <w:rPr>
          <w:rFonts w:eastAsia="Times New Roman"/>
        </w:rPr>
      </w:pPr>
      <w:r>
        <w:rPr>
          <w:rFonts w:eastAsia="Times New Roman"/>
          <w:b/>
          <w:bCs/>
          <w:color w:val="000000"/>
          <w:sz w:val="20"/>
          <w:szCs w:val="20"/>
        </w:rPr>
        <w:t>Completed Divestitures</w:t>
      </w:r>
    </w:p>
    <w:p w:rsidR="00000000" w:rsidRDefault="00AE54EE">
      <w:pPr>
        <w:ind w:firstLine="450"/>
        <w:divId w:val="720327733"/>
        <w:rPr>
          <w:rFonts w:eastAsia="Times New Roman"/>
        </w:rPr>
      </w:pPr>
      <w:r>
        <w:rPr>
          <w:rFonts w:eastAsia="Times New Roman"/>
          <w:color w:val="000000"/>
          <w:sz w:val="20"/>
          <w:szCs w:val="20"/>
        </w:rPr>
        <w:t>The following table presents information regarding business divestitures and asset sales completed by us during fiscal 2021, 2020 and the two quarters ended January </w:t>
      </w:r>
      <w:r>
        <w:rPr>
          <w:rFonts w:eastAsia="Times New Roman"/>
          <w:color w:val="000000"/>
          <w:sz w:val="20"/>
          <w:szCs w:val="20"/>
        </w:rPr>
        <w:t>3, 2020. There were no businesses divested during the fiscal year ended June 28, 2019.</w:t>
      </w:r>
    </w:p>
    <w:tbl>
      <w:tblPr>
        <w:tblW w:w="5000" w:type="pct"/>
        <w:tblCellMar>
          <w:top w:w="15" w:type="dxa"/>
          <w:left w:w="15" w:type="dxa"/>
          <w:bottom w:w="15" w:type="dxa"/>
          <w:right w:w="15" w:type="dxa"/>
        </w:tblCellMar>
        <w:tblLook w:val="04A0" w:firstRow="1" w:lastRow="0" w:firstColumn="1" w:lastColumn="0" w:noHBand="0" w:noVBand="1"/>
      </w:tblPr>
      <w:tblGrid>
        <w:gridCol w:w="41"/>
        <w:gridCol w:w="3547"/>
        <w:gridCol w:w="39"/>
        <w:gridCol w:w="46"/>
        <w:gridCol w:w="1939"/>
        <w:gridCol w:w="37"/>
        <w:gridCol w:w="36"/>
        <w:gridCol w:w="36"/>
        <w:gridCol w:w="36"/>
        <w:gridCol w:w="46"/>
        <w:gridCol w:w="1434"/>
        <w:gridCol w:w="37"/>
        <w:gridCol w:w="36"/>
        <w:gridCol w:w="36"/>
        <w:gridCol w:w="36"/>
        <w:gridCol w:w="120"/>
        <w:gridCol w:w="660"/>
        <w:gridCol w:w="36"/>
        <w:gridCol w:w="36"/>
        <w:gridCol w:w="36"/>
        <w:gridCol w:w="36"/>
      </w:tblGrid>
      <w:tr w:rsidR="00000000">
        <w:trPr>
          <w:divId w:val="720327733"/>
        </w:trPr>
        <w:tc>
          <w:tcPr>
            <w:tcW w:w="50" w:type="pct"/>
            <w:vAlign w:val="center"/>
            <w:hideMark/>
          </w:tcPr>
          <w:p w:rsidR="00000000" w:rsidRDefault="00AE54EE">
            <w:pPr>
              <w:ind w:firstLine="450"/>
              <w:rPr>
                <w:rFonts w:eastAsia="Times New Roman"/>
              </w:rPr>
            </w:pPr>
          </w:p>
        </w:tc>
        <w:tc>
          <w:tcPr>
            <w:tcW w:w="218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20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90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Business Segmen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Date of Divestiture</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Sale Price</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i/>
                <w:iCs/>
                <w:color w:val="000000"/>
                <w:sz w:val="20"/>
                <w:szCs w:val="20"/>
              </w:rPr>
              <w:t>Fiscal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583638728"/>
              <w:rPr>
                <w:rFonts w:eastAsia="Times New Roman"/>
              </w:rPr>
            </w:pPr>
            <w:r>
              <w:rPr>
                <w:rFonts w:eastAsia="Times New Roman"/>
                <w:color w:val="000000"/>
                <w:sz w:val="20"/>
                <w:szCs w:val="20"/>
              </w:rPr>
              <w:t>Narda-MITEQ busines</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December 6,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763648179"/>
              <w:rPr>
                <w:rFonts w:eastAsia="Times New Roman"/>
              </w:rPr>
            </w:pPr>
            <w:r>
              <w:rPr>
                <w:rFonts w:eastAsia="Times New Roman"/>
                <w:color w:val="000000"/>
                <w:sz w:val="20"/>
                <w:szCs w:val="20"/>
              </w:rPr>
              <w:t>ESSCO busines</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November 26,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230505543"/>
              <w:rPr>
                <w:rFonts w:eastAsia="Times New Roman"/>
              </w:rPr>
            </w:pPr>
            <w:r>
              <w:rPr>
                <w:rFonts w:eastAsia="Times New Roman"/>
                <w:color w:val="000000"/>
                <w:sz w:val="20"/>
                <w:szCs w:val="20"/>
              </w:rPr>
              <w:t>Electron Devices busines</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October 1,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793400375"/>
              <w:rPr>
                <w:rFonts w:eastAsia="Times New Roman"/>
              </w:rPr>
            </w:pPr>
            <w:r>
              <w:rPr>
                <w:rFonts w:eastAsia="Times New Roman"/>
                <w:color w:val="000000"/>
                <w:sz w:val="20"/>
                <w:szCs w:val="20"/>
              </w:rPr>
              <w:t>VSE disposal grou</w:t>
            </w:r>
            <w:r>
              <w:rPr>
                <w:rFonts w:eastAsia="Times New Roman"/>
                <w:color w:val="000000"/>
                <w:sz w:val="20"/>
                <w:szCs w:val="20"/>
              </w:rPr>
              <w:t>p</w:t>
            </w:r>
            <w:r>
              <w:rPr>
                <w:rFonts w:eastAsia="Times New Roman"/>
                <w:color w:val="000000"/>
                <w:sz w:val="13"/>
                <w:szCs w:val="13"/>
              </w:rPr>
              <w:t>(5</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30,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720402541"/>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2,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398 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48130881"/>
              <w:rPr>
                <w:rFonts w:eastAsia="Times New Roman"/>
              </w:rPr>
            </w:pPr>
            <w:r>
              <w:rPr>
                <w:rFonts w:eastAsia="Times New Roman"/>
                <w:color w:val="000000"/>
                <w:sz w:val="20"/>
                <w:szCs w:val="20"/>
              </w:rPr>
              <w:t>Military training busines</w:t>
            </w:r>
            <w:r>
              <w:rPr>
                <w:rFonts w:eastAsia="Times New Roman"/>
                <w:color w:val="000000"/>
                <w:sz w:val="20"/>
                <w:szCs w:val="20"/>
              </w:rPr>
              <w:t>s</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2,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i/>
                <w:iCs/>
                <w:color w:val="000000"/>
                <w:sz w:val="20"/>
                <w:szCs w:val="20"/>
              </w:rPr>
              <w:t>Fiscal 2020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FFFFFF"/>
            <w:tcMar>
              <w:top w:w="30" w:type="dxa"/>
              <w:left w:w="20" w:type="dxa"/>
              <w:bottom w:w="30" w:type="dxa"/>
              <w:right w:w="20" w:type="dxa"/>
            </w:tcMar>
            <w:hideMark/>
          </w:tcPr>
          <w:p w:rsidR="00000000" w:rsidRDefault="00AE54EE">
            <w:pPr>
              <w:spacing w:after="100"/>
              <w:divId w:val="2136753512"/>
              <w:rPr>
                <w:rFonts w:eastAsia="Times New Roman"/>
              </w:rPr>
            </w:pPr>
            <w:r>
              <w:rPr>
                <w:rFonts w:eastAsia="Times New Roman"/>
                <w:color w:val="000000"/>
                <w:sz w:val="20"/>
                <w:szCs w:val="20"/>
              </w:rPr>
              <w:t>EOTech busines</w:t>
            </w:r>
            <w:r>
              <w:rPr>
                <w:rFonts w:eastAsia="Times New Roman"/>
                <w:color w:val="000000"/>
                <w:sz w:val="20"/>
                <w:szCs w:val="20"/>
              </w:rPr>
              <w:t>s</w:t>
            </w:r>
            <w:r>
              <w:rPr>
                <w:rFonts w:eastAsia="Times New Roman"/>
                <w:color w:val="000000"/>
                <w:sz w:val="13"/>
                <w:szCs w:val="13"/>
              </w:rPr>
              <w:t>(8</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hanging="180"/>
              <w:jc w:val="center"/>
              <w:rPr>
                <w:rFonts w:eastAsia="Times New Roman"/>
              </w:rPr>
            </w:pPr>
            <w:r>
              <w:rPr>
                <w:rFonts w:eastAsia="Times New Roman"/>
                <w:color w:val="000000"/>
                <w:sz w:val="20"/>
                <w:szCs w:val="20"/>
              </w:rPr>
              <w:t>Communication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ind w:hanging="18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July 31, 2020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CCEEFF"/>
            <w:tcMar>
              <w:top w:w="30" w:type="dxa"/>
              <w:left w:w="20" w:type="dxa"/>
              <w:bottom w:w="30" w:type="dxa"/>
              <w:right w:w="20" w:type="dxa"/>
            </w:tcMar>
            <w:hideMark/>
          </w:tcPr>
          <w:p w:rsidR="00000000" w:rsidRDefault="00AE54EE">
            <w:pPr>
              <w:spacing w:after="100"/>
              <w:ind w:hanging="180"/>
              <w:divId w:val="1378772340"/>
              <w:rPr>
                <w:rFonts w:eastAsia="Times New Roman"/>
              </w:rPr>
            </w:pPr>
            <w:r>
              <w:rPr>
                <w:rFonts w:eastAsia="Times New Roman"/>
                <w:color w:val="000000"/>
                <w:sz w:val="20"/>
                <w:szCs w:val="20"/>
              </w:rPr>
              <w:t>Applied Kilovolts busines</w:t>
            </w:r>
            <w:r>
              <w:rPr>
                <w:rFonts w:eastAsia="Times New Roman"/>
                <w:color w:val="000000"/>
                <w:sz w:val="20"/>
                <w:szCs w:val="20"/>
              </w:rPr>
              <w:t>s</w:t>
            </w:r>
            <w:r>
              <w:rPr>
                <w:rFonts w:eastAsia="Times New Roman"/>
                <w:color w:val="000000"/>
                <w:sz w:val="13"/>
                <w:szCs w:val="13"/>
              </w:rPr>
              <w:t>(9</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hanging="180"/>
              <w:jc w:val="center"/>
              <w:rPr>
                <w:rFonts w:eastAsia="Times New Roman"/>
              </w:rPr>
            </w:pPr>
            <w:r>
              <w:rPr>
                <w:rFonts w:eastAsia="Times New Roman"/>
                <w:color w:val="000000"/>
                <w:sz w:val="20"/>
                <w:szCs w:val="20"/>
              </w:rPr>
              <w:t>Space &amp; Airborne Systems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ind w:hanging="18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May 15, 2020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ind w:hanging="180"/>
              <w:divId w:val="824274476"/>
              <w:rPr>
                <w:rFonts w:eastAsia="Times New Roman"/>
              </w:rPr>
            </w:pPr>
            <w:r>
              <w:rPr>
                <w:rFonts w:eastAsia="Times New Roman"/>
                <w:color w:val="000000"/>
                <w:sz w:val="20"/>
                <w:szCs w:val="20"/>
              </w:rPr>
              <w:t>Airport security and automation busines</w:t>
            </w:r>
            <w:r>
              <w:rPr>
                <w:rFonts w:eastAsia="Times New Roman"/>
                <w:color w:val="000000"/>
                <w:sz w:val="20"/>
                <w:szCs w:val="20"/>
              </w:rPr>
              <w:t>s</w:t>
            </w:r>
            <w:r>
              <w:rPr>
                <w:rFonts w:eastAsia="Times New Roman"/>
                <w:color w:val="000000"/>
                <w:sz w:val="13"/>
                <w:szCs w:val="13"/>
              </w:rPr>
              <w:t>(10</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May 4, 2020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015695416"/>
              <w:rPr>
                <w:rFonts w:eastAsia="Times New Roman"/>
              </w:rPr>
            </w:pPr>
            <w:r>
              <w:rPr>
                <w:rFonts w:eastAsia="Times New Roman"/>
                <w:b/>
                <w:bCs/>
                <w:i/>
                <w:iCs/>
                <w:color w:val="000000"/>
                <w:sz w:val="20"/>
                <w:szCs w:val="20"/>
              </w:rPr>
              <w:t>Two quarters ended January 3, 2020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611012512"/>
              <w:rPr>
                <w:rFonts w:eastAsia="Times New Roman"/>
              </w:rPr>
            </w:pPr>
            <w:r>
              <w:rPr>
                <w:rFonts w:eastAsia="Times New Roman"/>
                <w:color w:val="000000"/>
                <w:sz w:val="20"/>
                <w:szCs w:val="20"/>
              </w:rPr>
              <w:t>Harris Night Visio</w:t>
            </w:r>
            <w:r>
              <w:rPr>
                <w:rFonts w:eastAsia="Times New Roman"/>
                <w:color w:val="000000"/>
                <w:sz w:val="20"/>
                <w:szCs w:val="20"/>
              </w:rPr>
              <w:t>n</w:t>
            </w:r>
            <w:r>
              <w:rPr>
                <w:rFonts w:eastAsia="Times New Roman"/>
                <w:color w:val="000000"/>
                <w:sz w:val="13"/>
                <w:szCs w:val="13"/>
              </w:rPr>
              <w:t>(11</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ind w:hanging="180"/>
              <w:jc w:val="center"/>
              <w:rPr>
                <w:rFonts w:eastAsia="Times New Roman"/>
              </w:rPr>
            </w:pPr>
            <w:r>
              <w:rPr>
                <w:rFonts w:eastAsia="Times New Roman"/>
                <w:color w:val="000000"/>
                <w:sz w:val="20"/>
                <w:szCs w:val="20"/>
              </w:rPr>
              <w:t>Other non-reportable businesses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ind w:hanging="18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September 13, 2019</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455294092"/>
              <w:rPr>
                <w:rFonts w:eastAsia="Times New Roman"/>
              </w:rPr>
            </w:pPr>
            <w:r>
              <w:rPr>
                <w:rFonts w:eastAsia="Times New Roman"/>
                <w:color w:val="000000"/>
                <w:sz w:val="20"/>
                <w:szCs w:val="20"/>
              </w:rPr>
              <w:t>Stormscop</w:t>
            </w:r>
            <w:r>
              <w:rPr>
                <w:rFonts w:eastAsia="Times New Roman"/>
                <w:color w:val="000000"/>
                <w:sz w:val="20"/>
                <w:szCs w:val="20"/>
              </w:rPr>
              <w:t>e</w:t>
            </w:r>
            <w:r>
              <w:rPr>
                <w:rFonts w:eastAsia="Times New Roman"/>
                <w:color w:val="000000"/>
                <w:sz w:val="13"/>
                <w:szCs w:val="13"/>
              </w:rPr>
              <w:t>(12</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August 30, 2019</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72032773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ind w:firstLine="450"/>
        <w:divId w:val="720327733"/>
        <w:rPr>
          <w:rFonts w:eastAsia="Times New Roman"/>
        </w:rPr>
      </w:pPr>
      <w:r>
        <w:rPr>
          <w:rFonts w:eastAsia="Times New Roman"/>
          <w:color w:val="000000"/>
          <w:sz w:val="16"/>
          <w:szCs w:val="16"/>
        </w:rPr>
        <w:t>_______________</w:t>
      </w:r>
    </w:p>
    <w:p w:rsidR="00000000" w:rsidRDefault="00AE54EE">
      <w:pPr>
        <w:ind w:hanging="360"/>
        <w:divId w:val="297758796"/>
        <w:rPr>
          <w:rFonts w:eastAsia="Times New Roman"/>
        </w:rPr>
      </w:pPr>
      <w:r>
        <w:rPr>
          <w:rFonts w:eastAsia="Times New Roman"/>
          <w:color w:val="000000"/>
          <w:sz w:val="16"/>
          <w:szCs w:val="16"/>
        </w:rPr>
        <w:t xml:space="preserve">(1) </w:t>
      </w:r>
      <w:r>
        <w:rPr>
          <w:rFonts w:eastAsia="Times New Roman"/>
          <w:color w:val="000000"/>
          <w:sz w:val="16"/>
          <w:szCs w:val="16"/>
        </w:rPr>
        <w:t>Business segment in which the operating results of each divested business were reported through the date of divestiture.</w:t>
      </w:r>
    </w:p>
    <w:p w:rsidR="00000000" w:rsidRDefault="00AE54EE">
      <w:pPr>
        <w:ind w:hanging="360"/>
        <w:divId w:val="989987310"/>
        <w:rPr>
          <w:rFonts w:eastAsia="Times New Roman"/>
        </w:rPr>
      </w:pPr>
      <w:r>
        <w:rPr>
          <w:rFonts w:eastAsia="Times New Roman"/>
          <w:color w:val="000000"/>
          <w:sz w:val="16"/>
          <w:szCs w:val="16"/>
        </w:rPr>
        <w:t xml:space="preserve">(2) The Narda-MITEQ business manufactured component, satellite communication and radio frequency safety products for both military and </w:t>
      </w:r>
      <w:r>
        <w:rPr>
          <w:rFonts w:eastAsia="Times New Roman"/>
          <w:color w:val="000000"/>
          <w:sz w:val="16"/>
          <w:szCs w:val="16"/>
        </w:rPr>
        <w:t>commercial markets.</w:t>
      </w:r>
    </w:p>
    <w:p w:rsidR="00000000" w:rsidRDefault="00AE54EE">
      <w:pPr>
        <w:ind w:hanging="360"/>
        <w:divId w:val="289748203"/>
        <w:rPr>
          <w:rFonts w:eastAsia="Times New Roman"/>
        </w:rPr>
      </w:pPr>
      <w:r>
        <w:rPr>
          <w:rFonts w:eastAsia="Times New Roman"/>
          <w:color w:val="000000"/>
          <w:sz w:val="16"/>
          <w:szCs w:val="16"/>
        </w:rPr>
        <w:t xml:space="preserve">(3) The ESSCO business manufactured metal space frame ground radomes and composite structures. </w:t>
      </w:r>
    </w:p>
    <w:p w:rsidR="00000000" w:rsidRDefault="00AE54EE">
      <w:pPr>
        <w:ind w:hanging="360"/>
        <w:divId w:val="945426385"/>
        <w:rPr>
          <w:rFonts w:eastAsia="Times New Roman"/>
        </w:rPr>
      </w:pPr>
      <w:r>
        <w:rPr>
          <w:rFonts w:eastAsia="Times New Roman"/>
          <w:color w:val="000000"/>
          <w:sz w:val="16"/>
          <w:szCs w:val="16"/>
        </w:rPr>
        <w:t>(4) The Electron Devices and Narda Microwave-West divisions (“Electron Devices business”) manufactured microwave devices for ground-based, a</w:t>
      </w:r>
      <w:r>
        <w:rPr>
          <w:rFonts w:eastAsia="Times New Roman"/>
          <w:color w:val="000000"/>
          <w:sz w:val="16"/>
          <w:szCs w:val="16"/>
        </w:rPr>
        <w:t>irborne and satellite communications and radar.</w:t>
      </w:r>
    </w:p>
    <w:p w:rsidR="00000000" w:rsidRDefault="00AE54EE">
      <w:pPr>
        <w:ind w:firstLine="450"/>
        <w:jc w:val="center"/>
        <w:divId w:val="1467509050"/>
        <w:rPr>
          <w:rFonts w:eastAsia="Times New Roman"/>
        </w:rPr>
      </w:pPr>
      <w:r>
        <w:rPr>
          <w:rFonts w:eastAsia="Times New Roman"/>
          <w:color w:val="000000"/>
          <w:sz w:val="20"/>
          <w:szCs w:val="20"/>
        </w:rPr>
        <w:t>82</w:t>
      </w:r>
    </w:p>
    <w:p w:rsidR="00000000" w:rsidRDefault="00AE54EE">
      <w:pPr>
        <w:rPr>
          <w:rFonts w:eastAsia="Times New Roman"/>
        </w:rPr>
      </w:pPr>
      <w:r>
        <w:rPr>
          <w:rFonts w:eastAsia="Times New Roman"/>
        </w:rPr>
        <w:pict>
          <v:rect id="_x0000_i1110" style="width:0;height:1.5pt" o:hralign="center" o:hrstd="t" o:hr="t" fillcolor="#a0a0a0" stroked="f"/>
        </w:pict>
      </w:r>
    </w:p>
    <w:p w:rsidR="00000000" w:rsidRDefault="00AE54EE">
      <w:pPr>
        <w:ind w:firstLine="450"/>
        <w:divId w:val="2032758987"/>
        <w:rPr>
          <w:rFonts w:eastAsia="Times New Roman"/>
        </w:rPr>
      </w:pPr>
    </w:p>
    <w:p w:rsidR="00000000" w:rsidRDefault="00AE54EE">
      <w:pPr>
        <w:ind w:hanging="360"/>
        <w:divId w:val="2124810149"/>
        <w:rPr>
          <w:rFonts w:eastAsia="Times New Roman"/>
        </w:rPr>
      </w:pPr>
      <w:r>
        <w:rPr>
          <w:rFonts w:eastAsia="Times New Roman"/>
          <w:color w:val="000000"/>
          <w:sz w:val="16"/>
          <w:szCs w:val="16"/>
        </w:rPr>
        <w:t xml:space="preserve">(5) The Voice Switch Enterprise disposal group (“VSE disposal group”) provided voice over internet protocol systems for air traffic management communications. </w:t>
      </w:r>
    </w:p>
    <w:p w:rsidR="00000000" w:rsidRDefault="00AE54EE">
      <w:pPr>
        <w:ind w:hanging="360"/>
        <w:divId w:val="1468008560"/>
        <w:rPr>
          <w:rFonts w:eastAsia="Times New Roman"/>
        </w:rPr>
      </w:pPr>
      <w:r>
        <w:rPr>
          <w:rFonts w:eastAsia="Times New Roman"/>
          <w:color w:val="000000"/>
          <w:sz w:val="16"/>
          <w:szCs w:val="16"/>
        </w:rPr>
        <w:t>(6) Th</w:t>
      </w:r>
      <w:r>
        <w:rPr>
          <w:rFonts w:eastAsia="Times New Roman"/>
          <w:color w:val="000000"/>
          <w:sz w:val="16"/>
          <w:szCs w:val="16"/>
        </w:rPr>
        <w:t>e Combat Propulsion Systems and related businesses (“CPS business”) engineered, designed and manufactured engines, transmissions, suspensions and turret drive systems for tracked and wheeled combat vehicle systems.</w:t>
      </w:r>
    </w:p>
    <w:p w:rsidR="00000000" w:rsidRDefault="00AE54EE">
      <w:pPr>
        <w:ind w:hanging="360"/>
        <w:divId w:val="828014548"/>
        <w:rPr>
          <w:rFonts w:eastAsia="Times New Roman"/>
        </w:rPr>
      </w:pPr>
      <w:r>
        <w:rPr>
          <w:rFonts w:eastAsia="Times New Roman"/>
          <w:color w:val="000000"/>
          <w:sz w:val="16"/>
          <w:szCs w:val="16"/>
        </w:rPr>
        <w:t>(7) The military training business provid</w:t>
      </w:r>
      <w:r>
        <w:rPr>
          <w:rFonts w:eastAsia="Times New Roman"/>
          <w:color w:val="000000"/>
          <w:sz w:val="16"/>
          <w:szCs w:val="16"/>
        </w:rPr>
        <w:t>ed flight simulation solutions and training services to the U.S. Department of Defense (“DoD”) and foreign military agencies.</w:t>
      </w:r>
    </w:p>
    <w:p w:rsidR="00000000" w:rsidRDefault="00AE54EE">
      <w:pPr>
        <w:ind w:hanging="360"/>
        <w:divId w:val="207686048"/>
        <w:rPr>
          <w:rFonts w:eastAsia="Times New Roman"/>
        </w:rPr>
      </w:pPr>
      <w:r>
        <w:rPr>
          <w:rFonts w:eastAsia="Times New Roman"/>
          <w:color w:val="000000"/>
          <w:sz w:val="16"/>
          <w:szCs w:val="16"/>
        </w:rPr>
        <w:t>(8) The EOTech business manufactured holographic sighting systems, magnified field optics and accessories for military, law enforc</w:t>
      </w:r>
      <w:r>
        <w:rPr>
          <w:rFonts w:eastAsia="Times New Roman"/>
          <w:color w:val="000000"/>
          <w:sz w:val="16"/>
          <w:szCs w:val="16"/>
        </w:rPr>
        <w:t>ement and commercial markets around the world.</w:t>
      </w:r>
    </w:p>
    <w:p w:rsidR="00000000" w:rsidRDefault="00AE54EE">
      <w:pPr>
        <w:ind w:hanging="360"/>
        <w:divId w:val="1461537996"/>
        <w:rPr>
          <w:rFonts w:eastAsia="Times New Roman"/>
        </w:rPr>
      </w:pPr>
      <w:r>
        <w:rPr>
          <w:rFonts w:eastAsia="Times New Roman"/>
          <w:color w:val="000000"/>
          <w:sz w:val="16"/>
          <w:szCs w:val="16"/>
        </w:rPr>
        <w:t>(9) The Applied Kilovolts and Analytical Instrumentation business (“Applied Kilovolts business”) manufactured high-voltage power supplies and ion detectors for customers in fields such as biotechnology, materi</w:t>
      </w:r>
      <w:r>
        <w:rPr>
          <w:rFonts w:eastAsia="Times New Roman"/>
          <w:color w:val="000000"/>
          <w:sz w:val="16"/>
          <w:szCs w:val="16"/>
        </w:rPr>
        <w:t>als science, healthcare, forensics, environmental sciences and homeland security.</w:t>
      </w:r>
    </w:p>
    <w:p w:rsidR="00000000" w:rsidRDefault="00AE54EE">
      <w:pPr>
        <w:ind w:hanging="360"/>
        <w:divId w:val="982389769"/>
        <w:rPr>
          <w:rFonts w:eastAsia="Times New Roman"/>
        </w:rPr>
      </w:pPr>
      <w:r>
        <w:rPr>
          <w:rFonts w:eastAsia="Times New Roman"/>
          <w:color w:val="000000"/>
          <w:sz w:val="16"/>
          <w:szCs w:val="16"/>
        </w:rPr>
        <w:t>(10) The Security &amp; Detection Systems and MacDonald Humfrey Automation solutions business (“airport security and automation business”) provided solutions used by the aviation</w:t>
      </w:r>
      <w:r>
        <w:rPr>
          <w:rFonts w:eastAsia="Times New Roman"/>
          <w:color w:val="000000"/>
          <w:sz w:val="16"/>
          <w:szCs w:val="16"/>
        </w:rPr>
        <w:t xml:space="preserve"> and transportation industries, regulatory and customs authorities, government and law enforcement agencies and commercial and other high-security facilities. </w:t>
      </w:r>
    </w:p>
    <w:p w:rsidR="00000000" w:rsidRDefault="00AE54EE">
      <w:pPr>
        <w:ind w:hanging="360"/>
        <w:divId w:val="990989676"/>
        <w:rPr>
          <w:rFonts w:eastAsia="Times New Roman"/>
        </w:rPr>
      </w:pPr>
      <w:r>
        <w:rPr>
          <w:rFonts w:eastAsia="Times New Roman"/>
          <w:color w:val="000000"/>
          <w:sz w:val="16"/>
          <w:szCs w:val="16"/>
        </w:rPr>
        <w:t>(11) The Harris Night Vision business was a global supplier of high-performance, vision-enhancin</w:t>
      </w:r>
      <w:r>
        <w:rPr>
          <w:rFonts w:eastAsia="Times New Roman"/>
          <w:color w:val="000000"/>
          <w:sz w:val="16"/>
          <w:szCs w:val="16"/>
        </w:rPr>
        <w:t>g products for U.S. and allied military and security forces and commercial customers.</w:t>
      </w:r>
    </w:p>
    <w:p w:rsidR="00000000" w:rsidRDefault="00AE54EE">
      <w:pPr>
        <w:ind w:hanging="360"/>
        <w:divId w:val="1051536106"/>
        <w:rPr>
          <w:rFonts w:eastAsia="Times New Roman"/>
        </w:rPr>
      </w:pPr>
      <w:r>
        <w:rPr>
          <w:rFonts w:eastAsia="Times New Roman"/>
          <w:color w:val="000000"/>
          <w:sz w:val="16"/>
          <w:szCs w:val="16"/>
        </w:rPr>
        <w:t>(12) The Stormscope product line (“Stormscope”</w:t>
      </w:r>
      <w:r>
        <w:rPr>
          <w:rFonts w:eastAsia="Times New Roman"/>
          <w:color w:val="000000"/>
          <w:sz w:val="16"/>
          <w:szCs w:val="16"/>
        </w:rPr>
        <w:t>) provided lightning detection systems for the aviation market.</w:t>
      </w:r>
    </w:p>
    <w:p w:rsidR="00000000" w:rsidRDefault="00AE54EE">
      <w:pPr>
        <w:divId w:val="1754352251"/>
        <w:rPr>
          <w:rFonts w:eastAsia="Times New Roman"/>
        </w:rPr>
      </w:pPr>
      <w:r>
        <w:rPr>
          <w:rFonts w:eastAsia="Times New Roman"/>
          <w:b/>
          <w:bCs/>
          <w:color w:val="000000"/>
          <w:sz w:val="20"/>
          <w:szCs w:val="20"/>
        </w:rPr>
        <w:t>Assets and Liabilities Held for Sale</w:t>
      </w:r>
    </w:p>
    <w:p w:rsidR="00000000" w:rsidRDefault="00AE54EE">
      <w:pPr>
        <w:ind w:firstLine="450"/>
        <w:divId w:val="1790514867"/>
        <w:rPr>
          <w:rFonts w:eastAsia="Times New Roman"/>
        </w:rPr>
      </w:pPr>
      <w:r>
        <w:rPr>
          <w:rFonts w:eastAsia="Times New Roman"/>
          <w:color w:val="000000"/>
          <w:sz w:val="20"/>
          <w:szCs w:val="20"/>
        </w:rPr>
        <w:t>The carrying amounts of the assets and liabilities of the VSE disposal group classified as held for sale in our Consolidated Balance Sheet at January 1, 20</w:t>
      </w:r>
      <w:r>
        <w:rPr>
          <w:rFonts w:eastAsia="Times New Roman"/>
          <w:color w:val="000000"/>
          <w:sz w:val="20"/>
          <w:szCs w:val="20"/>
        </w:rPr>
        <w:t>21 were $35 million and $13 million, respectively. There were no assets or liabilities classified as held for sale at December 31, 2021.</w:t>
      </w:r>
    </w:p>
    <w:p w:rsidR="00000000" w:rsidRDefault="00AE54EE">
      <w:pPr>
        <w:divId w:val="1891335535"/>
        <w:rPr>
          <w:rFonts w:eastAsia="Times New Roman"/>
        </w:rPr>
      </w:pPr>
      <w:r>
        <w:rPr>
          <w:rFonts w:eastAsia="Times New Roman"/>
          <w:b/>
          <w:bCs/>
          <w:color w:val="000000"/>
          <w:sz w:val="20"/>
          <w:szCs w:val="20"/>
        </w:rPr>
        <w:t>Income Before Income Taxes Attributable to Businesses Divested</w:t>
      </w:r>
    </w:p>
    <w:p w:rsidR="00000000" w:rsidRDefault="00AE54EE">
      <w:pPr>
        <w:ind w:firstLine="450"/>
        <w:divId w:val="121854048"/>
        <w:rPr>
          <w:rFonts w:eastAsia="Times New Roman"/>
        </w:rPr>
      </w:pPr>
      <w:r>
        <w:rPr>
          <w:rFonts w:eastAsia="Times New Roman"/>
          <w:color w:val="000000"/>
          <w:sz w:val="20"/>
          <w:szCs w:val="20"/>
        </w:rPr>
        <w:t>The following table presents the amount of income before</w:t>
      </w:r>
      <w:r>
        <w:rPr>
          <w:rFonts w:eastAsia="Times New Roman"/>
          <w:color w:val="000000"/>
          <w:sz w:val="20"/>
          <w:szCs w:val="20"/>
        </w:rPr>
        <w:t xml:space="preserve"> income taxes attributable to businesses divested in our Consolidated Statement of Income:</w:t>
      </w:r>
    </w:p>
    <w:tbl>
      <w:tblPr>
        <w:tblW w:w="4942" w:type="pct"/>
        <w:tblCellMar>
          <w:top w:w="15" w:type="dxa"/>
          <w:left w:w="15" w:type="dxa"/>
          <w:bottom w:w="15" w:type="dxa"/>
          <w:right w:w="15" w:type="dxa"/>
        </w:tblCellMar>
        <w:tblLook w:val="04A0" w:firstRow="1" w:lastRow="0" w:firstColumn="1" w:lastColumn="0" w:noHBand="0" w:noVBand="1"/>
      </w:tblPr>
      <w:tblGrid>
        <w:gridCol w:w="39"/>
        <w:gridCol w:w="3646"/>
        <w:gridCol w:w="38"/>
        <w:gridCol w:w="121"/>
        <w:gridCol w:w="981"/>
        <w:gridCol w:w="36"/>
        <w:gridCol w:w="36"/>
        <w:gridCol w:w="36"/>
        <w:gridCol w:w="36"/>
        <w:gridCol w:w="121"/>
        <w:gridCol w:w="885"/>
        <w:gridCol w:w="36"/>
        <w:gridCol w:w="36"/>
        <w:gridCol w:w="36"/>
        <w:gridCol w:w="36"/>
        <w:gridCol w:w="121"/>
        <w:gridCol w:w="885"/>
        <w:gridCol w:w="36"/>
        <w:gridCol w:w="36"/>
        <w:gridCol w:w="36"/>
        <w:gridCol w:w="36"/>
        <w:gridCol w:w="39"/>
        <w:gridCol w:w="866"/>
        <w:gridCol w:w="36"/>
      </w:tblGrid>
      <w:tr w:rsidR="00000000">
        <w:trPr>
          <w:divId w:val="121854048"/>
        </w:trPr>
        <w:tc>
          <w:tcPr>
            <w:tcW w:w="50" w:type="pct"/>
            <w:vAlign w:val="center"/>
            <w:hideMark/>
          </w:tcPr>
          <w:p w:rsidR="00000000" w:rsidRDefault="00AE54EE">
            <w:pPr>
              <w:ind w:firstLine="450"/>
              <w:rPr>
                <w:rFonts w:eastAsia="Times New Roman"/>
              </w:rPr>
            </w:pPr>
          </w:p>
        </w:tc>
        <w:tc>
          <w:tcPr>
            <w:tcW w:w="22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3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21854048"/>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2185404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21854048"/>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21854048"/>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693769435"/>
              <w:rPr>
                <w:rFonts w:eastAsia="Times New Roman"/>
              </w:rPr>
            </w:pPr>
            <w:r>
              <w:rPr>
                <w:rFonts w:eastAsia="Times New Roman"/>
                <w:color w:val="000000"/>
                <w:sz w:val="20"/>
                <w:szCs w:val="20"/>
              </w:rPr>
              <w:t>Electron Devices business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r>
      <w:tr w:rsidR="00000000">
        <w:trPr>
          <w:divId w:val="121854048"/>
        </w:trPr>
        <w:tc>
          <w:tcPr>
            <w:tcW w:w="0" w:type="auto"/>
            <w:gridSpan w:val="3"/>
            <w:vAlign w:val="center"/>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2185404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2185404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21854048"/>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860553673"/>
              <w:rPr>
                <w:rFonts w:eastAsia="Times New Roman"/>
              </w:rPr>
            </w:pPr>
            <w:r>
              <w:rPr>
                <w:rFonts w:eastAsia="Times New Roman"/>
                <w:color w:val="000000"/>
                <w:sz w:val="20"/>
                <w:szCs w:val="20"/>
              </w:rPr>
              <w:t>CPS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r>
      <w:tr w:rsidR="00000000">
        <w:trPr>
          <w:divId w:val="121854048"/>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Military training business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r>
      <w:tr w:rsidR="00000000">
        <w:trPr>
          <w:divId w:val="121854048"/>
        </w:trPr>
        <w:tc>
          <w:tcPr>
            <w:tcW w:w="0" w:type="auto"/>
            <w:gridSpan w:val="3"/>
            <w:vAlign w:val="center"/>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2185404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21854048"/>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Airport security and automation business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r>
      <w:tr w:rsidR="00000000">
        <w:trPr>
          <w:divId w:val="121854048"/>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2005159116"/>
              <w:rPr>
                <w:rFonts w:eastAsia="Times New Roman"/>
              </w:rPr>
            </w:pPr>
            <w:r>
              <w:rPr>
                <w:rFonts w:eastAsia="Times New Roman"/>
                <w:color w:val="000000"/>
                <w:sz w:val="20"/>
                <w:szCs w:val="20"/>
              </w:rPr>
              <w:t>Harris Night Vision</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1854048"/>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divId w:val="16590000"/>
        <w:rPr>
          <w:rFonts w:eastAsia="Times New Roman"/>
        </w:rPr>
      </w:pPr>
      <w:r>
        <w:rPr>
          <w:rFonts w:eastAsia="Times New Roman"/>
          <w:color w:val="000000"/>
          <w:sz w:val="16"/>
          <w:szCs w:val="16"/>
        </w:rPr>
        <w:t>_________________</w:t>
      </w:r>
    </w:p>
    <w:p w:rsidR="00000000" w:rsidRDefault="00AE54EE">
      <w:pPr>
        <w:ind w:hanging="360"/>
        <w:divId w:val="117452103"/>
        <w:rPr>
          <w:rFonts w:eastAsia="Times New Roman"/>
        </w:rPr>
      </w:pPr>
      <w:r>
        <w:rPr>
          <w:rFonts w:eastAsia="Times New Roman"/>
          <w:color w:val="000000"/>
          <w:sz w:val="16"/>
          <w:szCs w:val="16"/>
        </w:rPr>
        <w:t>*Not material</w:t>
      </w:r>
    </w:p>
    <w:p w:rsidR="00000000" w:rsidRDefault="00AE54EE">
      <w:pPr>
        <w:divId w:val="2140801189"/>
        <w:rPr>
          <w:rFonts w:eastAsia="Times New Roman"/>
        </w:rPr>
      </w:pPr>
      <w:r>
        <w:rPr>
          <w:rFonts w:eastAsia="Times New Roman"/>
          <w:b/>
          <w:bCs/>
          <w:color w:val="000000"/>
          <w:sz w:val="20"/>
          <w:szCs w:val="20"/>
        </w:rPr>
        <w:t>Business Divestiture-Related Gains (Losses)</w:t>
      </w:r>
    </w:p>
    <w:p w:rsidR="00000000" w:rsidRDefault="00AE54EE">
      <w:pPr>
        <w:ind w:firstLine="450"/>
        <w:divId w:val="1252465634"/>
        <w:rPr>
          <w:rFonts w:eastAsia="Times New Roman"/>
        </w:rPr>
      </w:pPr>
      <w:r>
        <w:rPr>
          <w:rFonts w:eastAsia="Times New Roman"/>
          <w:color w:val="000000"/>
          <w:sz w:val="20"/>
          <w:szCs w:val="20"/>
        </w:rPr>
        <w:t>The “</w:t>
      </w:r>
      <w:r>
        <w:rPr>
          <w:rFonts w:eastAsia="Times New Roman"/>
          <w:color w:val="000000"/>
          <w:sz w:val="20"/>
          <w:szCs w:val="20"/>
        </w:rPr>
        <w:t xml:space="preserve">Business divestiture-related gains (losses)” line item in our Consolidated Statement of Income is comprised of the following pre-tax gains (losses) associated with businesses divested: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5821"/>
        <w:gridCol w:w="38"/>
        <w:gridCol w:w="121"/>
        <w:gridCol w:w="967"/>
        <w:gridCol w:w="36"/>
        <w:gridCol w:w="36"/>
        <w:gridCol w:w="36"/>
        <w:gridCol w:w="36"/>
        <w:gridCol w:w="121"/>
        <w:gridCol w:w="874"/>
        <w:gridCol w:w="37"/>
        <w:gridCol w:w="36"/>
        <w:gridCol w:w="36"/>
        <w:gridCol w:w="36"/>
        <w:gridCol w:w="36"/>
      </w:tblGrid>
      <w:tr w:rsidR="00000000">
        <w:trPr>
          <w:divId w:val="1252465634"/>
        </w:trPr>
        <w:tc>
          <w:tcPr>
            <w:tcW w:w="50" w:type="pct"/>
            <w:vAlign w:val="center"/>
            <w:hideMark/>
          </w:tcPr>
          <w:p w:rsidR="00000000" w:rsidRDefault="00AE54EE">
            <w:pPr>
              <w:ind w:firstLine="450"/>
              <w:rPr>
                <w:rFonts w:eastAsia="Times New Roman"/>
              </w:rPr>
            </w:pPr>
          </w:p>
        </w:tc>
        <w:tc>
          <w:tcPr>
            <w:tcW w:w="360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Height w:val="60"/>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Narda-MITEQ business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ESSCO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Electron Devices business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938684273"/>
              <w:rPr>
                <w:rFonts w:eastAsia="Times New Roman"/>
              </w:rPr>
            </w:pPr>
            <w:r>
              <w:rPr>
                <w:rFonts w:eastAsia="Times New Roman"/>
                <w:color w:val="000000"/>
                <w:sz w:val="20"/>
                <w:szCs w:val="20"/>
              </w:rPr>
              <w:t>VSE disposal grou</w:t>
            </w:r>
            <w:r>
              <w:rPr>
                <w:rFonts w:eastAsia="Times New Roman"/>
                <w:color w:val="000000"/>
                <w:sz w:val="20"/>
                <w:szCs w:val="20"/>
              </w:rPr>
              <w:t>p</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68524459"/>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Military training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EOTech</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Airport security and automation business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337655651"/>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5246563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Business divestiture-related gains (losses)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divId w:val="1089888476"/>
        <w:rPr>
          <w:rFonts w:eastAsia="Times New Roman"/>
        </w:rPr>
      </w:pPr>
      <w:r>
        <w:rPr>
          <w:rFonts w:eastAsia="Times New Roman"/>
          <w:color w:val="000000"/>
          <w:sz w:val="16"/>
          <w:szCs w:val="16"/>
        </w:rPr>
        <w:t>_______________</w:t>
      </w:r>
    </w:p>
    <w:p w:rsidR="00000000" w:rsidRDefault="00AE54EE">
      <w:pPr>
        <w:ind w:hanging="360"/>
        <w:divId w:val="168058625"/>
        <w:rPr>
          <w:rFonts w:eastAsia="Times New Roman"/>
        </w:rPr>
      </w:pPr>
      <w:r>
        <w:rPr>
          <w:rFonts w:eastAsia="Times New Roman"/>
          <w:color w:val="000000"/>
          <w:sz w:val="16"/>
          <w:szCs w:val="16"/>
        </w:rPr>
        <w:t>(1)</w:t>
      </w:r>
      <w:r>
        <w:rPr>
          <w:rFonts w:eastAsia="Times New Roman"/>
          <w:color w:val="000000"/>
          <w:sz w:val="16"/>
          <w:szCs w:val="16"/>
        </w:rPr>
        <w:t>During the quarter ended July 3, 2020, upon classifying the VSE disposal group as held for sale, we recorded a non-cash impairment charge of $14 million, which is included in the “Impairment of goodwill and other assets” line item in our Consolidated State</w:t>
      </w:r>
      <w:r>
        <w:rPr>
          <w:rFonts w:eastAsia="Times New Roman"/>
          <w:color w:val="000000"/>
          <w:sz w:val="16"/>
          <w:szCs w:val="16"/>
        </w:rPr>
        <w:t>ment of Income for fiscal 2020. We recognized an $18 million non-cash remeasurement loss related to the VSE disposal group during fiscal 2020.</w:t>
      </w:r>
    </w:p>
    <w:p w:rsidR="00000000" w:rsidRDefault="00AE54EE">
      <w:pPr>
        <w:ind w:firstLine="450"/>
        <w:jc w:val="center"/>
        <w:divId w:val="1523593416"/>
        <w:rPr>
          <w:rFonts w:eastAsia="Times New Roman"/>
        </w:rPr>
      </w:pPr>
      <w:r>
        <w:rPr>
          <w:rFonts w:eastAsia="Times New Roman"/>
          <w:color w:val="000000"/>
          <w:sz w:val="20"/>
          <w:szCs w:val="20"/>
        </w:rPr>
        <w:t>83</w:t>
      </w:r>
    </w:p>
    <w:p w:rsidR="00000000" w:rsidRDefault="00AE54EE">
      <w:pPr>
        <w:rPr>
          <w:rFonts w:eastAsia="Times New Roman"/>
        </w:rPr>
      </w:pPr>
      <w:r>
        <w:rPr>
          <w:rFonts w:eastAsia="Times New Roman"/>
        </w:rPr>
        <w:pict>
          <v:rect id="_x0000_i1111" style="width:0;height:1.5pt" o:hralign="center" o:hrstd="t" o:hr="t" fillcolor="#a0a0a0" stroked="f"/>
        </w:pict>
      </w:r>
    </w:p>
    <w:p w:rsidR="00000000" w:rsidRDefault="00AE54EE">
      <w:pPr>
        <w:ind w:firstLine="450"/>
        <w:divId w:val="1867210524"/>
        <w:rPr>
          <w:rFonts w:eastAsia="Times New Roman"/>
        </w:rPr>
      </w:pPr>
    </w:p>
    <w:p w:rsidR="00000000" w:rsidRDefault="00AE54EE">
      <w:pPr>
        <w:ind w:hanging="360"/>
        <w:divId w:val="2040541132"/>
        <w:rPr>
          <w:rFonts w:eastAsia="Times New Roman"/>
        </w:rPr>
      </w:pPr>
      <w:r>
        <w:rPr>
          <w:rFonts w:eastAsia="Times New Roman"/>
          <w:color w:val="000000"/>
          <w:sz w:val="16"/>
          <w:szCs w:val="16"/>
        </w:rPr>
        <w:t>(2)During the quarter ended April 2, 2021, upon classifying the CPS busi</w:t>
      </w:r>
      <w:r>
        <w:rPr>
          <w:rFonts w:eastAsia="Times New Roman"/>
          <w:color w:val="000000"/>
          <w:sz w:val="16"/>
          <w:szCs w:val="16"/>
        </w:rPr>
        <w:t xml:space="preserve">ness as held for sale, we recorded a non-cash impairment charge of $62 million, which is included in the “Impairment of goodwill and other assets” line item in our Consolidated Statement of Income for fiscal 2021. See </w:t>
      </w:r>
      <w:r>
        <w:rPr>
          <w:rFonts w:eastAsia="Times New Roman"/>
          <w:i/>
          <w:iCs/>
          <w:color w:val="000000"/>
          <w:sz w:val="16"/>
          <w:szCs w:val="16"/>
        </w:rPr>
        <w:t>Note 9: Goodwill</w:t>
      </w:r>
      <w:r>
        <w:rPr>
          <w:rFonts w:eastAsia="Times New Roman"/>
          <w:color w:val="000000"/>
          <w:sz w:val="16"/>
          <w:szCs w:val="16"/>
        </w:rPr>
        <w:t xml:space="preserve"> in these Notes for ad</w:t>
      </w:r>
      <w:r>
        <w:rPr>
          <w:rFonts w:eastAsia="Times New Roman"/>
          <w:color w:val="000000"/>
          <w:sz w:val="16"/>
          <w:szCs w:val="16"/>
        </w:rPr>
        <w:t>ditional information.</w:t>
      </w:r>
    </w:p>
    <w:p w:rsidR="00000000" w:rsidRDefault="00AE54EE">
      <w:pPr>
        <w:ind w:hanging="360"/>
        <w:divId w:val="763645904"/>
        <w:rPr>
          <w:rFonts w:eastAsia="Times New Roman"/>
        </w:rPr>
      </w:pPr>
      <w:r>
        <w:rPr>
          <w:rFonts w:eastAsia="Times New Roman"/>
          <w:color w:val="000000"/>
          <w:sz w:val="16"/>
          <w:szCs w:val="16"/>
        </w:rPr>
        <w:t>(3)Reflects adjustments to the gains and losses on completed divestitures not shown above, including for fiscal 2020, $12 million for finalization of purchase price adjustments and recognition of a non-cash adjustment related to worki</w:t>
      </w:r>
      <w:r>
        <w:rPr>
          <w:rFonts w:eastAsia="Times New Roman"/>
          <w:color w:val="000000"/>
          <w:sz w:val="16"/>
          <w:szCs w:val="16"/>
        </w:rPr>
        <w:t xml:space="preserve">ng capital, which decreased the $229 million gain initially recognized on the sale of the Harris Night Vision business divested on September 13, 2019. </w:t>
      </w:r>
    </w:p>
    <w:p w:rsidR="00000000" w:rsidRDefault="00AE54EE">
      <w:pPr>
        <w:ind w:firstLine="450"/>
        <w:divId w:val="1974142154"/>
        <w:rPr>
          <w:rFonts w:eastAsia="Times New Roman"/>
        </w:rPr>
      </w:pPr>
      <w:r>
        <w:rPr>
          <w:rFonts w:eastAsia="Times New Roman"/>
          <w:color w:val="000000"/>
          <w:sz w:val="20"/>
          <w:szCs w:val="20"/>
        </w:rPr>
        <w:t>There were no business divestiture-related gains (losses) during the fiscal year ended June 28, 2019.</w:t>
      </w:r>
    </w:p>
    <w:p w:rsidR="00000000" w:rsidRDefault="00AE54EE">
      <w:pPr>
        <w:divId w:val="998922490"/>
        <w:rPr>
          <w:rFonts w:eastAsia="Times New Roman"/>
        </w:rPr>
      </w:pPr>
      <w:r>
        <w:rPr>
          <w:rFonts w:eastAsia="Times New Roman"/>
          <w:b/>
          <w:bCs/>
          <w:color w:val="000000"/>
          <w:sz w:val="20"/>
          <w:szCs w:val="20"/>
        </w:rPr>
        <w:t>Fa</w:t>
      </w:r>
      <w:r>
        <w:rPr>
          <w:rFonts w:eastAsia="Times New Roman"/>
          <w:b/>
          <w:bCs/>
          <w:color w:val="000000"/>
          <w:sz w:val="20"/>
          <w:szCs w:val="20"/>
        </w:rPr>
        <w:t>ir Value of Businesses and Goodwill Allocation</w:t>
      </w:r>
    </w:p>
    <w:p w:rsidR="00000000" w:rsidRDefault="00AE54EE">
      <w:pPr>
        <w:ind w:firstLine="450"/>
        <w:divId w:val="426653644"/>
        <w:rPr>
          <w:rFonts w:eastAsia="Times New Roman"/>
        </w:rPr>
      </w:pPr>
      <w:r>
        <w:rPr>
          <w:rFonts w:eastAsia="Times New Roman"/>
          <w:color w:val="000000"/>
          <w:sz w:val="20"/>
          <w:szCs w:val="20"/>
        </w:rPr>
        <w:t>For purposes of allocating goodwill to the disposal groups that represented a portion of a reporting unit, we determined the fair value of each disposal group based on the respective negotiated selling price (</w:t>
      </w:r>
      <w:r>
        <w:rPr>
          <w:rFonts w:eastAsia="Times New Roman"/>
          <w:color w:val="000000"/>
          <w:sz w:val="20"/>
          <w:szCs w:val="20"/>
        </w:rPr>
        <w:t>or estimated net cash proceeds, in the case of no negotiated selling price), and the fair value of the retained businesses of the respective reporting unit based on a combination of market-based valuation techniques, utilizing quoted market prices and comp</w:t>
      </w:r>
      <w:r>
        <w:rPr>
          <w:rFonts w:eastAsia="Times New Roman"/>
          <w:color w:val="000000"/>
          <w:sz w:val="20"/>
          <w:szCs w:val="20"/>
        </w:rPr>
        <w:t xml:space="preserve">arable publicly reported transactions, and projected discounted cash flows. These fair value determinations are categorized as Level 3 in the fair value hierarchy due to their use of internal projections and unobservable measurement inputs. See </w:t>
      </w:r>
      <w:r>
        <w:rPr>
          <w:rFonts w:eastAsia="Times New Roman"/>
          <w:i/>
          <w:iCs/>
          <w:color w:val="000000"/>
          <w:sz w:val="20"/>
          <w:szCs w:val="20"/>
        </w:rPr>
        <w:t>Note 1: Sig</w:t>
      </w:r>
      <w:r>
        <w:rPr>
          <w:rFonts w:eastAsia="Times New Roman"/>
          <w:i/>
          <w:iCs/>
          <w:color w:val="000000"/>
          <w:sz w:val="20"/>
          <w:szCs w:val="20"/>
        </w:rPr>
        <w:t>nificant Accounting Policies</w:t>
      </w:r>
      <w:r>
        <w:rPr>
          <w:rFonts w:eastAsia="Times New Roman"/>
          <w:color w:val="000000"/>
          <w:sz w:val="20"/>
          <w:szCs w:val="20"/>
        </w:rPr>
        <w:t xml:space="preserve"> in these Notes for additional information regarding the fair value hierarchy and see </w:t>
      </w:r>
      <w:r>
        <w:rPr>
          <w:rFonts w:eastAsia="Times New Roman"/>
          <w:i/>
          <w:iCs/>
          <w:color w:val="000000"/>
          <w:sz w:val="20"/>
          <w:szCs w:val="20"/>
        </w:rPr>
        <w:t>Note 9: Goodwill</w:t>
      </w:r>
      <w:r>
        <w:rPr>
          <w:rFonts w:eastAsia="Times New Roman"/>
          <w:color w:val="000000"/>
          <w:sz w:val="20"/>
          <w:szCs w:val="20"/>
        </w:rPr>
        <w:t xml:space="preserve"> in these Notes for additional information regarding the impairment of goodwill related to our business divestitures.</w:t>
      </w:r>
    </w:p>
    <w:p w:rsidR="00000000" w:rsidRDefault="00AE54EE">
      <w:pPr>
        <w:divId w:val="476382256"/>
        <w:rPr>
          <w:rFonts w:eastAsia="Times New Roman"/>
        </w:rPr>
      </w:pPr>
      <w:r>
        <w:rPr>
          <w:rFonts w:eastAsia="Times New Roman"/>
          <w:b/>
          <w:bCs/>
          <w:color w:val="000000"/>
          <w:sz w:val="20"/>
          <w:szCs w:val="20"/>
        </w:rPr>
        <w:t xml:space="preserve">NOTE 4: </w:t>
      </w:r>
      <w:r>
        <w:rPr>
          <w:rFonts w:eastAsia="Times New Roman"/>
          <w:b/>
          <w:bCs/>
          <w:color w:val="000000"/>
          <w:sz w:val="20"/>
          <w:szCs w:val="20"/>
        </w:rPr>
        <w:t>BUSINESS COMBINATION</w:t>
      </w:r>
      <w:r>
        <w:rPr>
          <w:rFonts w:eastAsia="Times New Roman"/>
          <w:b/>
          <w:bCs/>
          <w:i/>
          <w:iCs/>
          <w:color w:val="000000"/>
          <w:sz w:val="20"/>
          <w:szCs w:val="20"/>
        </w:rPr>
        <w:t xml:space="preserve"> </w:t>
      </w:r>
    </w:p>
    <w:p w:rsidR="00000000" w:rsidRDefault="00AE54EE">
      <w:pPr>
        <w:ind w:firstLine="450"/>
        <w:divId w:val="516236294"/>
        <w:rPr>
          <w:rFonts w:eastAsia="Times New Roman"/>
        </w:rPr>
      </w:pPr>
      <w:r>
        <w:rPr>
          <w:rFonts w:eastAsia="Times New Roman"/>
          <w:color w:val="000000"/>
          <w:sz w:val="20"/>
          <w:szCs w:val="20"/>
        </w:rPr>
        <w:t>On October 12, 2018, Harris Corporation, a Delaware corporation, entered into an Agreement and Plan of Merger (the “Merger Agreement”) with L3 Technologies, Inc., a Delaware corporation, and Leopard Merger Sub Inc., a Delaware corpora</w:t>
      </w:r>
      <w:r>
        <w:rPr>
          <w:rFonts w:eastAsia="Times New Roman"/>
          <w:color w:val="000000"/>
          <w:sz w:val="20"/>
          <w:szCs w:val="20"/>
        </w:rPr>
        <w:t>tion and a newly formed, direct wholly-owned subsidiary of Harris (“Merger Sub”), pursuant to which Harris and L3 agreed to combine their respective businesses in an all-stock merger, at the closing of which Merger Sub would merge with and into L3, with L3</w:t>
      </w:r>
      <w:r>
        <w:rPr>
          <w:rFonts w:eastAsia="Times New Roman"/>
          <w:color w:val="000000"/>
          <w:sz w:val="20"/>
          <w:szCs w:val="20"/>
        </w:rPr>
        <w:t xml:space="preserve"> continuing as the surviving corporation and a direct wholly-owned subsidiary of Harris (the “L3Harris Merger”). </w:t>
      </w:r>
    </w:p>
    <w:p w:rsidR="00000000" w:rsidRDefault="00AE54EE">
      <w:pPr>
        <w:ind w:firstLine="450"/>
        <w:divId w:val="247664568"/>
        <w:rPr>
          <w:rFonts w:eastAsia="Times New Roman"/>
        </w:rPr>
      </w:pPr>
      <w:r>
        <w:rPr>
          <w:rFonts w:eastAsia="Times New Roman"/>
          <w:color w:val="000000"/>
          <w:sz w:val="20"/>
          <w:szCs w:val="20"/>
        </w:rPr>
        <w:t>The closing of the L3Harris Merger occurred on June 29, 2019 (“Closing Date”</w:t>
      </w:r>
      <w:r>
        <w:rPr>
          <w:rFonts w:eastAsia="Times New Roman"/>
          <w:color w:val="000000"/>
          <w:sz w:val="20"/>
          <w:szCs w:val="20"/>
        </w:rPr>
        <w:t>), the first day of our Fiscal Transition Period. Upon completion of the L3Harris Merger, Harris was renamed “L3Harris Technologies, Inc.” and each share of L3 common stock converted into the right to receive 1.30 shares (“Exchange Ratio”) of L3Harris comm</w:t>
      </w:r>
      <w:r>
        <w:rPr>
          <w:rFonts w:eastAsia="Times New Roman"/>
          <w:color w:val="000000"/>
          <w:sz w:val="20"/>
          <w:szCs w:val="20"/>
        </w:rPr>
        <w:t>on stock. Shares of L3Harris common stock, which previously traded under ticker symbol “HRS” on the New York Stock Exchange prior to completion of the L3Harris Merger, are traded under ticker symbol “LHX” following completion of the L3Harris Merger. L3Harr</w:t>
      </w:r>
      <w:r>
        <w:rPr>
          <w:rFonts w:eastAsia="Times New Roman"/>
          <w:color w:val="000000"/>
          <w:sz w:val="20"/>
          <w:szCs w:val="20"/>
        </w:rPr>
        <w:t>is was owned on a fully diluted basis 54 percent by Harris shareholders and 46 percent by L3 shareholders immediately following the completion of the L3Harris Merger.</w:t>
      </w:r>
    </w:p>
    <w:p w:rsidR="00000000" w:rsidRDefault="00AE54EE">
      <w:pPr>
        <w:ind w:firstLine="450"/>
        <w:divId w:val="332535948"/>
        <w:rPr>
          <w:rFonts w:eastAsia="Times New Roman"/>
        </w:rPr>
      </w:pPr>
      <w:r>
        <w:rPr>
          <w:rFonts w:eastAsia="Times New Roman"/>
          <w:color w:val="000000"/>
          <w:sz w:val="20"/>
          <w:szCs w:val="20"/>
        </w:rPr>
        <w:t>L3 was a prime contractor in intelligence, surveillance and reconnaissance (“ISR”) system</w:t>
      </w:r>
      <w:r>
        <w:rPr>
          <w:rFonts w:eastAsia="Times New Roman"/>
          <w:color w:val="000000"/>
          <w:sz w:val="20"/>
          <w:szCs w:val="20"/>
        </w:rPr>
        <w:t>s, aircraft sustainment (including modifications and fleet management of special mission aircraft), simulation and training, night vision and image intensification equipment and security and detection systems. L3 also was a leading provider of a broad rang</w:t>
      </w:r>
      <w:r>
        <w:rPr>
          <w:rFonts w:eastAsia="Times New Roman"/>
          <w:color w:val="000000"/>
          <w:sz w:val="20"/>
          <w:szCs w:val="20"/>
        </w:rPr>
        <w:t>e of communication, electronic and sensor systems used on military, homeland security and commercial platforms. L3 employed approximately 31,000 employees and its customers included the U.S. Department of Defense and its prime contractors, the U.S. Intelli</w:t>
      </w:r>
      <w:r>
        <w:rPr>
          <w:rFonts w:eastAsia="Times New Roman"/>
          <w:color w:val="000000"/>
          <w:sz w:val="20"/>
          <w:szCs w:val="20"/>
        </w:rPr>
        <w:t>gence Community, the U.S. Department of Homeland Security, foreign governments and domestic and foreign commercial customers. L3 generated calendar 2018 revenue of approximately $10 billion.</w:t>
      </w:r>
    </w:p>
    <w:p w:rsidR="00000000" w:rsidRDefault="00AE54EE">
      <w:pPr>
        <w:ind w:firstLine="450"/>
        <w:divId w:val="927470925"/>
        <w:rPr>
          <w:rFonts w:eastAsia="Times New Roman"/>
        </w:rPr>
      </w:pPr>
      <w:r>
        <w:rPr>
          <w:rFonts w:eastAsia="Times New Roman"/>
          <w:color w:val="000000"/>
          <w:sz w:val="20"/>
          <w:szCs w:val="20"/>
        </w:rPr>
        <w:t>In connection with completion of the L3Harris Merger, we issued t</w:t>
      </w:r>
      <w:r>
        <w:rPr>
          <w:rFonts w:eastAsia="Times New Roman"/>
          <w:color w:val="000000"/>
          <w:sz w:val="20"/>
          <w:szCs w:val="20"/>
        </w:rPr>
        <w:t>o L3 shareholders 104 million shares of L3Harris common stock, the trading price of which was $189.13 per share as of the Closing Date. In addition, we issued L3Harris share-based awards in replacement of certain outstanding L3 share-based awards held by e</w:t>
      </w:r>
      <w:r>
        <w:rPr>
          <w:rFonts w:eastAsia="Times New Roman"/>
          <w:color w:val="000000"/>
          <w:sz w:val="20"/>
          <w:szCs w:val="20"/>
        </w:rPr>
        <w:t>mployees.</w:t>
      </w:r>
    </w:p>
    <w:p w:rsidR="00000000" w:rsidRDefault="00AE54EE">
      <w:pPr>
        <w:ind w:firstLine="450"/>
        <w:divId w:val="1120102160"/>
        <w:rPr>
          <w:rFonts w:eastAsia="Times New Roman"/>
        </w:rPr>
      </w:pPr>
      <w:r>
        <w:rPr>
          <w:rFonts w:eastAsia="Times New Roman"/>
          <w:color w:val="000000"/>
          <w:sz w:val="20"/>
          <w:szCs w:val="20"/>
        </w:rPr>
        <w:t>We accounted for the L3Harris Merger under the acquisition method of accounting, which required us to measure identifiable assets acquired, liabilities assumed and any noncontrolling interests in the acquiree at their fair values as of the Closin</w:t>
      </w:r>
      <w:r>
        <w:rPr>
          <w:rFonts w:eastAsia="Times New Roman"/>
          <w:color w:val="000000"/>
          <w:sz w:val="20"/>
          <w:szCs w:val="20"/>
        </w:rPr>
        <w:t xml:space="preserve">g Date, with the excess of the consideration transferred over those fair values recorded as goodwill. </w:t>
      </w:r>
    </w:p>
    <w:p w:rsidR="00000000" w:rsidRDefault="00AE54EE">
      <w:pPr>
        <w:ind w:firstLine="450"/>
        <w:jc w:val="center"/>
        <w:divId w:val="2090425938"/>
        <w:rPr>
          <w:rFonts w:eastAsia="Times New Roman"/>
        </w:rPr>
      </w:pPr>
      <w:r>
        <w:rPr>
          <w:rFonts w:eastAsia="Times New Roman"/>
          <w:color w:val="000000"/>
          <w:sz w:val="20"/>
          <w:szCs w:val="20"/>
        </w:rPr>
        <w:t>84</w:t>
      </w:r>
    </w:p>
    <w:p w:rsidR="00000000" w:rsidRDefault="00AE54EE">
      <w:pPr>
        <w:rPr>
          <w:rFonts w:eastAsia="Times New Roman"/>
        </w:rPr>
      </w:pPr>
      <w:r>
        <w:rPr>
          <w:rFonts w:eastAsia="Times New Roman"/>
        </w:rPr>
        <w:pict>
          <v:rect id="_x0000_i1112" style="width:0;height:1.5pt" o:hralign="center" o:hrstd="t" o:hr="t" fillcolor="#a0a0a0" stroked="f"/>
        </w:pict>
      </w:r>
    </w:p>
    <w:p w:rsidR="00000000" w:rsidRDefault="00AE54EE">
      <w:pPr>
        <w:ind w:firstLine="450"/>
        <w:divId w:val="1569069405"/>
        <w:rPr>
          <w:rFonts w:eastAsia="Times New Roman"/>
        </w:rPr>
      </w:pPr>
    </w:p>
    <w:p w:rsidR="00000000" w:rsidRDefault="00AE54EE">
      <w:pPr>
        <w:ind w:firstLine="450"/>
        <w:divId w:val="1208378235"/>
        <w:rPr>
          <w:rFonts w:eastAsia="Times New Roman"/>
        </w:rPr>
      </w:pPr>
      <w:r>
        <w:rPr>
          <w:rFonts w:eastAsia="Times New Roman"/>
          <w:color w:val="000000"/>
          <w:sz w:val="20"/>
          <w:szCs w:val="20"/>
        </w:rPr>
        <w:t xml:space="preserve">Our calculation of consideration transferred is as follows: </w:t>
      </w:r>
    </w:p>
    <w:tbl>
      <w:tblPr>
        <w:tblW w:w="4956" w:type="pct"/>
        <w:tblCellMar>
          <w:top w:w="15" w:type="dxa"/>
          <w:left w:w="15" w:type="dxa"/>
          <w:bottom w:w="15" w:type="dxa"/>
          <w:right w:w="15" w:type="dxa"/>
        </w:tblCellMar>
        <w:tblLook w:val="04A0" w:firstRow="1" w:lastRow="0" w:firstColumn="1" w:lastColumn="0" w:noHBand="0" w:noVBand="1"/>
      </w:tblPr>
      <w:tblGrid>
        <w:gridCol w:w="50"/>
        <w:gridCol w:w="7121"/>
        <w:gridCol w:w="39"/>
        <w:gridCol w:w="120"/>
        <w:gridCol w:w="867"/>
        <w:gridCol w:w="36"/>
      </w:tblGrid>
      <w:tr w:rsidR="00000000">
        <w:trPr>
          <w:divId w:val="558134766"/>
        </w:trPr>
        <w:tc>
          <w:tcPr>
            <w:tcW w:w="50" w:type="pct"/>
            <w:vAlign w:val="center"/>
            <w:hideMark/>
          </w:tcPr>
          <w:p w:rsidR="00000000" w:rsidRDefault="00AE54EE">
            <w:pPr>
              <w:ind w:firstLine="450"/>
              <w:rPr>
                <w:rFonts w:eastAsia="Times New Roman"/>
              </w:rPr>
            </w:pPr>
          </w:p>
        </w:tc>
        <w:tc>
          <w:tcPr>
            <w:tcW w:w="434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4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55813476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 except exchange ratio and per share amounts)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29, 2019</w:t>
            </w:r>
          </w:p>
        </w:tc>
      </w:tr>
      <w:tr w:rsidR="00000000">
        <w:trPr>
          <w:divId w:val="558134766"/>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581347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Outstanding shares of L3 common stock as of June 28, 2019</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79.63 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L3 restricted stock unit awards settled in shares of L3Harris common stock</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L3 performance unit awards settled in shares of L3Harris common stock</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Exchange Ratio</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Shares of L3Harris common stock issued for L3 outstanding common stock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Price per share of L3Harris common stock as of June 28, 2019</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189.13 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Fair value of L3Harris common stock issued for L3 outstanding common stock</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19,689 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Fair value of replacement restricted stock units attributable to merger consideration</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Fair value of L3Harris stock options issued to replace L3 outstanding stock options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Withholding tax liability incurred for converted L3 share-based awa</w:t>
            </w:r>
            <w:r>
              <w:rPr>
                <w:rFonts w:eastAsia="Times New Roman"/>
                <w:color w:val="000000"/>
                <w:sz w:val="20"/>
                <w:szCs w:val="20"/>
              </w:rPr>
              <w:t>rds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Fair value of replacement award consideration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Fair value of total consideration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8"/>
                <w:szCs w:val="18"/>
              </w:rPr>
              <w:t>Less: cash acquired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5813476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net consideration transferred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18,650 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541933992"/>
        <w:rPr>
          <w:rFonts w:eastAsia="Times New Roman"/>
        </w:rPr>
      </w:pPr>
      <w:r>
        <w:rPr>
          <w:rFonts w:eastAsia="Times New Roman"/>
          <w:color w:val="000000"/>
          <w:sz w:val="20"/>
          <w:szCs w:val="20"/>
        </w:rPr>
        <w:t>Our preliminary fair value estimates and assumptions to measure the assets acquired, liabilities assumed and noncontrolling interests in L3 were subject to change as we obtained additional information during the measurement period. We completed our account</w:t>
      </w:r>
      <w:r>
        <w:rPr>
          <w:rFonts w:eastAsia="Times New Roman"/>
          <w:color w:val="000000"/>
          <w:sz w:val="20"/>
          <w:szCs w:val="20"/>
        </w:rPr>
        <w:t>ing for the L3Harris Merger during the quarter ended July 3, 2020. The following table summarizes the initial fair value amounts recognized during the quarter ended September 27, 2019 for each major class of assets acquired or liabilities assumed and nonco</w:t>
      </w:r>
      <w:r>
        <w:rPr>
          <w:rFonts w:eastAsia="Times New Roman"/>
          <w:color w:val="000000"/>
          <w:sz w:val="20"/>
          <w:szCs w:val="20"/>
        </w:rPr>
        <w:t>ntrolling interests, as well as adjustments during the measurement period:</w:t>
      </w:r>
    </w:p>
    <w:tbl>
      <w:tblPr>
        <w:tblW w:w="4971" w:type="pct"/>
        <w:tblCellMar>
          <w:top w:w="15" w:type="dxa"/>
          <w:left w:w="15" w:type="dxa"/>
          <w:bottom w:w="15" w:type="dxa"/>
          <w:right w:w="15" w:type="dxa"/>
        </w:tblCellMar>
        <w:tblLook w:val="04A0" w:firstRow="1" w:lastRow="0" w:firstColumn="1" w:lastColumn="0" w:noHBand="0" w:noVBand="1"/>
      </w:tblPr>
      <w:tblGrid>
        <w:gridCol w:w="39"/>
        <w:gridCol w:w="4070"/>
        <w:gridCol w:w="37"/>
        <w:gridCol w:w="121"/>
        <w:gridCol w:w="1328"/>
        <w:gridCol w:w="36"/>
        <w:gridCol w:w="36"/>
        <w:gridCol w:w="36"/>
        <w:gridCol w:w="36"/>
        <w:gridCol w:w="121"/>
        <w:gridCol w:w="1001"/>
        <w:gridCol w:w="36"/>
        <w:gridCol w:w="36"/>
        <w:gridCol w:w="36"/>
        <w:gridCol w:w="36"/>
        <w:gridCol w:w="120"/>
        <w:gridCol w:w="1097"/>
        <w:gridCol w:w="36"/>
      </w:tblGrid>
      <w:tr w:rsidR="00000000">
        <w:trPr>
          <w:divId w:val="1139542268"/>
        </w:trPr>
        <w:tc>
          <w:tcPr>
            <w:tcW w:w="50" w:type="pct"/>
            <w:vAlign w:val="center"/>
            <w:hideMark/>
          </w:tcPr>
          <w:p w:rsidR="00000000" w:rsidRDefault="00AE54EE">
            <w:pPr>
              <w:ind w:firstLine="450"/>
              <w:rPr>
                <w:rFonts w:eastAsia="Times New Roman"/>
              </w:rPr>
            </w:pPr>
          </w:p>
        </w:tc>
        <w:tc>
          <w:tcPr>
            <w:tcW w:w="249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83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13954226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Preliminary Fair Value as of September 27, 2019</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Measurement Period Adjustments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Adjusted Fair Value as of July 3, 2020</w:t>
            </w:r>
          </w:p>
        </w:tc>
      </w:tr>
      <w:tr w:rsidR="00000000">
        <w:trPr>
          <w:divId w:val="1139542268"/>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139542268"/>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Receivables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Contract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1,708 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1,651 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983 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1,176 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812 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15,423 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14,582 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intangible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6,768 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1,690 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8,458 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Height w:val="28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139542268"/>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898 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772 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1,073 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Defined benefit plans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1,411 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1,411 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Long-term debt, net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1,661 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2,141 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liabilities assumed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Net assets acquired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39542268"/>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net consideration transferred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18,650 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18,650 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197700913"/>
        <w:rPr>
          <w:rFonts w:eastAsia="Times New Roman"/>
        </w:rPr>
      </w:pPr>
      <w:r>
        <w:rPr>
          <w:rFonts w:eastAsia="Times New Roman"/>
          <w:color w:val="000000"/>
          <w:sz w:val="20"/>
          <w:szCs w:val="20"/>
        </w:rPr>
        <w:t xml:space="preserve">Additionally, we acquired certain off-market customer contracts in connection with the L3Harris Merger, and we have recorded liabilities as well as separate identifiable intangible assets for the acquisition-date fair value of the off-market </w:t>
      </w:r>
    </w:p>
    <w:p w:rsidR="00000000" w:rsidRDefault="00AE54EE">
      <w:pPr>
        <w:ind w:firstLine="450"/>
        <w:jc w:val="center"/>
        <w:divId w:val="1203247449"/>
        <w:rPr>
          <w:rFonts w:eastAsia="Times New Roman"/>
        </w:rPr>
      </w:pPr>
      <w:r>
        <w:rPr>
          <w:rFonts w:eastAsia="Times New Roman"/>
          <w:color w:val="000000"/>
          <w:sz w:val="20"/>
          <w:szCs w:val="20"/>
        </w:rPr>
        <w:t>85</w:t>
      </w:r>
    </w:p>
    <w:p w:rsidR="00000000" w:rsidRDefault="00AE54EE">
      <w:pPr>
        <w:rPr>
          <w:rFonts w:eastAsia="Times New Roman"/>
        </w:rPr>
      </w:pPr>
      <w:r>
        <w:rPr>
          <w:rFonts w:eastAsia="Times New Roman"/>
        </w:rPr>
        <w:pict>
          <v:rect id="_x0000_i1113" style="width:0;height:1.5pt" o:hralign="center" o:hrstd="t" o:hr="t" fillcolor="#a0a0a0" stroked="f"/>
        </w:pict>
      </w:r>
    </w:p>
    <w:p w:rsidR="00000000" w:rsidRDefault="00AE54EE">
      <w:pPr>
        <w:ind w:firstLine="450"/>
        <w:divId w:val="1156916562"/>
        <w:rPr>
          <w:rFonts w:eastAsia="Times New Roman"/>
        </w:rPr>
      </w:pPr>
    </w:p>
    <w:p w:rsidR="00000000" w:rsidRDefault="00AE54EE">
      <w:pPr>
        <w:divId w:val="809398544"/>
        <w:rPr>
          <w:rFonts w:eastAsia="Times New Roman"/>
        </w:rPr>
      </w:pPr>
      <w:r>
        <w:rPr>
          <w:rFonts w:eastAsia="Times New Roman"/>
          <w:color w:val="000000"/>
          <w:sz w:val="20"/>
          <w:szCs w:val="20"/>
        </w:rPr>
        <w:t>components of these customer contracts. In aggregate, the acquisition-date fair value of the off-market components was a net liability of $139 million. We measured the fair value of these components as the present value of the a</w:t>
      </w:r>
      <w:r>
        <w:rPr>
          <w:rFonts w:eastAsia="Times New Roman"/>
          <w:color w:val="000000"/>
          <w:sz w:val="20"/>
          <w:szCs w:val="20"/>
        </w:rPr>
        <w:t>mount by which the terms of the contract with the customer deviated from the terms that a market participant could have achieved at the Closing Date. The off-market components of these contracts will be recognized as an increase to, or reduction of, revenu</w:t>
      </w:r>
      <w:r>
        <w:rPr>
          <w:rFonts w:eastAsia="Times New Roman"/>
          <w:color w:val="000000"/>
          <w:sz w:val="20"/>
          <w:szCs w:val="20"/>
        </w:rPr>
        <w:t>e as we incur costs to satisfy the associated performance obligations. We recognized $20 million, $58 million and $13 million of revenue in fiscal 2021, fiscal 2020 and the Fiscal Transition Period, respectively, for amortization of net off-market contract</w:t>
      </w:r>
      <w:r>
        <w:rPr>
          <w:rFonts w:eastAsia="Times New Roman"/>
          <w:color w:val="000000"/>
          <w:sz w:val="20"/>
          <w:szCs w:val="20"/>
        </w:rPr>
        <w:t xml:space="preserve"> liabilities. Fiscal 2020 also included the cumulative effect of amortization that would have been recognized in the Fiscal Transition Period. Future estimated revenue from the amortization of net off-market contract liabilities (based on the estimated pat</w:t>
      </w:r>
      <w:r>
        <w:rPr>
          <w:rFonts w:eastAsia="Times New Roman"/>
          <w:color w:val="000000"/>
          <w:sz w:val="20"/>
          <w:szCs w:val="20"/>
        </w:rPr>
        <w:t>tern of cash flows to be incurred to satisfy associated performance obligations) is as follows: $15 million in 2022, $10 million in 2023 and $23 million in 2024.</w:t>
      </w:r>
    </w:p>
    <w:p w:rsidR="00000000" w:rsidRDefault="00AE54EE">
      <w:pPr>
        <w:ind w:firstLine="450"/>
        <w:divId w:val="532621260"/>
        <w:rPr>
          <w:rFonts w:eastAsia="Times New Roman"/>
        </w:rPr>
      </w:pPr>
      <w:r>
        <w:rPr>
          <w:rFonts w:eastAsia="Times New Roman"/>
          <w:color w:val="000000"/>
          <w:sz w:val="20"/>
          <w:szCs w:val="20"/>
        </w:rPr>
        <w:t>The goodwill resulting from the L3Harris Merger was primarily associated with L3’s market pres</w:t>
      </w:r>
      <w:r>
        <w:rPr>
          <w:rFonts w:eastAsia="Times New Roman"/>
          <w:color w:val="000000"/>
          <w:sz w:val="20"/>
          <w:szCs w:val="20"/>
        </w:rPr>
        <w:t xml:space="preserve">ence and leading positions, growth opportunities in the markets in which L3 businesses operate, experienced work force and established operating infrastructures. Most of the goodwill related to the L3Harris Merger is nondeductible for tax purposes. </w:t>
      </w:r>
    </w:p>
    <w:p w:rsidR="00000000" w:rsidRDefault="00AE54EE">
      <w:pPr>
        <w:ind w:firstLine="450"/>
        <w:divId w:val="1061290069"/>
        <w:rPr>
          <w:rFonts w:eastAsia="Times New Roman"/>
        </w:rPr>
      </w:pPr>
      <w:r>
        <w:rPr>
          <w:rFonts w:eastAsia="Times New Roman"/>
          <w:color w:val="000000"/>
          <w:sz w:val="20"/>
          <w:szCs w:val="20"/>
        </w:rPr>
        <w:t xml:space="preserve">See </w:t>
      </w:r>
      <w:r>
        <w:rPr>
          <w:rFonts w:eastAsia="Times New Roman"/>
          <w:i/>
          <w:iCs/>
          <w:color w:val="000000"/>
          <w:sz w:val="20"/>
          <w:szCs w:val="20"/>
        </w:rPr>
        <w:t>No</w:t>
      </w:r>
      <w:r>
        <w:rPr>
          <w:rFonts w:eastAsia="Times New Roman"/>
          <w:i/>
          <w:iCs/>
          <w:color w:val="000000"/>
          <w:sz w:val="20"/>
          <w:szCs w:val="20"/>
        </w:rPr>
        <w:t>te 9: Goodwill</w:t>
      </w:r>
      <w:r>
        <w:rPr>
          <w:rFonts w:eastAsia="Times New Roman"/>
          <w:color w:val="000000"/>
          <w:sz w:val="20"/>
          <w:szCs w:val="20"/>
        </w:rPr>
        <w:t xml:space="preserve"> in these Notes for more information regarding the allocation of goodwill by business segment.</w:t>
      </w:r>
    </w:p>
    <w:p w:rsidR="00000000" w:rsidRDefault="00AE54EE">
      <w:pPr>
        <w:ind w:firstLine="450"/>
        <w:divId w:val="1375155799"/>
        <w:rPr>
          <w:rFonts w:eastAsia="Times New Roman"/>
        </w:rPr>
      </w:pPr>
      <w:r>
        <w:rPr>
          <w:rFonts w:eastAsia="Times New Roman"/>
          <w:color w:val="000000"/>
          <w:sz w:val="20"/>
          <w:szCs w:val="20"/>
        </w:rPr>
        <w:t xml:space="preserve">The following table provides further detail of the fair value and weighted-average amortization period of identified intangible assets acquired by </w:t>
      </w:r>
      <w:r>
        <w:rPr>
          <w:rFonts w:eastAsia="Times New Roman"/>
          <w:color w:val="000000"/>
          <w:sz w:val="20"/>
          <w:szCs w:val="20"/>
        </w:rPr>
        <w:t>major intangible asset class:</w:t>
      </w:r>
    </w:p>
    <w:tbl>
      <w:tblPr>
        <w:tblW w:w="5000" w:type="pct"/>
        <w:tblCellMar>
          <w:top w:w="15" w:type="dxa"/>
          <w:left w:w="15" w:type="dxa"/>
          <w:bottom w:w="15" w:type="dxa"/>
          <w:right w:w="15" w:type="dxa"/>
        </w:tblCellMar>
        <w:tblLook w:val="04A0" w:firstRow="1" w:lastRow="0" w:firstColumn="1" w:lastColumn="0" w:noHBand="0" w:noVBand="1"/>
      </w:tblPr>
      <w:tblGrid>
        <w:gridCol w:w="54"/>
        <w:gridCol w:w="5848"/>
        <w:gridCol w:w="37"/>
        <w:gridCol w:w="67"/>
        <w:gridCol w:w="1059"/>
        <w:gridCol w:w="36"/>
        <w:gridCol w:w="36"/>
        <w:gridCol w:w="36"/>
        <w:gridCol w:w="36"/>
        <w:gridCol w:w="120"/>
        <w:gridCol w:w="941"/>
        <w:gridCol w:w="36"/>
      </w:tblGrid>
      <w:tr w:rsidR="00000000">
        <w:trPr>
          <w:divId w:val="1510867952"/>
        </w:trPr>
        <w:tc>
          <w:tcPr>
            <w:tcW w:w="50" w:type="pct"/>
            <w:vAlign w:val="center"/>
            <w:hideMark/>
          </w:tcPr>
          <w:p w:rsidR="00000000" w:rsidRDefault="00AE54EE">
            <w:pPr>
              <w:ind w:firstLine="450"/>
              <w:rPr>
                <w:rFonts w:eastAsia="Times New Roman"/>
              </w:rPr>
            </w:pPr>
          </w:p>
        </w:tc>
        <w:tc>
          <w:tcPr>
            <w:tcW w:w="353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9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510867952"/>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Weighted Average Amortization Period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r>
      <w:tr w:rsidR="00000000">
        <w:trPr>
          <w:divId w:val="1510867952"/>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10867952"/>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E54EE">
            <w:pPr>
              <w:spacing w:after="100"/>
              <w:jc w:val="center"/>
              <w:rPr>
                <w:rFonts w:eastAsia="Times New Roman"/>
              </w:rPr>
            </w:pPr>
            <w:r>
              <w:rPr>
                <w:rFonts w:eastAsia="Times New Roman"/>
                <w:b/>
                <w:bCs/>
                <w:color w:val="000000"/>
                <w:sz w:val="16"/>
                <w:szCs w:val="16"/>
              </w:rPr>
              <w:t>(In years)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E54EE">
            <w:pPr>
              <w:spacing w:after="100"/>
              <w:jc w:val="center"/>
              <w:rPr>
                <w:rFonts w:eastAsia="Times New Roman"/>
              </w:rPr>
            </w:pPr>
            <w:r>
              <w:rPr>
                <w:rFonts w:eastAsia="Times New Roman"/>
                <w:b/>
                <w:bCs/>
                <w:color w:val="000000"/>
                <w:sz w:val="16"/>
                <w:szCs w:val="16"/>
              </w:rPr>
              <w:t>(In millions)</w:t>
            </w:r>
          </w:p>
        </w:tc>
      </w:tr>
      <w:tr w:rsidR="00000000">
        <w:trPr>
          <w:divId w:val="151086795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Identifiable intangible assets acquired:</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10867952"/>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Customer relationships — government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5,082 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10867952"/>
        </w:trPr>
        <w:tc>
          <w:tcPr>
            <w:tcW w:w="0" w:type="auto"/>
            <w:gridSpan w:val="3"/>
            <w:shd w:val="clear" w:color="auto" w:fill="CCEE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Customer relationships — commercial</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10867952"/>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Contract backlog</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1086795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387222875"/>
              <w:rPr>
                <w:rFonts w:eastAsia="Times New Roman"/>
              </w:rPr>
            </w:pPr>
            <w:r>
              <w:rPr>
                <w:rFonts w:eastAsia="Times New Roman"/>
                <w:color w:val="000000"/>
                <w:sz w:val="20"/>
                <w:szCs w:val="20"/>
              </w:rPr>
              <w:t xml:space="preserve">Trade names </w:t>
            </w:r>
            <w:r>
              <w:rPr>
                <w:rFonts w:eastAsia="Times New Roman"/>
                <w:b/>
                <w:bCs/>
                <w:i/>
                <w:iCs/>
                <w:color w:val="000000"/>
                <w:sz w:val="20"/>
                <w:szCs w:val="20"/>
              </w:rPr>
              <w:t>—</w:t>
            </w:r>
            <w:r>
              <w:rPr>
                <w:rFonts w:eastAsia="Times New Roman"/>
                <w:color w:val="000000"/>
                <w:sz w:val="20"/>
                <w:szCs w:val="20"/>
              </w:rPr>
              <w:t xml:space="preserve"> divisions</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9</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10867952"/>
        </w:trPr>
        <w:tc>
          <w:tcPr>
            <w:tcW w:w="0" w:type="auto"/>
            <w:gridSpan w:val="3"/>
            <w:shd w:val="clear" w:color="auto" w:fill="FFFFFF"/>
            <w:tcMar>
              <w:top w:w="30" w:type="dxa"/>
              <w:left w:w="24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Developed technologies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7</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10867952"/>
        </w:trPr>
        <w:tc>
          <w:tcPr>
            <w:tcW w:w="0" w:type="auto"/>
            <w:gridSpan w:val="3"/>
            <w:shd w:val="clear" w:color="auto" w:fill="CCEEFF"/>
            <w:tcMar>
              <w:top w:w="30" w:type="dxa"/>
              <w:left w:w="5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identifiable intangible assets subject to amortization</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6,634 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1086795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608662149"/>
              <w:rPr>
                <w:rFonts w:eastAsia="Times New Roman"/>
              </w:rPr>
            </w:pPr>
            <w:r>
              <w:rPr>
                <w:rFonts w:eastAsia="Times New Roman"/>
                <w:color w:val="000000"/>
                <w:sz w:val="20"/>
                <w:szCs w:val="20"/>
              </w:rPr>
              <w:t xml:space="preserve">Trade names </w:t>
            </w:r>
            <w:r>
              <w:rPr>
                <w:rFonts w:eastAsia="Times New Roman"/>
                <w:b/>
                <w:bCs/>
                <w:i/>
                <w:iCs/>
                <w:color w:val="000000"/>
                <w:sz w:val="20"/>
                <w:szCs w:val="20"/>
              </w:rPr>
              <w:t>—</w:t>
            </w:r>
            <w:r>
              <w:rPr>
                <w:rFonts w:eastAsia="Times New Roman"/>
                <w:color w:val="000000"/>
                <w:sz w:val="20"/>
                <w:szCs w:val="20"/>
              </w:rPr>
              <w:t xml:space="preserve"> corporate</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indefinite</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1086795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In-process research and development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1086795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identifiable intangible assets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359087900"/>
        <w:rPr>
          <w:rFonts w:eastAsia="Times New Roman"/>
        </w:rPr>
      </w:pPr>
      <w:r>
        <w:rPr>
          <w:rFonts w:eastAsia="Times New Roman"/>
          <w:color w:val="000000"/>
          <w:sz w:val="20"/>
          <w:szCs w:val="20"/>
        </w:rPr>
        <w:t>L3Harris Merger-related charges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65"/>
        <w:gridCol w:w="37"/>
        <w:gridCol w:w="121"/>
        <w:gridCol w:w="1033"/>
        <w:gridCol w:w="36"/>
        <w:gridCol w:w="36"/>
        <w:gridCol w:w="36"/>
        <w:gridCol w:w="36"/>
        <w:gridCol w:w="121"/>
        <w:gridCol w:w="901"/>
        <w:gridCol w:w="37"/>
        <w:gridCol w:w="36"/>
        <w:gridCol w:w="36"/>
        <w:gridCol w:w="36"/>
        <w:gridCol w:w="121"/>
        <w:gridCol w:w="789"/>
        <w:gridCol w:w="36"/>
        <w:gridCol w:w="36"/>
        <w:gridCol w:w="36"/>
        <w:gridCol w:w="36"/>
        <w:gridCol w:w="121"/>
        <w:gridCol w:w="789"/>
        <w:gridCol w:w="36"/>
      </w:tblGrid>
      <w:tr w:rsidR="00000000">
        <w:trPr>
          <w:divId w:val="234510054"/>
        </w:trPr>
        <w:tc>
          <w:tcPr>
            <w:tcW w:w="50" w:type="pct"/>
            <w:vAlign w:val="center"/>
            <w:hideMark/>
          </w:tcPr>
          <w:p w:rsidR="00000000" w:rsidRDefault="00AE54EE">
            <w:pPr>
              <w:ind w:firstLine="450"/>
              <w:rPr>
                <w:rFonts w:eastAsia="Times New Roman"/>
              </w:rPr>
            </w:pPr>
          </w:p>
        </w:tc>
        <w:tc>
          <w:tcPr>
            <w:tcW w:w="230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5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4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4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234510054"/>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23451005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234510054"/>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3451005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Equity award acceleration charges, recognized upon change in control</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3451005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Transaction costs, recognized as incurred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3451005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Additional cost of sales related to the fair value step-up in inventory sold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3451005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Restructuring charges, recognized as incurred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3451005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Facility consolidation costs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3451005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Integration costs, recognized as incurred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3451005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L3Harris Merger-related charges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546941327"/>
        <w:rPr>
          <w:rFonts w:eastAsia="Times New Roman"/>
        </w:rPr>
      </w:pPr>
      <w:r>
        <w:rPr>
          <w:rFonts w:eastAsia="Times New Roman"/>
          <w:color w:val="000000"/>
          <w:sz w:val="20"/>
          <w:szCs w:val="20"/>
        </w:rPr>
        <w:t>Becaus</w:t>
      </w:r>
      <w:r>
        <w:rPr>
          <w:rFonts w:eastAsia="Times New Roman"/>
          <w:color w:val="000000"/>
          <w:sz w:val="20"/>
          <w:szCs w:val="20"/>
        </w:rPr>
        <w:t>e the L3Harris Merger benefited the entire Company as opposed to any individual business segment, the above costs were not allocated to any business segment. Most of the costs above were recorded in the “Engineering, selling and administrative expenses” li</w:t>
      </w:r>
      <w:r>
        <w:rPr>
          <w:rFonts w:eastAsia="Times New Roman"/>
          <w:color w:val="000000"/>
          <w:sz w:val="20"/>
          <w:szCs w:val="20"/>
        </w:rPr>
        <w:t>ne item in our Consolidated Statement of Income, except for additional cost of sales related to the fair value step-up in inventory sold, which is included in the “Cost of product sales and services” line item in our Consolidated Statement of Income and fa</w:t>
      </w:r>
      <w:r>
        <w:rPr>
          <w:rFonts w:eastAsia="Times New Roman"/>
          <w:color w:val="000000"/>
          <w:sz w:val="20"/>
          <w:szCs w:val="20"/>
        </w:rPr>
        <w:t>cility consolidation costs, the majority of which is included in the “Impairment of goodwill and other assets” line item in our Consolidated Statement of Income.</w:t>
      </w:r>
    </w:p>
    <w:p w:rsidR="00000000" w:rsidRDefault="00AE54EE">
      <w:pPr>
        <w:ind w:firstLine="450"/>
        <w:jc w:val="center"/>
        <w:divId w:val="1902205529"/>
        <w:rPr>
          <w:rFonts w:eastAsia="Times New Roman"/>
        </w:rPr>
      </w:pPr>
      <w:r>
        <w:rPr>
          <w:rFonts w:eastAsia="Times New Roman"/>
          <w:color w:val="000000"/>
          <w:sz w:val="20"/>
          <w:szCs w:val="20"/>
        </w:rPr>
        <w:t>86</w:t>
      </w:r>
    </w:p>
    <w:p w:rsidR="00000000" w:rsidRDefault="00AE54EE">
      <w:pPr>
        <w:rPr>
          <w:rFonts w:eastAsia="Times New Roman"/>
        </w:rPr>
      </w:pPr>
      <w:r>
        <w:rPr>
          <w:rFonts w:eastAsia="Times New Roman"/>
        </w:rPr>
        <w:pict>
          <v:rect id="_x0000_i1114" style="width:0;height:1.5pt" o:hralign="center" o:hrstd="t" o:hr="t" fillcolor="#a0a0a0" stroked="f"/>
        </w:pict>
      </w:r>
    </w:p>
    <w:p w:rsidR="00000000" w:rsidRDefault="00AE54EE">
      <w:pPr>
        <w:ind w:firstLine="450"/>
        <w:divId w:val="645285994"/>
        <w:rPr>
          <w:rFonts w:eastAsia="Times New Roman"/>
        </w:rPr>
      </w:pPr>
    </w:p>
    <w:p w:rsidR="00000000" w:rsidRDefault="00AE54EE">
      <w:pPr>
        <w:divId w:val="1877966365"/>
        <w:rPr>
          <w:rFonts w:eastAsia="Times New Roman"/>
        </w:rPr>
      </w:pPr>
      <w:r>
        <w:rPr>
          <w:rFonts w:eastAsia="Times New Roman"/>
          <w:b/>
          <w:bCs/>
          <w:color w:val="000000"/>
          <w:sz w:val="20"/>
          <w:szCs w:val="20"/>
        </w:rPr>
        <w:t>Pro Forma Results</w:t>
      </w:r>
    </w:p>
    <w:p w:rsidR="00000000" w:rsidRDefault="00AE54EE">
      <w:pPr>
        <w:ind w:firstLine="450"/>
        <w:divId w:val="1080560246"/>
        <w:rPr>
          <w:rFonts w:eastAsia="Times New Roman"/>
        </w:rPr>
      </w:pPr>
      <w:r>
        <w:rPr>
          <w:rFonts w:eastAsia="Times New Roman"/>
          <w:color w:val="000000"/>
          <w:sz w:val="20"/>
          <w:szCs w:val="20"/>
        </w:rPr>
        <w:t>The following unaudited consolidated pro forma results of operations for the four quarters ended January 3, 2020 combines reported results for the two quarters ended January 3, 2020 with the pro forma results for the two quarters ended June 28, 2019. The p</w:t>
      </w:r>
      <w:r>
        <w:rPr>
          <w:rFonts w:eastAsia="Times New Roman"/>
          <w:color w:val="000000"/>
          <w:sz w:val="20"/>
          <w:szCs w:val="20"/>
        </w:rPr>
        <w:t>ro forma results for the two quarters ended June 28, 2019 were prepared on a pro forma basis, as if the L3Harris Merger had been completed on June 30, 2018, the first day of Harris’ fiscal 2019, after including any post-merger adjustments directly attribut</w:t>
      </w:r>
      <w:r>
        <w:rPr>
          <w:rFonts w:eastAsia="Times New Roman"/>
          <w:color w:val="000000"/>
          <w:sz w:val="20"/>
          <w:szCs w:val="20"/>
        </w:rPr>
        <w:t xml:space="preserve">able to the L3Harris Merger, such as the sale of the Harris Night Vision business, and after including the impact of adjustments such as amortization of identifiable intangible assets, as well as the related income tax effects. This pro forma presentation </w:t>
      </w:r>
      <w:r>
        <w:rPr>
          <w:rFonts w:eastAsia="Times New Roman"/>
          <w:color w:val="000000"/>
          <w:sz w:val="20"/>
          <w:szCs w:val="20"/>
        </w:rPr>
        <w:t>does not include any impact of transaction synergies. The pro forma results are not necessarily indicative of our results of operations that actually would have been obtained had the L3Harris Merger been completed on the assumed date or for the period pres</w:t>
      </w:r>
      <w:r>
        <w:rPr>
          <w:rFonts w:eastAsia="Times New Roman"/>
          <w:color w:val="000000"/>
          <w:sz w:val="20"/>
          <w:szCs w:val="20"/>
        </w:rPr>
        <w:t>ented, or which may be realized in the future.</w:t>
      </w:r>
    </w:p>
    <w:tbl>
      <w:tblPr>
        <w:tblW w:w="5000" w:type="pct"/>
        <w:tblCellMar>
          <w:top w:w="15" w:type="dxa"/>
          <w:left w:w="15" w:type="dxa"/>
          <w:bottom w:w="15" w:type="dxa"/>
          <w:right w:w="15" w:type="dxa"/>
        </w:tblCellMar>
        <w:tblLook w:val="04A0" w:firstRow="1" w:lastRow="0" w:firstColumn="1" w:lastColumn="0" w:noHBand="0" w:noVBand="1"/>
      </w:tblPr>
      <w:tblGrid>
        <w:gridCol w:w="40"/>
        <w:gridCol w:w="5560"/>
        <w:gridCol w:w="38"/>
        <w:gridCol w:w="120"/>
        <w:gridCol w:w="1141"/>
        <w:gridCol w:w="36"/>
        <w:gridCol w:w="36"/>
        <w:gridCol w:w="36"/>
        <w:gridCol w:w="36"/>
        <w:gridCol w:w="121"/>
        <w:gridCol w:w="1106"/>
        <w:gridCol w:w="36"/>
      </w:tblGrid>
      <w:tr w:rsidR="00000000">
        <w:trPr>
          <w:divId w:val="625814424"/>
        </w:trPr>
        <w:tc>
          <w:tcPr>
            <w:tcW w:w="50" w:type="pct"/>
            <w:vAlign w:val="center"/>
            <w:hideMark/>
          </w:tcPr>
          <w:p w:rsidR="00000000" w:rsidRDefault="00AE54EE">
            <w:pPr>
              <w:ind w:firstLine="450"/>
              <w:rPr>
                <w:rFonts w:eastAsia="Times New Roman"/>
              </w:rPr>
            </w:pPr>
          </w:p>
        </w:tc>
        <w:tc>
          <w:tcPr>
            <w:tcW w:w="337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1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1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625814424"/>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Four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r>
      <w:tr w:rsidR="00000000">
        <w:trPr>
          <w:divId w:val="62581442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28, 2018</w:t>
            </w:r>
          </w:p>
        </w:tc>
      </w:tr>
      <w:tr w:rsidR="00000000">
        <w:trPr>
          <w:divId w:val="625814424"/>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2581442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Revenue from product sales and services — as reported</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12,856 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3,208 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2581442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Revenue from product sales and services — pro forma</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18,097 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8,404 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2581442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from continuing operations — as reported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2581442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from continuing operations — pro forma</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1,652 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1838958243"/>
        <w:rPr>
          <w:rFonts w:eastAsia="Times New Roman"/>
        </w:rPr>
      </w:pPr>
      <w:r>
        <w:rPr>
          <w:rFonts w:eastAsia="Times New Roman"/>
          <w:b/>
          <w:bCs/>
          <w:color w:val="000000"/>
          <w:sz w:val="20"/>
          <w:szCs w:val="20"/>
        </w:rPr>
        <w:t>NOTE 5: RECEIVABLES, NET</w:t>
      </w:r>
      <w:r>
        <w:rPr>
          <w:rFonts w:eastAsia="Times New Roman"/>
          <w:b/>
          <w:bCs/>
          <w:i/>
          <w:iCs/>
          <w:color w:val="000000"/>
          <w:sz w:val="20"/>
          <w:szCs w:val="20"/>
        </w:rPr>
        <w:t xml:space="preserve"> </w:t>
      </w:r>
    </w:p>
    <w:p w:rsidR="00000000" w:rsidRDefault="00AE54EE">
      <w:pPr>
        <w:ind w:firstLine="450"/>
        <w:divId w:val="1776048798"/>
        <w:rPr>
          <w:rFonts w:eastAsia="Times New Roman"/>
        </w:rPr>
      </w:pPr>
      <w:r>
        <w:rPr>
          <w:rFonts w:eastAsia="Times New Roman"/>
          <w:color w:val="000000"/>
          <w:sz w:val="20"/>
          <w:szCs w:val="20"/>
        </w:rPr>
        <w:t>Receivables,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7"/>
        <w:gridCol w:w="121"/>
        <w:gridCol w:w="1049"/>
        <w:gridCol w:w="36"/>
        <w:gridCol w:w="36"/>
        <w:gridCol w:w="36"/>
        <w:gridCol w:w="36"/>
        <w:gridCol w:w="120"/>
        <w:gridCol w:w="1011"/>
        <w:gridCol w:w="36"/>
        <w:gridCol w:w="36"/>
        <w:gridCol w:w="36"/>
      </w:tblGrid>
      <w:tr w:rsidR="00000000">
        <w:trPr>
          <w:divId w:val="221989186"/>
        </w:trPr>
        <w:tc>
          <w:tcPr>
            <w:tcW w:w="50" w:type="pct"/>
            <w:vAlign w:val="center"/>
            <w:hideMark/>
          </w:tcPr>
          <w:p w:rsidR="00000000" w:rsidRDefault="00AE54EE">
            <w:pPr>
              <w:ind w:firstLine="450"/>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2198918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221989186"/>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21989186"/>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Accounts receivable</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1,369 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21989186"/>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Less: allowances for collection losses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2198918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Receivables,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ind w:firstLine="450"/>
        <w:divId w:val="92173463"/>
        <w:rPr>
          <w:rFonts w:eastAsia="Times New Roman"/>
        </w:rPr>
      </w:pPr>
      <w:r>
        <w:rPr>
          <w:rFonts w:eastAsia="Times New Roman"/>
          <w:color w:val="000000"/>
          <w:sz w:val="20"/>
          <w:szCs w:val="20"/>
        </w:rPr>
        <w:t>We have two receivables sale agreements (“RSAs”</w:t>
      </w:r>
      <w:r>
        <w:rPr>
          <w:rFonts w:eastAsia="Times New Roman"/>
          <w:color w:val="000000"/>
          <w:sz w:val="20"/>
          <w:szCs w:val="20"/>
        </w:rPr>
        <w:t>) with two separate third-party financial institutions that permit us to sell, on a non-recourse basis, up to $100 million each of outstanding receivables at any given time. From time to time, we have sold certain customer receivables under the RSAs, which</w:t>
      </w:r>
      <w:r>
        <w:rPr>
          <w:rFonts w:eastAsia="Times New Roman"/>
          <w:color w:val="000000"/>
          <w:sz w:val="20"/>
          <w:szCs w:val="20"/>
        </w:rPr>
        <w:t xml:space="preserve"> we continue to service and collect on behalf of the third-party financial institutions and which we account for as sales of receivables with sale proceeds included in net cash from operating activities. Outstanding accounts receivable sold pursuant to the</w:t>
      </w:r>
      <w:r>
        <w:rPr>
          <w:rFonts w:eastAsia="Times New Roman"/>
          <w:color w:val="000000"/>
          <w:sz w:val="20"/>
          <w:szCs w:val="20"/>
        </w:rPr>
        <w:t xml:space="preserve"> RSAs were $99.9 million at December 31, 2021, for net cash proceeds of $99.8 million. We did not have outstanding accounts receivable sold pursuant to the RSAs at January 1, 2021.</w:t>
      </w:r>
    </w:p>
    <w:p w:rsidR="00000000" w:rsidRDefault="00AE54EE">
      <w:pPr>
        <w:divId w:val="1766995559"/>
        <w:rPr>
          <w:rFonts w:eastAsia="Times New Roman"/>
        </w:rPr>
      </w:pPr>
      <w:r>
        <w:rPr>
          <w:rFonts w:eastAsia="Times New Roman"/>
          <w:b/>
          <w:bCs/>
          <w:color w:val="000000"/>
          <w:sz w:val="20"/>
          <w:szCs w:val="20"/>
        </w:rPr>
        <w:t>NOTE 6: CONTRACT ASSETS AND CONTRACT LIABILITIES</w:t>
      </w:r>
      <w:r>
        <w:rPr>
          <w:rFonts w:eastAsia="Times New Roman"/>
          <w:b/>
          <w:bCs/>
          <w:i/>
          <w:iCs/>
          <w:color w:val="000000"/>
          <w:sz w:val="20"/>
          <w:szCs w:val="20"/>
        </w:rPr>
        <w:t xml:space="preserve"> </w:t>
      </w:r>
    </w:p>
    <w:p w:rsidR="00000000" w:rsidRDefault="00AE54EE">
      <w:pPr>
        <w:ind w:firstLine="450"/>
        <w:divId w:val="893976978"/>
        <w:rPr>
          <w:rFonts w:eastAsia="Times New Roman"/>
        </w:rPr>
      </w:pPr>
      <w:r>
        <w:rPr>
          <w:rFonts w:eastAsia="Times New Roman"/>
          <w:color w:val="000000"/>
          <w:sz w:val="20"/>
          <w:szCs w:val="20"/>
        </w:rPr>
        <w:t>Contract assets include unbilled amounts typically resulting from revenue recognized exceeding amounts billed to customers for contracts utilizing the POC cost-to-cost revenue recognition method. We bill cu</w:t>
      </w:r>
      <w:r>
        <w:rPr>
          <w:rFonts w:eastAsia="Times New Roman"/>
          <w:color w:val="000000"/>
          <w:sz w:val="20"/>
          <w:szCs w:val="20"/>
        </w:rPr>
        <w:t>stomers as work progresses in accordance with agreed-upon contractual terms, either at periodic intervals, upon achievement of contractual milestones or upon deliveries and, in certain arrangements, the customer may withhold payment of a small portion of t</w:t>
      </w:r>
      <w:r>
        <w:rPr>
          <w:rFonts w:eastAsia="Times New Roman"/>
          <w:color w:val="000000"/>
          <w:sz w:val="20"/>
          <w:szCs w:val="20"/>
        </w:rPr>
        <w:t>he contract price until contract completion. Contract liabilities include advance payments and billings in excess of revenue recognized, including deferred revenue associated with extended product warranties. Contract assets and liabilities are reported on</w:t>
      </w:r>
      <w:r>
        <w:rPr>
          <w:rFonts w:eastAsia="Times New Roman"/>
          <w:color w:val="000000"/>
          <w:sz w:val="20"/>
          <w:szCs w:val="20"/>
        </w:rPr>
        <w:t xml:space="preserve"> a contract-by-contract basis at the end of each reporting period. </w:t>
      </w:r>
    </w:p>
    <w:p w:rsidR="00000000" w:rsidRDefault="00AE54EE">
      <w:pPr>
        <w:ind w:firstLine="450"/>
        <w:divId w:val="1084567102"/>
        <w:rPr>
          <w:rFonts w:eastAsia="Times New Roman"/>
        </w:rPr>
      </w:pPr>
      <w:r>
        <w:rPr>
          <w:rFonts w:eastAsia="Times New Roman"/>
          <w:color w:val="000000"/>
          <w:sz w:val="20"/>
          <w:szCs w:val="20"/>
        </w:rPr>
        <w:t>Contract assets and liabilities in fiscal 2021 were impacted primarily by divestitures, accelerated progress payments due to the U.S. Government’s temporary increase in the progress paymen</w:t>
      </w:r>
      <w:r>
        <w:rPr>
          <w:rFonts w:eastAsia="Times New Roman"/>
          <w:color w:val="000000"/>
          <w:sz w:val="20"/>
          <w:szCs w:val="20"/>
        </w:rPr>
        <w:t>t rate from 80 percent to 90 percent and the timing of contractual billing milestones. The increase in contract assets from January 1, 2021 to December 31, 2021 is primarily attributable to a $323 million increase in unbilled contract receivables associate</w:t>
      </w:r>
      <w:r>
        <w:rPr>
          <w:rFonts w:eastAsia="Times New Roman"/>
          <w:color w:val="000000"/>
          <w:sz w:val="20"/>
          <w:szCs w:val="20"/>
        </w:rPr>
        <w:t>d with an aircraft missionization program within our Integrated Mission Systems segment.</w:t>
      </w:r>
    </w:p>
    <w:p w:rsidR="00000000" w:rsidRDefault="00AE54EE">
      <w:pPr>
        <w:ind w:firstLine="450"/>
        <w:jc w:val="both"/>
        <w:divId w:val="224875820"/>
        <w:rPr>
          <w:rFonts w:eastAsia="Times New Roman"/>
        </w:rPr>
      </w:pPr>
      <w:r>
        <w:rPr>
          <w:rFonts w:eastAsia="Times New Roman"/>
          <w:color w:val="000000"/>
          <w:sz w:val="20"/>
          <w:szCs w:val="20"/>
        </w:rPr>
        <w:t>Contract assets and contract liabilities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6"/>
        <w:gridCol w:w="38"/>
        <w:gridCol w:w="121"/>
        <w:gridCol w:w="1049"/>
        <w:gridCol w:w="36"/>
        <w:gridCol w:w="36"/>
        <w:gridCol w:w="36"/>
        <w:gridCol w:w="36"/>
        <w:gridCol w:w="120"/>
        <w:gridCol w:w="1011"/>
        <w:gridCol w:w="36"/>
        <w:gridCol w:w="36"/>
        <w:gridCol w:w="36"/>
      </w:tblGrid>
      <w:tr w:rsidR="00000000">
        <w:trPr>
          <w:divId w:val="1874878735"/>
        </w:trPr>
        <w:tc>
          <w:tcPr>
            <w:tcW w:w="50" w:type="pct"/>
            <w:vAlign w:val="center"/>
            <w:hideMark/>
          </w:tcPr>
          <w:p w:rsidR="00000000" w:rsidRDefault="00AE54EE">
            <w:pPr>
              <w:ind w:firstLine="450"/>
              <w:jc w:val="both"/>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874878735"/>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874878735"/>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874878735"/>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Contract assets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2,437 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874878735"/>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(1,198)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874878735"/>
        </w:trPr>
        <w:tc>
          <w:tcPr>
            <w:tcW w:w="0" w:type="auto"/>
            <w:gridSpan w:val="3"/>
            <w:shd w:val="clear" w:color="auto" w:fill="CCEEFF"/>
            <w:tcMar>
              <w:top w:w="30" w:type="dxa"/>
              <w:left w:w="20" w:type="dxa"/>
              <w:bottom w:w="30" w:type="dxa"/>
              <w:right w:w="20" w:type="dxa"/>
            </w:tcMar>
            <w:hideMark/>
          </w:tcPr>
          <w:p w:rsidR="00000000" w:rsidRDefault="00AE54EE">
            <w:pPr>
              <w:spacing w:after="100"/>
              <w:divId w:val="482434737"/>
              <w:rPr>
                <w:rFonts w:eastAsia="Times New Roman"/>
              </w:rPr>
            </w:pPr>
            <w:r>
              <w:rPr>
                <w:rFonts w:eastAsia="Times New Roman"/>
                <w:color w:val="000000"/>
                <w:sz w:val="20"/>
                <w:szCs w:val="20"/>
              </w:rPr>
              <w:t>Contract liabilities, non-curren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874878735"/>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contract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divId w:val="859513863"/>
        <w:rPr>
          <w:rFonts w:eastAsia="Times New Roman"/>
        </w:rPr>
      </w:pPr>
      <w:r>
        <w:rPr>
          <w:rFonts w:eastAsia="Times New Roman"/>
          <w:color w:val="000000"/>
          <w:sz w:val="16"/>
          <w:szCs w:val="16"/>
        </w:rPr>
        <w:t>_______________</w:t>
      </w:r>
    </w:p>
    <w:p w:rsidR="00000000" w:rsidRDefault="00AE54EE">
      <w:pPr>
        <w:ind w:hanging="360"/>
        <w:divId w:val="908461178"/>
        <w:rPr>
          <w:rFonts w:eastAsia="Times New Roman"/>
        </w:rPr>
      </w:pPr>
      <w:r>
        <w:rPr>
          <w:rFonts w:eastAsia="Times New Roman"/>
          <w:color w:val="000000"/>
          <w:sz w:val="16"/>
          <w:szCs w:val="16"/>
        </w:rPr>
        <w:t>(1)The non-current portion of contract liabilities is included as a component of the “Other long-term liabilities” line item in our Consolidated Balance Sheet.</w:t>
      </w:r>
    </w:p>
    <w:p w:rsidR="00000000" w:rsidRDefault="00AE54EE">
      <w:pPr>
        <w:ind w:firstLine="450"/>
        <w:jc w:val="both"/>
        <w:divId w:val="981688619"/>
        <w:rPr>
          <w:rFonts w:eastAsia="Times New Roman"/>
        </w:rPr>
      </w:pPr>
      <w:r>
        <w:rPr>
          <w:rFonts w:eastAsia="Times New Roman"/>
          <w:color w:val="000000"/>
          <w:sz w:val="20"/>
          <w:szCs w:val="20"/>
        </w:rPr>
        <w:t>The components of contract assets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7"/>
        <w:gridCol w:w="121"/>
        <w:gridCol w:w="1049"/>
        <w:gridCol w:w="36"/>
        <w:gridCol w:w="36"/>
        <w:gridCol w:w="36"/>
        <w:gridCol w:w="36"/>
        <w:gridCol w:w="120"/>
        <w:gridCol w:w="1011"/>
        <w:gridCol w:w="36"/>
        <w:gridCol w:w="36"/>
        <w:gridCol w:w="36"/>
      </w:tblGrid>
      <w:tr w:rsidR="00000000">
        <w:trPr>
          <w:divId w:val="692997006"/>
        </w:trPr>
        <w:tc>
          <w:tcPr>
            <w:tcW w:w="50" w:type="pct"/>
            <w:vAlign w:val="center"/>
            <w:hideMark/>
          </w:tcPr>
          <w:p w:rsidR="00000000" w:rsidRDefault="00AE54EE">
            <w:pPr>
              <w:ind w:firstLine="450"/>
              <w:jc w:val="both"/>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9299700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692997006"/>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92997006"/>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Unbilled contract receivables, gross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92997006"/>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Unliquidated progress payments and advances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692997006"/>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Contract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ind w:firstLine="450"/>
        <w:divId w:val="560211379"/>
        <w:rPr>
          <w:rFonts w:eastAsia="Times New Roman"/>
        </w:rPr>
      </w:pPr>
      <w:r>
        <w:rPr>
          <w:rFonts w:eastAsia="Times New Roman"/>
          <w:color w:val="000000"/>
          <w:sz w:val="20"/>
          <w:szCs w:val="20"/>
        </w:rPr>
        <w:t xml:space="preserve">Impairment losses related to our contract assets were not material in fiscal 2021, fiscal 2020, the two quarters ended January 3, 2020, or fiscal 2019. In fiscal 2021, fiscal 2020, the two quarters ended January 3, 2020 and fiscal 2019, we recognized $930 </w:t>
      </w:r>
      <w:r>
        <w:rPr>
          <w:rFonts w:eastAsia="Times New Roman"/>
          <w:color w:val="000000"/>
          <w:sz w:val="20"/>
          <w:szCs w:val="20"/>
        </w:rPr>
        <w:t>million, $974 million, $776 million and $287 million, respectively</w:t>
      </w:r>
      <w:r>
        <w:rPr>
          <w:rFonts w:eastAsia="Times New Roman"/>
          <w:b/>
          <w:bCs/>
          <w:color w:val="000000"/>
          <w:sz w:val="20"/>
          <w:szCs w:val="20"/>
        </w:rPr>
        <w:t xml:space="preserve">, </w:t>
      </w:r>
      <w:r>
        <w:rPr>
          <w:rFonts w:eastAsia="Times New Roman"/>
          <w:color w:val="000000"/>
          <w:sz w:val="20"/>
          <w:szCs w:val="20"/>
        </w:rPr>
        <w:t xml:space="preserve">of revenue related to contract liabilities that were outstanding at the end of the respective prior fiscal year. </w:t>
      </w:r>
    </w:p>
    <w:p w:rsidR="00000000" w:rsidRDefault="00AE54EE">
      <w:pPr>
        <w:divId w:val="1480145377"/>
        <w:rPr>
          <w:rFonts w:eastAsia="Times New Roman"/>
        </w:rPr>
      </w:pPr>
      <w:r>
        <w:rPr>
          <w:rFonts w:eastAsia="Times New Roman"/>
          <w:b/>
          <w:bCs/>
          <w:color w:val="000000"/>
          <w:sz w:val="20"/>
          <w:szCs w:val="20"/>
        </w:rPr>
        <w:t>NOTE 7: INVENTORIES</w:t>
      </w:r>
      <w:r>
        <w:rPr>
          <w:rFonts w:eastAsia="Times New Roman"/>
          <w:b/>
          <w:bCs/>
          <w:i/>
          <w:iCs/>
          <w:color w:val="000000"/>
          <w:sz w:val="20"/>
          <w:szCs w:val="20"/>
        </w:rPr>
        <w:t xml:space="preserve"> </w:t>
      </w:r>
    </w:p>
    <w:p w:rsidR="00000000" w:rsidRDefault="00AE54EE">
      <w:pPr>
        <w:ind w:firstLine="450"/>
        <w:divId w:val="1936672281"/>
        <w:rPr>
          <w:rFonts w:eastAsia="Times New Roman"/>
        </w:rPr>
      </w:pPr>
      <w:r>
        <w:rPr>
          <w:rFonts w:eastAsia="Times New Roman"/>
          <w:color w:val="000000"/>
          <w:sz w:val="20"/>
          <w:szCs w:val="20"/>
        </w:rPr>
        <w:t>Inventories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5"/>
        <w:gridCol w:w="38"/>
        <w:gridCol w:w="121"/>
        <w:gridCol w:w="1049"/>
        <w:gridCol w:w="36"/>
        <w:gridCol w:w="36"/>
        <w:gridCol w:w="36"/>
        <w:gridCol w:w="36"/>
        <w:gridCol w:w="121"/>
        <w:gridCol w:w="1011"/>
        <w:gridCol w:w="36"/>
        <w:gridCol w:w="36"/>
        <w:gridCol w:w="36"/>
      </w:tblGrid>
      <w:tr w:rsidR="00000000">
        <w:trPr>
          <w:divId w:val="1974599914"/>
        </w:trPr>
        <w:tc>
          <w:tcPr>
            <w:tcW w:w="50" w:type="pct"/>
            <w:vAlign w:val="center"/>
            <w:hideMark/>
          </w:tcPr>
          <w:p w:rsidR="00000000" w:rsidRDefault="00AE54EE">
            <w:pPr>
              <w:ind w:firstLine="450"/>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97459991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974599914"/>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974599914"/>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Finished products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974599914"/>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974599914"/>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Raw materials and supplies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97459991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divId w:val="545727886"/>
        <w:rPr>
          <w:rFonts w:eastAsia="Times New Roman"/>
        </w:rPr>
      </w:pPr>
      <w:r>
        <w:rPr>
          <w:rFonts w:eastAsia="Times New Roman"/>
          <w:b/>
          <w:bCs/>
          <w:color w:val="000000"/>
          <w:sz w:val="20"/>
          <w:szCs w:val="20"/>
        </w:rPr>
        <w:t>NOTE 8: PROPERTY, PLANT AND EQUIPMENT, NET</w:t>
      </w:r>
      <w:r>
        <w:rPr>
          <w:rFonts w:eastAsia="Times New Roman"/>
          <w:b/>
          <w:bCs/>
          <w:i/>
          <w:iCs/>
          <w:color w:val="000000"/>
          <w:sz w:val="20"/>
          <w:szCs w:val="20"/>
        </w:rPr>
        <w:t xml:space="preserve"> </w:t>
      </w:r>
    </w:p>
    <w:p w:rsidR="00000000" w:rsidRDefault="00AE54EE">
      <w:pPr>
        <w:ind w:firstLine="450"/>
        <w:divId w:val="1477642328"/>
        <w:rPr>
          <w:rFonts w:eastAsia="Times New Roman"/>
        </w:rPr>
      </w:pPr>
      <w:r>
        <w:rPr>
          <w:rFonts w:eastAsia="Times New Roman"/>
          <w:color w:val="000000"/>
          <w:sz w:val="20"/>
          <w:szCs w:val="20"/>
        </w:rPr>
        <w:t>Property, plant and equipment,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7"/>
        <w:gridCol w:w="121"/>
        <w:gridCol w:w="1049"/>
        <w:gridCol w:w="36"/>
        <w:gridCol w:w="36"/>
        <w:gridCol w:w="36"/>
        <w:gridCol w:w="36"/>
        <w:gridCol w:w="120"/>
        <w:gridCol w:w="1011"/>
        <w:gridCol w:w="36"/>
        <w:gridCol w:w="36"/>
        <w:gridCol w:w="36"/>
      </w:tblGrid>
      <w:tr w:rsidR="00000000">
        <w:trPr>
          <w:divId w:val="2081248009"/>
        </w:trPr>
        <w:tc>
          <w:tcPr>
            <w:tcW w:w="50" w:type="pct"/>
            <w:vAlign w:val="center"/>
            <w:hideMark/>
          </w:tcPr>
          <w:p w:rsidR="00000000" w:rsidRDefault="00AE54EE">
            <w:pPr>
              <w:ind w:firstLine="450"/>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81248009"/>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2081248009"/>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81248009"/>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81248009"/>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Software capitalized for internal use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81248009"/>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Buildings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1,236 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1,097 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81248009"/>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Machinery and equipment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2,177 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2,265 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81248009"/>
        </w:trPr>
        <w:tc>
          <w:tcPr>
            <w:tcW w:w="0" w:type="auto"/>
            <w:gridSpan w:val="3"/>
            <w:shd w:val="clear" w:color="auto" w:fill="CCEEFF"/>
            <w:tcMar>
              <w:top w:w="0" w:type="dxa"/>
              <w:left w:w="14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81248009"/>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Less: accumulated 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(1,967)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(1,767)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08124800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Property, plant and equipment,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ind w:firstLine="450"/>
        <w:divId w:val="668598758"/>
        <w:rPr>
          <w:rFonts w:eastAsia="Times New Roman"/>
        </w:rPr>
      </w:pPr>
      <w:r>
        <w:rPr>
          <w:rFonts w:eastAsia="Times New Roman"/>
          <w:color w:val="000000"/>
          <w:sz w:val="20"/>
          <w:szCs w:val="20"/>
        </w:rPr>
        <w:t>Depreciation and amortization expense related to property, plant and equipment was $343 million, $318 million, $157 million and $138 million in fiscal 2021, fiscal 2020, the two quarters ended January 3, 2020 and fiscal 2019, respectively.</w:t>
      </w:r>
    </w:p>
    <w:p w:rsidR="00000000" w:rsidRDefault="00AE54EE">
      <w:pPr>
        <w:ind w:firstLine="450"/>
        <w:divId w:val="1306545955"/>
        <w:rPr>
          <w:rFonts w:eastAsia="Times New Roman"/>
        </w:rPr>
      </w:pPr>
      <w:r>
        <w:rPr>
          <w:rFonts w:eastAsia="Times New Roman"/>
          <w:color w:val="000000"/>
          <w:sz w:val="20"/>
          <w:szCs w:val="20"/>
        </w:rPr>
        <w:t xml:space="preserve">As discussed in more detail in </w:t>
      </w:r>
      <w:r>
        <w:rPr>
          <w:rFonts w:eastAsia="Times New Roman"/>
          <w:i/>
          <w:iCs/>
          <w:color w:val="000000"/>
          <w:sz w:val="20"/>
          <w:szCs w:val="20"/>
        </w:rPr>
        <w:t>Note 10: Intangible Assets</w:t>
      </w:r>
      <w:r>
        <w:rPr>
          <w:rFonts w:eastAsia="Times New Roman"/>
          <w:color w:val="000000"/>
          <w:sz w:val="20"/>
          <w:szCs w:val="20"/>
        </w:rPr>
        <w:t xml:space="preserve"> in these Notes, in conjunction with, and in advance of, the tests of goodwill related to our Commercial Training Solutions reporting unit (“CTS reporting unit”), we recorded an $82 million non-cash </w:t>
      </w:r>
      <w:r>
        <w:rPr>
          <w:rFonts w:eastAsia="Times New Roman"/>
          <w:color w:val="000000"/>
          <w:sz w:val="20"/>
          <w:szCs w:val="20"/>
        </w:rPr>
        <w:t>impairment charge for long-lived assets, consisting of $19 million, $56 million and $7 million of impairment charges for right-of-use assets, property, plant and equipment and marketable software, respectively, which is included in the “Impairment of goodw</w:t>
      </w:r>
      <w:r>
        <w:rPr>
          <w:rFonts w:eastAsia="Times New Roman"/>
          <w:color w:val="000000"/>
          <w:sz w:val="20"/>
          <w:szCs w:val="20"/>
        </w:rPr>
        <w:t>ill and other assets” line item in our Consolidated Statement of Income for fiscal 2021.</w:t>
      </w:r>
    </w:p>
    <w:p w:rsidR="00000000" w:rsidRDefault="00AE54EE">
      <w:pPr>
        <w:ind w:firstLine="450"/>
        <w:divId w:val="24870900"/>
        <w:rPr>
          <w:rFonts w:eastAsia="Times New Roman"/>
        </w:rPr>
      </w:pPr>
      <w:r>
        <w:rPr>
          <w:rFonts w:eastAsia="Times New Roman"/>
          <w:color w:val="000000"/>
          <w:sz w:val="20"/>
          <w:szCs w:val="20"/>
        </w:rPr>
        <w:t xml:space="preserve">In fiscal 2020, as discussed in more detail in </w:t>
      </w:r>
      <w:r>
        <w:rPr>
          <w:rFonts w:eastAsia="Times New Roman"/>
          <w:i/>
          <w:iCs/>
          <w:color w:val="000000"/>
          <w:sz w:val="20"/>
          <w:szCs w:val="20"/>
        </w:rPr>
        <w:t>Note 10: Intangible Assets</w:t>
      </w:r>
      <w:r>
        <w:rPr>
          <w:rFonts w:eastAsia="Times New Roman"/>
          <w:color w:val="000000"/>
          <w:sz w:val="20"/>
          <w:szCs w:val="20"/>
        </w:rPr>
        <w:t xml:space="preserve"> in these Notes, in conjunction with, and in advance of, the tests of goodwill related to our </w:t>
      </w:r>
      <w:r>
        <w:rPr>
          <w:rFonts w:eastAsia="Times New Roman"/>
          <w:color w:val="000000"/>
          <w:sz w:val="20"/>
          <w:szCs w:val="20"/>
        </w:rPr>
        <w:t xml:space="preserve">Commercial Aviation Solutions reporting unit, we recorded a $257 million non-cash </w:t>
      </w:r>
    </w:p>
    <w:p w:rsidR="00000000" w:rsidRDefault="00AE54EE">
      <w:pPr>
        <w:ind w:firstLine="450"/>
        <w:jc w:val="center"/>
        <w:divId w:val="1483430705"/>
        <w:rPr>
          <w:rFonts w:eastAsia="Times New Roman"/>
        </w:rPr>
      </w:pPr>
      <w:r>
        <w:rPr>
          <w:rFonts w:eastAsia="Times New Roman"/>
          <w:color w:val="000000"/>
          <w:sz w:val="20"/>
          <w:szCs w:val="20"/>
        </w:rPr>
        <w:t>87</w:t>
      </w:r>
    </w:p>
    <w:p w:rsidR="00000000" w:rsidRDefault="00AE54EE">
      <w:pPr>
        <w:rPr>
          <w:rFonts w:eastAsia="Times New Roman"/>
        </w:rPr>
      </w:pPr>
      <w:r>
        <w:rPr>
          <w:rFonts w:eastAsia="Times New Roman"/>
        </w:rPr>
        <w:pict>
          <v:rect id="_x0000_i1115" style="width:0;height:1.5pt" o:hralign="center" o:hrstd="t" o:hr="t" fillcolor="#a0a0a0" stroked="f"/>
        </w:pict>
      </w:r>
    </w:p>
    <w:p w:rsidR="00000000" w:rsidRDefault="00AE54EE">
      <w:pPr>
        <w:ind w:firstLine="450"/>
        <w:divId w:val="1421830132"/>
        <w:rPr>
          <w:rFonts w:eastAsia="Times New Roman"/>
        </w:rPr>
      </w:pPr>
    </w:p>
    <w:p w:rsidR="00000000" w:rsidRDefault="00AE54EE">
      <w:pPr>
        <w:divId w:val="1265765765"/>
        <w:rPr>
          <w:rFonts w:eastAsia="Times New Roman"/>
        </w:rPr>
      </w:pPr>
      <w:r>
        <w:rPr>
          <w:rFonts w:eastAsia="Times New Roman"/>
          <w:color w:val="000000"/>
          <w:sz w:val="20"/>
          <w:szCs w:val="20"/>
        </w:rPr>
        <w:t>impairment charge for long-lived assets, including a $103 million impairment charge for property, plant and equipment, which is included in the “Impairment of goodwill and other assets” line item in our Consolidated St</w:t>
      </w:r>
      <w:r>
        <w:rPr>
          <w:rFonts w:eastAsia="Times New Roman"/>
          <w:color w:val="000000"/>
          <w:sz w:val="20"/>
          <w:szCs w:val="20"/>
        </w:rPr>
        <w:t>atement of Income for fiscal 2020.</w:t>
      </w:r>
    </w:p>
    <w:p w:rsidR="00000000" w:rsidRDefault="00AE54EE">
      <w:pPr>
        <w:divId w:val="969433912"/>
        <w:rPr>
          <w:rFonts w:eastAsia="Times New Roman"/>
        </w:rPr>
      </w:pPr>
      <w:r>
        <w:rPr>
          <w:rFonts w:eastAsia="Times New Roman"/>
          <w:b/>
          <w:bCs/>
          <w:color w:val="000000"/>
          <w:sz w:val="20"/>
          <w:szCs w:val="20"/>
        </w:rPr>
        <w:t>NOTE 9: GOODWILL</w:t>
      </w:r>
      <w:r>
        <w:rPr>
          <w:rFonts w:eastAsia="Times New Roman"/>
          <w:b/>
          <w:bCs/>
          <w:i/>
          <w:iCs/>
          <w:color w:val="000000"/>
          <w:sz w:val="20"/>
          <w:szCs w:val="20"/>
        </w:rPr>
        <w:t xml:space="preserve"> </w:t>
      </w:r>
    </w:p>
    <w:p w:rsidR="00000000" w:rsidRDefault="00AE54EE">
      <w:pPr>
        <w:ind w:firstLine="450"/>
        <w:divId w:val="20857929"/>
        <w:rPr>
          <w:rFonts w:eastAsia="Times New Roman"/>
        </w:rPr>
      </w:pPr>
      <w:r>
        <w:rPr>
          <w:rFonts w:eastAsia="Times New Roman"/>
          <w:color w:val="000000"/>
          <w:sz w:val="20"/>
          <w:szCs w:val="20"/>
        </w:rPr>
        <w:t xml:space="preserve">As discussed in </w:t>
      </w:r>
      <w:r>
        <w:rPr>
          <w:rFonts w:eastAsia="Times New Roman"/>
          <w:i/>
          <w:iCs/>
          <w:color w:val="000000"/>
          <w:sz w:val="20"/>
          <w:szCs w:val="20"/>
        </w:rPr>
        <w:t>Note 24: Business Segments</w:t>
      </w:r>
      <w:r>
        <w:rPr>
          <w:rFonts w:eastAsia="Times New Roman"/>
          <w:color w:val="000000"/>
          <w:sz w:val="20"/>
          <w:szCs w:val="20"/>
        </w:rPr>
        <w:t xml:space="preserve"> in these Notes, after the completion of the L3Harris Merger, we adjusted our segment reporting to reflect our new organizational structure effective June 29, 20</w:t>
      </w:r>
      <w:r>
        <w:rPr>
          <w:rFonts w:eastAsia="Times New Roman"/>
          <w:color w:val="000000"/>
          <w:sz w:val="20"/>
          <w:szCs w:val="20"/>
        </w:rPr>
        <w:t>19. Immediately before and after our goodwill assignments, we completed an assessment of any potential goodwill impairment under our former and new segment reporting structure and determined that no impairment existed.</w:t>
      </w:r>
    </w:p>
    <w:p w:rsidR="00000000" w:rsidRDefault="00AE54EE">
      <w:pPr>
        <w:ind w:firstLine="450"/>
        <w:divId w:val="1273631786"/>
        <w:rPr>
          <w:rFonts w:eastAsia="Times New Roman"/>
        </w:rPr>
      </w:pPr>
      <w:r>
        <w:rPr>
          <w:rFonts w:eastAsia="Times New Roman"/>
          <w:color w:val="000000"/>
          <w:sz w:val="20"/>
          <w:szCs w:val="20"/>
        </w:rPr>
        <w:t>The assignment of goodwill and change</w:t>
      </w:r>
      <w:r>
        <w:rPr>
          <w:rFonts w:eastAsia="Times New Roman"/>
          <w:color w:val="000000"/>
          <w:sz w:val="20"/>
          <w:szCs w:val="20"/>
        </w:rPr>
        <w:t>s in the carrying amount of goodwill, by business segment, for fiscal 2021 and 2020 were as follows:</w:t>
      </w:r>
    </w:p>
    <w:tbl>
      <w:tblPr>
        <w:tblW w:w="4978" w:type="pct"/>
        <w:tblCellMar>
          <w:top w:w="15" w:type="dxa"/>
          <w:left w:w="15" w:type="dxa"/>
          <w:bottom w:w="15" w:type="dxa"/>
          <w:right w:w="15" w:type="dxa"/>
        </w:tblCellMar>
        <w:tblLook w:val="04A0" w:firstRow="1" w:lastRow="0" w:firstColumn="1" w:lastColumn="0" w:noHBand="0" w:noVBand="1"/>
      </w:tblPr>
      <w:tblGrid>
        <w:gridCol w:w="39"/>
        <w:gridCol w:w="3496"/>
        <w:gridCol w:w="38"/>
        <w:gridCol w:w="121"/>
        <w:gridCol w:w="674"/>
        <w:gridCol w:w="36"/>
        <w:gridCol w:w="36"/>
        <w:gridCol w:w="36"/>
        <w:gridCol w:w="36"/>
        <w:gridCol w:w="121"/>
        <w:gridCol w:w="597"/>
        <w:gridCol w:w="36"/>
        <w:gridCol w:w="36"/>
        <w:gridCol w:w="36"/>
        <w:gridCol w:w="36"/>
        <w:gridCol w:w="121"/>
        <w:gridCol w:w="1038"/>
        <w:gridCol w:w="36"/>
        <w:gridCol w:w="36"/>
        <w:gridCol w:w="36"/>
        <w:gridCol w:w="36"/>
        <w:gridCol w:w="120"/>
        <w:gridCol w:w="500"/>
        <w:gridCol w:w="36"/>
        <w:gridCol w:w="36"/>
        <w:gridCol w:w="36"/>
        <w:gridCol w:w="36"/>
        <w:gridCol w:w="36"/>
        <w:gridCol w:w="36"/>
        <w:gridCol w:w="120"/>
        <w:gridCol w:w="600"/>
        <w:gridCol w:w="36"/>
      </w:tblGrid>
      <w:tr w:rsidR="00000000">
        <w:trPr>
          <w:divId w:val="5639783"/>
        </w:trPr>
        <w:tc>
          <w:tcPr>
            <w:tcW w:w="50" w:type="pct"/>
            <w:vAlign w:val="center"/>
            <w:hideMark/>
          </w:tcPr>
          <w:p w:rsidR="00000000" w:rsidRDefault="00AE54EE">
            <w:pPr>
              <w:ind w:firstLine="450"/>
              <w:rPr>
                <w:rFonts w:eastAsia="Times New Roman"/>
              </w:rPr>
            </w:pPr>
          </w:p>
        </w:tc>
        <w:tc>
          <w:tcPr>
            <w:tcW w:w="224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4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563978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Integrated Mission Systems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Space &amp; Airborne Systems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Aviation Systems</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r>
      <w:tr w:rsidR="00000000">
        <w:trPr>
          <w:divId w:val="5639783"/>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63978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5,768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5,131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4,243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4,859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20,001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639783"/>
        </w:trPr>
        <w:tc>
          <w:tcPr>
            <w:tcW w:w="0" w:type="auto"/>
            <w:gridSpan w:val="3"/>
            <w:shd w:val="clear" w:color="auto" w:fill="FFFFFF"/>
            <w:tcMar>
              <w:top w:w="30" w:type="dxa"/>
              <w:left w:w="20" w:type="dxa"/>
              <w:bottom w:w="30" w:type="dxa"/>
              <w:right w:w="20" w:type="dxa"/>
            </w:tcMar>
            <w:hideMark/>
          </w:tcPr>
          <w:p w:rsidR="00000000" w:rsidRDefault="00AE54EE">
            <w:pPr>
              <w:spacing w:after="100"/>
              <w:divId w:val="251669868"/>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639783"/>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Impairment of goodwill</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(475)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639783"/>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639783"/>
        </w:trPr>
        <w:tc>
          <w:tcPr>
            <w:tcW w:w="0" w:type="auto"/>
            <w:gridSpan w:val="3"/>
            <w:shd w:val="clear" w:color="auto" w:fill="CCEEFF"/>
            <w:tcMar>
              <w:top w:w="30" w:type="dxa"/>
              <w:left w:w="20" w:type="dxa"/>
              <w:bottom w:w="30" w:type="dxa"/>
              <w:right w:w="20" w:type="dxa"/>
            </w:tcMar>
            <w:hideMark/>
          </w:tcPr>
          <w:p w:rsidR="00000000" w:rsidRDefault="00AE54EE">
            <w:pPr>
              <w:spacing w:after="100"/>
              <w:ind w:hanging="251"/>
              <w:divId w:val="196045292"/>
              <w:rPr>
                <w:rFonts w:eastAsia="Times New Roman"/>
              </w:rPr>
            </w:pPr>
            <w:r>
              <w:rPr>
                <w:rFonts w:eastAsia="Times New Roman"/>
                <w:color w:val="000000"/>
                <w:sz w:val="20"/>
                <w:szCs w:val="20"/>
              </w:rPr>
              <w:t>Other (including adjustments to previously estimated fair value of assets acquired and liabilities assumed</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741 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639783"/>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Balance at January 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6,499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5,232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4,153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2,992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18,876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639783"/>
        </w:trPr>
        <w:tc>
          <w:tcPr>
            <w:tcW w:w="0" w:type="auto"/>
            <w:gridSpan w:val="3"/>
            <w:shd w:val="clear" w:color="auto" w:fill="CCEEFF"/>
            <w:tcMar>
              <w:top w:w="30" w:type="dxa"/>
              <w:left w:w="20" w:type="dxa"/>
              <w:bottom w:w="30" w:type="dxa"/>
              <w:right w:w="20" w:type="dxa"/>
            </w:tcMar>
            <w:hideMark/>
          </w:tcPr>
          <w:p w:rsidR="00000000" w:rsidRDefault="00AE54EE">
            <w:pPr>
              <w:spacing w:after="100"/>
              <w:divId w:val="868684230"/>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639783"/>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Impairment of goodwill</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639783"/>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w:t>
            </w: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639783"/>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5639783"/>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Balance at December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6,485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5,202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4,153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2,349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18,189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97260435"/>
        <w:rPr>
          <w:rFonts w:eastAsia="Times New Roman"/>
        </w:rPr>
      </w:pPr>
      <w:r>
        <w:rPr>
          <w:rFonts w:eastAsia="Times New Roman"/>
          <w:color w:val="000000"/>
          <w:sz w:val="16"/>
          <w:szCs w:val="16"/>
        </w:rPr>
        <w:t>_______________</w:t>
      </w:r>
    </w:p>
    <w:p w:rsidR="00000000" w:rsidRDefault="00AE54EE">
      <w:pPr>
        <w:ind w:hanging="360"/>
        <w:divId w:val="1776166800"/>
        <w:rPr>
          <w:rFonts w:eastAsia="Times New Roman"/>
        </w:rPr>
      </w:pPr>
      <w:r>
        <w:rPr>
          <w:rFonts w:eastAsia="Times New Roman"/>
          <w:color w:val="000000"/>
          <w:sz w:val="16"/>
          <w:szCs w:val="16"/>
        </w:rPr>
        <w:t>(1)During fiscal 2021, we completed the divestiture of six businesses (Narda-Miteq business, ESSCO business, CPS business, military training business, Electron Devices business and VSE disposal group) and derecogni</w:t>
      </w:r>
      <w:r>
        <w:rPr>
          <w:rFonts w:eastAsia="Times New Roman"/>
          <w:color w:val="000000"/>
          <w:sz w:val="16"/>
          <w:szCs w:val="16"/>
        </w:rPr>
        <w:t>zed $564 million of goodwill as part of determining the gain or loss on the sales of these businesses. During fiscal 2020, we completed the divestiture of three businesses (airport security and automation business, Applied Kilovolts and Analytical Instrume</w:t>
      </w:r>
      <w:r>
        <w:rPr>
          <w:rFonts w:eastAsia="Times New Roman"/>
          <w:color w:val="000000"/>
          <w:sz w:val="16"/>
          <w:szCs w:val="16"/>
        </w:rPr>
        <w:t xml:space="preserve">ntation business and EOTech business) and derecognized $541 million of goodwill as part of determining the gain or loss on the sales of these businesses. See </w:t>
      </w:r>
      <w:r>
        <w:rPr>
          <w:rFonts w:eastAsia="Times New Roman"/>
          <w:i/>
          <w:iCs/>
          <w:color w:val="000000"/>
          <w:sz w:val="16"/>
          <w:szCs w:val="16"/>
        </w:rPr>
        <w:t>Note 3: Business Divestitures and Asset Sales</w:t>
      </w:r>
      <w:r>
        <w:rPr>
          <w:rFonts w:eastAsia="Times New Roman"/>
          <w:color w:val="000000"/>
          <w:sz w:val="16"/>
          <w:szCs w:val="16"/>
        </w:rPr>
        <w:t xml:space="preserve"> in these Notes for additional information regarding </w:t>
      </w:r>
      <w:r>
        <w:rPr>
          <w:rFonts w:eastAsia="Times New Roman"/>
          <w:color w:val="000000"/>
          <w:sz w:val="16"/>
          <w:szCs w:val="16"/>
        </w:rPr>
        <w:t>completed divestitures.</w:t>
      </w:r>
    </w:p>
    <w:p w:rsidR="00000000" w:rsidRDefault="00AE54EE">
      <w:pPr>
        <w:ind w:hanging="360"/>
        <w:divId w:val="1338194732"/>
        <w:rPr>
          <w:rFonts w:eastAsia="Times New Roman"/>
        </w:rPr>
      </w:pPr>
      <w:r>
        <w:rPr>
          <w:rFonts w:eastAsia="Times New Roman"/>
          <w:color w:val="000000"/>
          <w:sz w:val="16"/>
          <w:szCs w:val="16"/>
        </w:rPr>
        <w:t xml:space="preserve">(2)See </w:t>
      </w:r>
      <w:r>
        <w:rPr>
          <w:rFonts w:eastAsia="Times New Roman"/>
          <w:i/>
          <w:iCs/>
          <w:color w:val="000000"/>
          <w:sz w:val="16"/>
          <w:szCs w:val="16"/>
        </w:rPr>
        <w:t>Note 4: Business Combination</w:t>
      </w:r>
      <w:r>
        <w:rPr>
          <w:rFonts w:eastAsia="Times New Roman"/>
          <w:color w:val="000000"/>
          <w:sz w:val="16"/>
          <w:szCs w:val="16"/>
        </w:rPr>
        <w:t xml:space="preserve"> in these Notes for additional information regarding adjustments to previously estimated fair values of assets acquired and liabilities assumed.</w:t>
      </w:r>
    </w:p>
    <w:p w:rsidR="00000000" w:rsidRDefault="00AE54EE">
      <w:pPr>
        <w:ind w:firstLine="495"/>
        <w:divId w:val="321347932"/>
        <w:rPr>
          <w:rFonts w:eastAsia="Times New Roman"/>
        </w:rPr>
      </w:pPr>
      <w:r>
        <w:rPr>
          <w:rFonts w:eastAsia="Times New Roman"/>
          <w:i/>
          <w:iCs/>
          <w:color w:val="000000"/>
          <w:sz w:val="20"/>
          <w:szCs w:val="20"/>
        </w:rPr>
        <w:t xml:space="preserve">CPS Business Impairment. </w:t>
      </w:r>
      <w:r>
        <w:rPr>
          <w:rFonts w:eastAsia="Times New Roman"/>
          <w:color w:val="000000"/>
          <w:sz w:val="20"/>
          <w:szCs w:val="20"/>
        </w:rPr>
        <w:t>During the quarter ended Ap</w:t>
      </w:r>
      <w:r>
        <w:rPr>
          <w:rFonts w:eastAsia="Times New Roman"/>
          <w:color w:val="000000"/>
          <w:sz w:val="20"/>
          <w:szCs w:val="20"/>
        </w:rPr>
        <w:t>ril 2, 2021, we determined the criteria to be classified as held for sale were met with respect to the CPS business within our Aviation Systems segment and assigned $174 million of goodwill to the disposal group on a relative fair value basis. In connectio</w:t>
      </w:r>
      <w:r>
        <w:rPr>
          <w:rFonts w:eastAsia="Times New Roman"/>
          <w:color w:val="000000"/>
          <w:sz w:val="20"/>
          <w:szCs w:val="20"/>
        </w:rPr>
        <w:t>n with the preparation of our financial statements for the quarter ended April 2, 2021, we concluded that goodwill related to the CPS business was impaired and we recorded a non-cash impairment charge of $62 million, which is included in the “Impairment of</w:t>
      </w:r>
      <w:r>
        <w:rPr>
          <w:rFonts w:eastAsia="Times New Roman"/>
          <w:color w:val="000000"/>
          <w:sz w:val="20"/>
          <w:szCs w:val="20"/>
        </w:rPr>
        <w:t xml:space="preserve"> goodwill and other assets” line item in our Consolidated Statement of Income for fiscal 2021. See </w:t>
      </w:r>
      <w:r>
        <w:rPr>
          <w:rFonts w:eastAsia="Times New Roman"/>
          <w:i/>
          <w:iCs/>
          <w:color w:val="000000"/>
          <w:sz w:val="20"/>
          <w:szCs w:val="20"/>
        </w:rPr>
        <w:t>Note 3: Business Divestitures and Asset Sales</w:t>
      </w:r>
      <w:r>
        <w:rPr>
          <w:rFonts w:eastAsia="Times New Roman"/>
          <w:color w:val="000000"/>
          <w:sz w:val="20"/>
          <w:szCs w:val="20"/>
        </w:rPr>
        <w:t xml:space="preserve"> in these Notes for additional information.</w:t>
      </w:r>
    </w:p>
    <w:p w:rsidR="00000000" w:rsidRDefault="00AE54EE">
      <w:pPr>
        <w:ind w:firstLine="450"/>
        <w:divId w:val="615449702"/>
        <w:rPr>
          <w:rFonts w:eastAsia="Times New Roman"/>
        </w:rPr>
      </w:pPr>
      <w:r>
        <w:rPr>
          <w:rFonts w:eastAsia="Times New Roman"/>
          <w:i/>
          <w:iCs/>
          <w:color w:val="000000"/>
          <w:sz w:val="20"/>
          <w:szCs w:val="20"/>
        </w:rPr>
        <w:t>Commercial Aviation Solutions Impairments.</w:t>
      </w:r>
      <w:r>
        <w:rPr>
          <w:rFonts w:eastAsia="Times New Roman"/>
          <w:color w:val="000000"/>
          <w:sz w:val="20"/>
          <w:szCs w:val="20"/>
        </w:rPr>
        <w:t xml:space="preserve"> Indications of potential </w:t>
      </w:r>
      <w:r>
        <w:rPr>
          <w:rFonts w:eastAsia="Times New Roman"/>
          <w:color w:val="000000"/>
          <w:sz w:val="20"/>
          <w:szCs w:val="20"/>
        </w:rPr>
        <w:t>impairment of goodwill related to our Commercial Aviation Solutions reporting unit (which was part of our Aviation Systems segment) were present at April 3, 2020 due tothe COVID-19 pandemic (“COVID”) and its impact on global air traffic and customer operat</w:t>
      </w:r>
      <w:r>
        <w:rPr>
          <w:rFonts w:eastAsia="Times New Roman"/>
          <w:color w:val="000000"/>
          <w:sz w:val="20"/>
          <w:szCs w:val="20"/>
        </w:rPr>
        <w:t>ions, resulting in a decrease in fiscal 2020 outlook for the reporting unit, which we considered to be a triggering event requiring an interim impairment test. Consequently, in connection with the preparation of our financial statements for the quarter end</w:t>
      </w:r>
      <w:r>
        <w:rPr>
          <w:rFonts w:eastAsia="Times New Roman"/>
          <w:color w:val="000000"/>
          <w:sz w:val="20"/>
          <w:szCs w:val="20"/>
        </w:rPr>
        <w:t xml:space="preserve">ed April 3, 2020, we performed a quantitative impairment test. To test for potential impairment of goodwill related to our Commercial Aviation Solutions reporting unit, we prepared an estimate of the fair value of the reporting unit based on a combination </w:t>
      </w:r>
      <w:r>
        <w:rPr>
          <w:rFonts w:eastAsia="Times New Roman"/>
          <w:color w:val="000000"/>
          <w:sz w:val="20"/>
          <w:szCs w:val="20"/>
        </w:rPr>
        <w:t xml:space="preserve">of market-based valuation techniques, utilizing quoted market prices and comparable publicly reported transactions and projected discounted cash flows. Given the level of uncertainty in the outlook for the commercial aviation industry caused by the impact </w:t>
      </w:r>
      <w:r>
        <w:rPr>
          <w:rFonts w:eastAsia="Times New Roman"/>
          <w:color w:val="000000"/>
          <w:sz w:val="20"/>
          <w:szCs w:val="20"/>
        </w:rPr>
        <w:t>of COVID on global air traffic, our methodology for determining the fair value of the reporting unit placed the greatest weight on the expected fair value technique, and was dependent on our best estimates of future sales, operating costs and balance sheet</w:t>
      </w:r>
      <w:r>
        <w:rPr>
          <w:rFonts w:eastAsia="Times New Roman"/>
          <w:color w:val="000000"/>
          <w:sz w:val="20"/>
          <w:szCs w:val="20"/>
        </w:rPr>
        <w:t xml:space="preserve"> metrics under a range of scenarios for future economic conditions. We assigned a probability to each scenario to calculate a set of probability-weighted projected cash flows, and an appropriate discount rate reflecting the risk in the projected cash flows</w:t>
      </w:r>
      <w:r>
        <w:rPr>
          <w:rFonts w:eastAsia="Times New Roman"/>
          <w:color w:val="000000"/>
          <w:sz w:val="20"/>
          <w:szCs w:val="20"/>
        </w:rPr>
        <w:t xml:space="preserve"> was used to discount the expected cash flows to present value.</w:t>
      </w:r>
    </w:p>
    <w:p w:rsidR="00000000" w:rsidRDefault="00AE54EE">
      <w:pPr>
        <w:ind w:firstLine="450"/>
        <w:divId w:val="895891261"/>
        <w:rPr>
          <w:rFonts w:eastAsia="Times New Roman"/>
        </w:rPr>
      </w:pPr>
      <w:r>
        <w:rPr>
          <w:rFonts w:eastAsia="Times New Roman"/>
          <w:color w:val="000000"/>
          <w:sz w:val="20"/>
          <w:szCs w:val="20"/>
        </w:rPr>
        <w:t>As adverse global economic and market conditions attributable to COVID, including projected declines and subsequent recovery in commercial air traffic and original equipment manufacturer produ</w:t>
      </w:r>
      <w:r>
        <w:rPr>
          <w:rFonts w:eastAsia="Times New Roman"/>
          <w:color w:val="000000"/>
          <w:sz w:val="20"/>
          <w:szCs w:val="20"/>
        </w:rPr>
        <w:t xml:space="preserve">ction volumes, continued to develop during fiscal </w:t>
      </w:r>
    </w:p>
    <w:p w:rsidR="00000000" w:rsidRDefault="00AE54EE">
      <w:pPr>
        <w:ind w:firstLine="450"/>
        <w:jc w:val="center"/>
        <w:divId w:val="664750569"/>
        <w:rPr>
          <w:rFonts w:eastAsia="Times New Roman"/>
        </w:rPr>
      </w:pPr>
      <w:r>
        <w:rPr>
          <w:rFonts w:eastAsia="Times New Roman"/>
          <w:color w:val="000000"/>
          <w:sz w:val="20"/>
          <w:szCs w:val="20"/>
        </w:rPr>
        <w:t>88</w:t>
      </w:r>
    </w:p>
    <w:p w:rsidR="00000000" w:rsidRDefault="00AE54EE">
      <w:pPr>
        <w:rPr>
          <w:rFonts w:eastAsia="Times New Roman"/>
        </w:rPr>
      </w:pPr>
      <w:r>
        <w:rPr>
          <w:rFonts w:eastAsia="Times New Roman"/>
        </w:rPr>
        <w:pict>
          <v:rect id="_x0000_i1116" style="width:0;height:1.5pt" o:hralign="center" o:hrstd="t" o:hr="t" fillcolor="#a0a0a0" stroked="f"/>
        </w:pict>
      </w:r>
    </w:p>
    <w:p w:rsidR="00000000" w:rsidRDefault="00AE54EE">
      <w:pPr>
        <w:ind w:firstLine="450"/>
        <w:divId w:val="370497800"/>
        <w:rPr>
          <w:rFonts w:eastAsia="Times New Roman"/>
        </w:rPr>
      </w:pPr>
    </w:p>
    <w:p w:rsidR="00000000" w:rsidRDefault="00AE54EE">
      <w:pPr>
        <w:divId w:val="1272475933"/>
        <w:rPr>
          <w:rFonts w:eastAsia="Times New Roman"/>
        </w:rPr>
      </w:pPr>
      <w:r>
        <w:rPr>
          <w:rFonts w:eastAsia="Times New Roman"/>
          <w:color w:val="000000"/>
          <w:sz w:val="20"/>
          <w:szCs w:val="20"/>
        </w:rPr>
        <w:t>2020, we continued to monitor for facts and circumstances that could negatively impact key valuation assumptions in determining the fair value of our Commercial Avi</w:t>
      </w:r>
      <w:r>
        <w:rPr>
          <w:rFonts w:eastAsia="Times New Roman"/>
          <w:color w:val="000000"/>
          <w:sz w:val="20"/>
          <w:szCs w:val="20"/>
        </w:rPr>
        <w:t xml:space="preserve">ation Solutions reporting unit, including recent valuations, expectations regarding the timing of a return to pre-COVID commercial flight activity and the associated level of uncertainty, long-term revenue and profitability projections, discount rates and </w:t>
      </w:r>
      <w:r>
        <w:rPr>
          <w:rFonts w:eastAsia="Times New Roman"/>
          <w:color w:val="000000"/>
          <w:sz w:val="20"/>
          <w:szCs w:val="20"/>
        </w:rPr>
        <w:t>general industry, market and macroeconomic conditions. As a result, we determined indications of further impairment of assets related to our Commercial Aviation Solutions reporting unit existed as of July 3, 2020 and again as of early December 2020.</w:t>
      </w:r>
    </w:p>
    <w:p w:rsidR="00000000" w:rsidRDefault="00AE54EE">
      <w:pPr>
        <w:ind w:firstLine="450"/>
        <w:divId w:val="500892189"/>
        <w:rPr>
          <w:rFonts w:eastAsia="Times New Roman"/>
        </w:rPr>
      </w:pPr>
      <w:r>
        <w:rPr>
          <w:rFonts w:eastAsia="Times New Roman"/>
          <w:color w:val="000000"/>
          <w:sz w:val="20"/>
          <w:szCs w:val="20"/>
        </w:rPr>
        <w:t>As a r</w:t>
      </w:r>
      <w:r>
        <w:rPr>
          <w:rFonts w:eastAsia="Times New Roman"/>
          <w:color w:val="000000"/>
          <w:sz w:val="20"/>
          <w:szCs w:val="20"/>
        </w:rPr>
        <w:t xml:space="preserve">esult of these impairment tests, we concluded that goodwill and other assets related to our Commercial Aviation Solutions reporting unit were impaired as of April 3, 2020, July 3, 2020 and January 1, 2021, and we recorded the following non-cash impairment </w:t>
      </w:r>
      <w:r>
        <w:rPr>
          <w:rFonts w:eastAsia="Times New Roman"/>
          <w:color w:val="000000"/>
          <w:sz w:val="20"/>
          <w:szCs w:val="20"/>
        </w:rPr>
        <w:t>charges:</w:t>
      </w:r>
    </w:p>
    <w:p w:rsidR="00000000" w:rsidRDefault="00AE54EE">
      <w:pPr>
        <w:ind w:hanging="360"/>
        <w:divId w:val="148595252"/>
        <w:rPr>
          <w:rFonts w:eastAsia="Times New Roman"/>
        </w:rPr>
      </w:pPr>
      <w:r>
        <w:rPr>
          <w:rFonts w:eastAsia="Times New Roman"/>
          <w:color w:val="000000"/>
          <w:sz w:val="20"/>
          <w:szCs w:val="20"/>
        </w:rPr>
        <w:t xml:space="preserve">•$461 million (including $34 million attributable to noncontrolling interests) for impairment of goodwill during fiscal 2020, including $111 million recognized in the fourth quarter of fiscal 2020; and </w:t>
      </w:r>
    </w:p>
    <w:p w:rsidR="00000000" w:rsidRDefault="00AE54EE">
      <w:pPr>
        <w:ind w:hanging="360"/>
        <w:divId w:val="102117472"/>
        <w:rPr>
          <w:rFonts w:eastAsia="Times New Roman"/>
        </w:rPr>
      </w:pPr>
      <w:r>
        <w:rPr>
          <w:rFonts w:eastAsia="Times New Roman"/>
          <w:color w:val="000000"/>
          <w:sz w:val="20"/>
          <w:szCs w:val="20"/>
        </w:rPr>
        <w:t>•$257 million for impairment of long-lived a</w:t>
      </w:r>
      <w:r>
        <w:rPr>
          <w:rFonts w:eastAsia="Times New Roman"/>
          <w:color w:val="000000"/>
          <w:sz w:val="20"/>
          <w:szCs w:val="20"/>
        </w:rPr>
        <w:t>ssets recognized during the fourth quarter of fiscal 2020, including $113 million for identifiable assets, $103 million for property, plant and equipment, $31 million for ROU assets and $10 million for marketable software.</w:t>
      </w:r>
    </w:p>
    <w:p w:rsidR="00000000" w:rsidRDefault="00AE54EE">
      <w:pPr>
        <w:ind w:firstLine="450"/>
        <w:divId w:val="1865508878"/>
        <w:rPr>
          <w:rFonts w:eastAsia="Times New Roman"/>
        </w:rPr>
      </w:pPr>
      <w:r>
        <w:rPr>
          <w:rFonts w:eastAsia="Times New Roman"/>
          <w:color w:val="000000"/>
          <w:sz w:val="20"/>
          <w:szCs w:val="20"/>
        </w:rPr>
        <w:t>These charges are included in the</w:t>
      </w:r>
      <w:r>
        <w:rPr>
          <w:rFonts w:eastAsia="Times New Roman"/>
          <w:color w:val="000000"/>
          <w:sz w:val="20"/>
          <w:szCs w:val="20"/>
        </w:rPr>
        <w:t xml:space="preserve"> “Impairment of goodwill and other assets” line item in our Consolidated Statement of Income for fiscal 2020 and are primarily not deductible for tax purposes.</w:t>
      </w:r>
    </w:p>
    <w:p w:rsidR="00000000" w:rsidRDefault="00AE54EE">
      <w:pPr>
        <w:ind w:firstLine="450"/>
        <w:divId w:val="549132"/>
        <w:rPr>
          <w:rFonts w:eastAsia="Times New Roman"/>
        </w:rPr>
      </w:pPr>
      <w:r>
        <w:rPr>
          <w:rFonts w:eastAsia="Times New Roman"/>
          <w:i/>
          <w:iCs/>
          <w:color w:val="000000"/>
          <w:sz w:val="20"/>
          <w:szCs w:val="20"/>
        </w:rPr>
        <w:t>Applied Kilovolts business impairment</w:t>
      </w:r>
      <w:r>
        <w:rPr>
          <w:rFonts w:eastAsia="Times New Roman"/>
          <w:color w:val="000000"/>
          <w:sz w:val="20"/>
          <w:szCs w:val="20"/>
        </w:rPr>
        <w:t xml:space="preserve">. </w:t>
      </w:r>
      <w:r>
        <w:rPr>
          <w:rFonts w:eastAsia="Times New Roman"/>
          <w:color w:val="000000"/>
          <w:sz w:val="20"/>
          <w:szCs w:val="20"/>
        </w:rPr>
        <w:t>During the quarter ended April 3, 2020, we determined the criteria to be classified as held for sale were met with respect to the Applied Kilovolts business within our Space &amp; Airborne Systems segment and assigned $6 million of goodwill to the Applied Kilo</w:t>
      </w:r>
      <w:r>
        <w:rPr>
          <w:rFonts w:eastAsia="Times New Roman"/>
          <w:color w:val="000000"/>
          <w:sz w:val="20"/>
          <w:szCs w:val="20"/>
        </w:rPr>
        <w:t>volts business on a relative fair value basis. In connection with the preparation of our financial statements for the quarter ended April 3, 2020, we concluded that goodwill related to the Applied Kilovolts business was impaired and recorded a non-cash imp</w:t>
      </w:r>
      <w:r>
        <w:rPr>
          <w:rFonts w:eastAsia="Times New Roman"/>
          <w:color w:val="000000"/>
          <w:sz w:val="20"/>
          <w:szCs w:val="20"/>
        </w:rPr>
        <w:t>airment charge of $5 million, which is included in the “Impairment of goodwill and other assets” line item in our Consolidated Statement of Income for fiscal 2020.</w:t>
      </w:r>
    </w:p>
    <w:p w:rsidR="00000000" w:rsidRDefault="00AE54EE">
      <w:pPr>
        <w:ind w:firstLine="450"/>
        <w:divId w:val="570115299"/>
        <w:rPr>
          <w:rFonts w:eastAsia="Times New Roman"/>
        </w:rPr>
      </w:pPr>
      <w:r>
        <w:rPr>
          <w:rFonts w:eastAsia="Times New Roman"/>
          <w:i/>
          <w:iCs/>
          <w:color w:val="000000"/>
          <w:sz w:val="20"/>
          <w:szCs w:val="20"/>
        </w:rPr>
        <w:t>VSE Disposal Group Impairment.</w:t>
      </w:r>
      <w:r>
        <w:rPr>
          <w:rFonts w:eastAsia="Times New Roman"/>
          <w:color w:val="000000"/>
          <w:sz w:val="20"/>
          <w:szCs w:val="20"/>
        </w:rPr>
        <w:t xml:space="preserve"> During the quarter ended July 3, 2020, we determined the crit</w:t>
      </w:r>
      <w:r>
        <w:rPr>
          <w:rFonts w:eastAsia="Times New Roman"/>
          <w:color w:val="000000"/>
          <w:sz w:val="20"/>
          <w:szCs w:val="20"/>
        </w:rPr>
        <w:t xml:space="preserve">eria to be classified as held for sale were met with respect to the VSE disposal group within our Aviation Systems segment and assigned $14 million of goodwill to the VSE disposal group on a relative fair value basis. In connection with the preparation of </w:t>
      </w:r>
      <w:r>
        <w:rPr>
          <w:rFonts w:eastAsia="Times New Roman"/>
          <w:color w:val="000000"/>
          <w:sz w:val="20"/>
          <w:szCs w:val="20"/>
        </w:rPr>
        <w:t>our financial statements for the quarter ended July 3, 2020, we concluded that goodwill related to the VSE disposal group was impaired and recorded a non-cash impairment charge $14 million, which is included in the “Impairment of goodwill and other assets”</w:t>
      </w:r>
      <w:r>
        <w:rPr>
          <w:rFonts w:eastAsia="Times New Roman"/>
          <w:color w:val="000000"/>
          <w:sz w:val="20"/>
          <w:szCs w:val="20"/>
        </w:rPr>
        <w:t xml:space="preserve"> line item in our Consolidated Statement of Income for fiscal 2020.</w:t>
      </w:r>
    </w:p>
    <w:p w:rsidR="00000000" w:rsidRDefault="00AE54EE">
      <w:pPr>
        <w:divId w:val="1581914305"/>
        <w:rPr>
          <w:rFonts w:eastAsia="Times New Roman"/>
        </w:rPr>
      </w:pPr>
      <w:r>
        <w:rPr>
          <w:rFonts w:eastAsia="Times New Roman"/>
          <w:b/>
          <w:bCs/>
          <w:color w:val="000000"/>
          <w:sz w:val="20"/>
          <w:szCs w:val="20"/>
        </w:rPr>
        <w:t xml:space="preserve">NOTE 10: INTANGIBLE ASSETS, NET </w:t>
      </w:r>
    </w:p>
    <w:p w:rsidR="00000000" w:rsidRDefault="00AE54EE">
      <w:pPr>
        <w:ind w:firstLine="450"/>
        <w:divId w:val="1157182720"/>
        <w:rPr>
          <w:rFonts w:eastAsia="Times New Roman"/>
        </w:rPr>
      </w:pPr>
      <w:r>
        <w:rPr>
          <w:rFonts w:eastAsia="Times New Roman"/>
          <w:color w:val="000000"/>
          <w:sz w:val="20"/>
          <w:szCs w:val="20"/>
        </w:rPr>
        <w:t>The most significant identifiable intangible asset that is separately recognized for our business combinations is customer relationships. Our customer rela</w:t>
      </w:r>
      <w:r>
        <w:rPr>
          <w:rFonts w:eastAsia="Times New Roman"/>
          <w:color w:val="000000"/>
          <w:sz w:val="20"/>
          <w:szCs w:val="20"/>
        </w:rPr>
        <w:t>tionships are established through written customer contracts (revenue arrangements). The fair value for customer relationships is determined, as of the date of acquisition, based on estimates and judgments regarding expectations for the estimated future af</w:t>
      </w:r>
      <w:r>
        <w:rPr>
          <w:rFonts w:eastAsia="Times New Roman"/>
          <w:color w:val="000000"/>
          <w:sz w:val="20"/>
          <w:szCs w:val="20"/>
        </w:rPr>
        <w:t>ter-tax earnings and cash flows arising from the follow-on sales expected from the customer relationships over the estimated lives, including the probability of expected future contract renewals and sales, less a contributory assets charge, all of which is</w:t>
      </w:r>
      <w:r>
        <w:rPr>
          <w:rFonts w:eastAsia="Times New Roman"/>
          <w:color w:val="000000"/>
          <w:sz w:val="20"/>
          <w:szCs w:val="20"/>
        </w:rPr>
        <w:t xml:space="preserve"> discounted to present value. We assess the recoverability of the carrying value of our finite-lived identifiable intangible assets whenever events or changes in circumstances indicate the carrying amount of the assets may not be recoverable. We assess the</w:t>
      </w:r>
      <w:r>
        <w:rPr>
          <w:rFonts w:eastAsia="Times New Roman"/>
          <w:color w:val="000000"/>
          <w:sz w:val="20"/>
          <w:szCs w:val="20"/>
        </w:rPr>
        <w:t xml:space="preserve"> recoverability of the carrying value of indefinite-lived identifiable intangible assets annually, or under certain circumstances more frequently, such as when events and circumstances indicate there may be an impairment.</w:t>
      </w:r>
    </w:p>
    <w:p w:rsidR="00000000" w:rsidRDefault="00AE54EE">
      <w:pPr>
        <w:ind w:firstLine="450"/>
        <w:divId w:val="1281032487"/>
        <w:rPr>
          <w:rFonts w:eastAsia="Times New Roman"/>
        </w:rPr>
      </w:pPr>
      <w:r>
        <w:rPr>
          <w:rFonts w:eastAsia="Times New Roman"/>
          <w:i/>
          <w:iCs/>
          <w:color w:val="000000"/>
          <w:sz w:val="20"/>
          <w:szCs w:val="20"/>
        </w:rPr>
        <w:t>Commercial Training Solutions Impa</w:t>
      </w:r>
      <w:r>
        <w:rPr>
          <w:rFonts w:eastAsia="Times New Roman"/>
          <w:i/>
          <w:iCs/>
          <w:color w:val="000000"/>
          <w:sz w:val="20"/>
          <w:szCs w:val="20"/>
        </w:rPr>
        <w:t>irment.</w:t>
      </w:r>
      <w:r>
        <w:rPr>
          <w:rFonts w:eastAsia="Times New Roman"/>
          <w:color w:val="000000"/>
          <w:sz w:val="20"/>
          <w:szCs w:val="20"/>
        </w:rPr>
        <w:t xml:space="preserve"> During the quarter ended July 2, 2021, we adjusted our Aviation Systems segment reporting to better align our businesses and separated the Commercial Training Solutions (“CTS”) business from our Commercial Aviation Solutions reporting unit, creatin</w:t>
      </w:r>
      <w:r>
        <w:rPr>
          <w:rFonts w:eastAsia="Times New Roman"/>
          <w:color w:val="000000"/>
          <w:sz w:val="20"/>
          <w:szCs w:val="20"/>
        </w:rPr>
        <w:t>g a new reporting unit within the Commercial Aviation Solutions sector of our Aviation Systems segment. Immediately before and after our goodwill assignments, we completed an assessment of any potential goodwill impairment under our former and new reportin</w:t>
      </w:r>
      <w:r>
        <w:rPr>
          <w:rFonts w:eastAsia="Times New Roman"/>
          <w:color w:val="000000"/>
          <w:sz w:val="20"/>
          <w:szCs w:val="20"/>
        </w:rPr>
        <w:t xml:space="preserve">g unit structure and determined that no impairment existed. </w:t>
      </w:r>
    </w:p>
    <w:p w:rsidR="00000000" w:rsidRDefault="00AE54EE">
      <w:pPr>
        <w:ind w:firstLine="450"/>
        <w:divId w:val="802382993"/>
        <w:rPr>
          <w:rFonts w:eastAsia="Times New Roman"/>
        </w:rPr>
      </w:pPr>
      <w:r>
        <w:rPr>
          <w:rFonts w:eastAsia="Times New Roman"/>
          <w:color w:val="000000"/>
          <w:sz w:val="20"/>
          <w:szCs w:val="20"/>
        </w:rPr>
        <w:t xml:space="preserve">To test for potential impairment of the long-lived assets, including identifiable intangible assets and property, plant and equipment, related to CTS, we compared the estimated future cash flows </w:t>
      </w:r>
      <w:r>
        <w:rPr>
          <w:rFonts w:eastAsia="Times New Roman"/>
          <w:color w:val="000000"/>
          <w:sz w:val="20"/>
          <w:szCs w:val="20"/>
        </w:rPr>
        <w:t>(on an undiscounted basis) to be generated from the use and hypothetical eventual disposition of the asset group to its carrying value and, as a result, we determined the carrying value of the CTS asset group was not recoverable. Next, we prepared an estim</w:t>
      </w:r>
      <w:r>
        <w:rPr>
          <w:rFonts w:eastAsia="Times New Roman"/>
          <w:color w:val="000000"/>
          <w:sz w:val="20"/>
          <w:szCs w:val="20"/>
        </w:rPr>
        <w:t>ate of the fair value of CTS based on a combination of market-based valuation techniques, utilizing quoted market prices and comparable publicly reported transactions and projected discounted cash flows. We compared the fair value of CTS to our carrying va</w:t>
      </w:r>
      <w:r>
        <w:rPr>
          <w:rFonts w:eastAsia="Times New Roman"/>
          <w:color w:val="000000"/>
          <w:sz w:val="20"/>
          <w:szCs w:val="20"/>
        </w:rPr>
        <w:t>lue and recorded a $145 million non-cash charge for the impairment of CTS long-lived assets, including $63 million for impairment of identifiable intangible assets, which is included in the “Impairment of goodwill and other assets” line item in our Consoli</w:t>
      </w:r>
      <w:r>
        <w:rPr>
          <w:rFonts w:eastAsia="Times New Roman"/>
          <w:color w:val="000000"/>
          <w:sz w:val="20"/>
          <w:szCs w:val="20"/>
        </w:rPr>
        <w:t>dated Statement of Income for the fiscal year ended December 31, 2021.</w:t>
      </w:r>
    </w:p>
    <w:p w:rsidR="00000000" w:rsidRDefault="00AE54EE">
      <w:pPr>
        <w:ind w:firstLine="450"/>
        <w:jc w:val="center"/>
        <w:divId w:val="840583477"/>
        <w:rPr>
          <w:rFonts w:eastAsia="Times New Roman"/>
        </w:rPr>
      </w:pPr>
      <w:r>
        <w:rPr>
          <w:rFonts w:eastAsia="Times New Roman"/>
          <w:color w:val="000000"/>
          <w:sz w:val="20"/>
          <w:szCs w:val="20"/>
        </w:rPr>
        <w:t>89</w:t>
      </w:r>
    </w:p>
    <w:p w:rsidR="00000000" w:rsidRDefault="00AE54EE">
      <w:pPr>
        <w:rPr>
          <w:rFonts w:eastAsia="Times New Roman"/>
        </w:rPr>
      </w:pPr>
      <w:r>
        <w:rPr>
          <w:rFonts w:eastAsia="Times New Roman"/>
        </w:rPr>
        <w:pict>
          <v:rect id="_x0000_i1117" style="width:0;height:1.5pt" o:hralign="center" o:hrstd="t" o:hr="t" fillcolor="#a0a0a0" stroked="f"/>
        </w:pict>
      </w:r>
    </w:p>
    <w:p w:rsidR="00000000" w:rsidRDefault="00AE54EE">
      <w:pPr>
        <w:ind w:firstLine="450"/>
        <w:divId w:val="145780801"/>
        <w:rPr>
          <w:rFonts w:eastAsia="Times New Roman"/>
        </w:rPr>
      </w:pPr>
    </w:p>
    <w:p w:rsidR="00000000" w:rsidRDefault="00AE54EE">
      <w:pPr>
        <w:ind w:firstLine="450"/>
        <w:divId w:val="1789620652"/>
        <w:rPr>
          <w:rFonts w:eastAsia="Times New Roman"/>
        </w:rPr>
      </w:pPr>
      <w:r>
        <w:rPr>
          <w:rFonts w:eastAsia="Times New Roman"/>
          <w:color w:val="000000"/>
          <w:sz w:val="20"/>
          <w:szCs w:val="20"/>
        </w:rPr>
        <w:t>During the fiscal year ended January 1, 2021, in conjunction with, and in advance of, the tests of goodwill related to our Commercial Aviation Solutions reporting unit, we also performed recoverability tests of the lon</w:t>
      </w:r>
      <w:r>
        <w:rPr>
          <w:rFonts w:eastAsia="Times New Roman"/>
          <w:color w:val="000000"/>
          <w:sz w:val="20"/>
          <w:szCs w:val="20"/>
        </w:rPr>
        <w:t>g-lived assets of our Commercial Aviation Solutions reporting unit, including identifiable intangible assets and property, plant and equipment. To test these long-lived assets for recoverability, we compared the estimated future cash flows (on an undiscoun</w:t>
      </w:r>
      <w:r>
        <w:rPr>
          <w:rFonts w:eastAsia="Times New Roman"/>
          <w:color w:val="000000"/>
          <w:sz w:val="20"/>
          <w:szCs w:val="20"/>
        </w:rPr>
        <w:t xml:space="preserve">ted basis) to be generated from the use and hypothetical eventual disposition of the asset group to its carrying value. As a result, we concluded that the long-lived assets of our Commercial Aviation Solutions reporting unit were impaired as of January 1, </w:t>
      </w:r>
      <w:r>
        <w:rPr>
          <w:rFonts w:eastAsia="Times New Roman"/>
          <w:color w:val="000000"/>
          <w:sz w:val="20"/>
          <w:szCs w:val="20"/>
        </w:rPr>
        <w:t>2021 and we recorded a $257 million non-cash impairment charge, including $113 million for impairment of identifiable intangible assets in the fourth quarter of fiscal 2020, which is included in the “Impairment of goodwill and other assets” line item in ou</w:t>
      </w:r>
      <w:r>
        <w:rPr>
          <w:rFonts w:eastAsia="Times New Roman"/>
          <w:color w:val="000000"/>
          <w:sz w:val="20"/>
          <w:szCs w:val="20"/>
        </w:rPr>
        <w:t xml:space="preserve">r Consolidated Statement of Income for fiscal 2020. </w:t>
      </w:r>
    </w:p>
    <w:p w:rsidR="00000000" w:rsidRDefault="00AE54EE">
      <w:pPr>
        <w:ind w:firstLine="450"/>
        <w:divId w:val="1829134187"/>
        <w:rPr>
          <w:rFonts w:eastAsia="Times New Roman"/>
        </w:rPr>
      </w:pPr>
      <w:r>
        <w:rPr>
          <w:rFonts w:eastAsia="Times New Roman"/>
          <w:color w:val="000000"/>
          <w:sz w:val="20"/>
          <w:szCs w:val="20"/>
        </w:rPr>
        <w:t>Identifiable intangible assets, net are summarized below:</w:t>
      </w:r>
    </w:p>
    <w:tbl>
      <w:tblPr>
        <w:tblW w:w="4935" w:type="pct"/>
        <w:tblCellMar>
          <w:top w:w="15" w:type="dxa"/>
          <w:left w:w="15" w:type="dxa"/>
          <w:bottom w:w="15" w:type="dxa"/>
          <w:right w:w="15" w:type="dxa"/>
        </w:tblCellMar>
        <w:tblLook w:val="04A0" w:firstRow="1" w:lastRow="0" w:firstColumn="1" w:lastColumn="0" w:noHBand="0" w:noVBand="1"/>
      </w:tblPr>
      <w:tblGrid>
        <w:gridCol w:w="39"/>
        <w:gridCol w:w="2552"/>
        <w:gridCol w:w="37"/>
        <w:gridCol w:w="121"/>
        <w:gridCol w:w="597"/>
        <w:gridCol w:w="36"/>
        <w:gridCol w:w="36"/>
        <w:gridCol w:w="36"/>
        <w:gridCol w:w="36"/>
        <w:gridCol w:w="121"/>
        <w:gridCol w:w="850"/>
        <w:gridCol w:w="36"/>
        <w:gridCol w:w="36"/>
        <w:gridCol w:w="36"/>
        <w:gridCol w:w="36"/>
        <w:gridCol w:w="121"/>
        <w:gridCol w:w="597"/>
        <w:gridCol w:w="36"/>
        <w:gridCol w:w="36"/>
        <w:gridCol w:w="36"/>
        <w:gridCol w:w="36"/>
        <w:gridCol w:w="121"/>
        <w:gridCol w:w="597"/>
        <w:gridCol w:w="36"/>
        <w:gridCol w:w="36"/>
        <w:gridCol w:w="36"/>
        <w:gridCol w:w="36"/>
        <w:gridCol w:w="121"/>
        <w:gridCol w:w="850"/>
        <w:gridCol w:w="36"/>
        <w:gridCol w:w="36"/>
        <w:gridCol w:w="36"/>
        <w:gridCol w:w="36"/>
        <w:gridCol w:w="121"/>
        <w:gridCol w:w="597"/>
        <w:gridCol w:w="36"/>
      </w:tblGrid>
      <w:tr w:rsidR="00000000">
        <w:trPr>
          <w:divId w:val="519273627"/>
        </w:trPr>
        <w:tc>
          <w:tcPr>
            <w:tcW w:w="50" w:type="pct"/>
            <w:vAlign w:val="center"/>
            <w:hideMark/>
          </w:tcPr>
          <w:p w:rsidR="00000000" w:rsidRDefault="00AE54EE">
            <w:pPr>
              <w:ind w:firstLine="450"/>
              <w:rPr>
                <w:rFonts w:eastAsia="Times New Roman"/>
              </w:rPr>
            </w:pPr>
          </w:p>
        </w:tc>
        <w:tc>
          <w:tcPr>
            <w:tcW w:w="177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4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4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4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519273627"/>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r>
      <w:tr w:rsidR="00000000">
        <w:trPr>
          <w:divId w:val="519273627"/>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Gross 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Net Carrying Amount</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Gross 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Net Carrying Amount</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519273627"/>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19273627"/>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Customer relationships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6,194 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1,708 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4,486 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6,863 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5,606 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19273627"/>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Developed technologies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19273627"/>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Contract backlog</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19273627"/>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Trade names — divisions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19273627"/>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19273627"/>
        </w:trPr>
        <w:tc>
          <w:tcPr>
            <w:tcW w:w="0" w:type="auto"/>
            <w:gridSpan w:val="3"/>
            <w:shd w:val="clear" w:color="auto" w:fill="FFFFFF"/>
            <w:tcMar>
              <w:top w:w="30" w:type="dxa"/>
              <w:left w:w="260" w:type="dxa"/>
              <w:bottom w:w="30" w:type="dxa"/>
              <w:right w:w="20" w:type="dxa"/>
            </w:tcMar>
            <w:hideMark/>
          </w:tcPr>
          <w:p w:rsidR="00000000" w:rsidRDefault="00AE54EE">
            <w:pPr>
              <w:spacing w:after="100"/>
              <w:ind w:hanging="251"/>
              <w:rPr>
                <w:rFonts w:eastAsia="Times New Roman"/>
              </w:rPr>
            </w:pPr>
            <w:r>
              <w:rPr>
                <w:rFonts w:eastAsia="Times New Roman"/>
                <w:color w:val="000000"/>
                <w:sz w:val="20"/>
                <w:szCs w:val="20"/>
              </w:rPr>
              <w:t>Total identifiable intangible assets subject to amortization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19273627"/>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In-process 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19273627"/>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Trade names — corporate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19273627"/>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identifiable intangible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8,742 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6,640 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19273627"/>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divId w:val="1697078622"/>
        <w:rPr>
          <w:rFonts w:eastAsia="Times New Roman"/>
        </w:rPr>
      </w:pPr>
      <w:r>
        <w:rPr>
          <w:rFonts w:eastAsia="Times New Roman"/>
          <w:color w:val="000000"/>
          <w:sz w:val="16"/>
          <w:szCs w:val="16"/>
        </w:rPr>
        <w:t>_______________</w:t>
      </w:r>
    </w:p>
    <w:p w:rsidR="00000000" w:rsidRDefault="00AE54EE">
      <w:pPr>
        <w:ind w:hanging="360"/>
        <w:divId w:val="128282910"/>
        <w:rPr>
          <w:rFonts w:eastAsia="Times New Roman"/>
        </w:rPr>
      </w:pPr>
      <w:r>
        <w:rPr>
          <w:rFonts w:eastAsia="Times New Roman"/>
          <w:color w:val="000000"/>
          <w:sz w:val="16"/>
          <w:szCs w:val="16"/>
        </w:rPr>
        <w:t>(1)</w:t>
      </w:r>
      <w:r>
        <w:rPr>
          <w:rFonts w:eastAsia="Times New Roman"/>
          <w:color w:val="000000"/>
          <w:sz w:val="16"/>
          <w:szCs w:val="16"/>
        </w:rPr>
        <w:t>During fiscal 2021, we completed the divestiture of six businesses and derecognized $577 million of intangible assets as part of the gain or loss on these divestitures. During fiscal 2020, we completed the divestiture of three businesses and derecognized $</w:t>
      </w:r>
      <w:r>
        <w:rPr>
          <w:rFonts w:eastAsia="Times New Roman"/>
          <w:color w:val="000000"/>
          <w:sz w:val="16"/>
          <w:szCs w:val="16"/>
        </w:rPr>
        <w:t>296 million of intangible assets as part of the gain or loss on these divestitures. Additionally, in connection with a then-pending divestiture, we reclassified $5 million of identifiable intangible assets to “Assets of disposal group held for sale” in our</w:t>
      </w:r>
      <w:r>
        <w:rPr>
          <w:rFonts w:eastAsia="Times New Roman"/>
          <w:color w:val="000000"/>
          <w:sz w:val="16"/>
          <w:szCs w:val="16"/>
        </w:rPr>
        <w:t xml:space="preserve"> Consolidated Balance Sheet at January 1, 2021. See </w:t>
      </w:r>
      <w:r>
        <w:rPr>
          <w:rFonts w:eastAsia="Times New Roman"/>
          <w:i/>
          <w:iCs/>
          <w:color w:val="000000"/>
          <w:sz w:val="16"/>
          <w:szCs w:val="16"/>
        </w:rPr>
        <w:t>Note 3: Business Divestitures and Asset Sales</w:t>
      </w:r>
      <w:r>
        <w:rPr>
          <w:rFonts w:eastAsia="Times New Roman"/>
          <w:color w:val="000000"/>
          <w:sz w:val="16"/>
          <w:szCs w:val="16"/>
        </w:rPr>
        <w:t xml:space="preserve"> in these Notes for additional information regarding divestitures.</w:t>
      </w:r>
    </w:p>
    <w:p w:rsidR="00000000" w:rsidRDefault="00AE54EE">
      <w:pPr>
        <w:ind w:firstLine="450"/>
        <w:divId w:val="873228433"/>
        <w:rPr>
          <w:rFonts w:eastAsia="Times New Roman"/>
        </w:rPr>
      </w:pPr>
      <w:r>
        <w:rPr>
          <w:rFonts w:eastAsia="Times New Roman"/>
          <w:color w:val="000000"/>
          <w:sz w:val="20"/>
          <w:szCs w:val="20"/>
        </w:rPr>
        <w:t>Amortization expense for identifiable intangible assets was $627 million, $729 million and $</w:t>
      </w:r>
      <w:r>
        <w:rPr>
          <w:rFonts w:eastAsia="Times New Roman"/>
          <w:color w:val="000000"/>
          <w:sz w:val="20"/>
          <w:szCs w:val="20"/>
        </w:rPr>
        <w:t>290 million in fiscal 2021, fiscal 2020 and the two quarters ended January 3, 2020, respectively, and primarily related to the L3Harris Merger and our acquisition of Exelis Inc. (“Exelis”). Amortization expense for identifiable intangible assets was $115 m</w:t>
      </w:r>
      <w:r>
        <w:rPr>
          <w:rFonts w:eastAsia="Times New Roman"/>
          <w:color w:val="000000"/>
          <w:sz w:val="20"/>
          <w:szCs w:val="20"/>
        </w:rPr>
        <w:t>illion in fiscal 2019 and primarily related to our acquisition of Exelis.</w:t>
      </w:r>
    </w:p>
    <w:p w:rsidR="00000000" w:rsidRDefault="00AE54EE">
      <w:pPr>
        <w:ind w:firstLine="450"/>
        <w:divId w:val="604534052"/>
        <w:rPr>
          <w:rFonts w:eastAsia="Times New Roman"/>
        </w:rPr>
      </w:pPr>
      <w:r>
        <w:rPr>
          <w:rFonts w:eastAsia="Times New Roman"/>
          <w:color w:val="000000"/>
          <w:sz w:val="20"/>
          <w:szCs w:val="20"/>
        </w:rPr>
        <w:t>Future estimated amortization expense for identifiable intangible assets is as follows:</w:t>
      </w:r>
    </w:p>
    <w:tbl>
      <w:tblPr>
        <w:tblW w:w="4899" w:type="pct"/>
        <w:tblCellMar>
          <w:top w:w="15" w:type="dxa"/>
          <w:left w:w="15" w:type="dxa"/>
          <w:bottom w:w="15" w:type="dxa"/>
          <w:right w:w="15" w:type="dxa"/>
        </w:tblCellMar>
        <w:tblLook w:val="04A0" w:firstRow="1" w:lastRow="0" w:firstColumn="1" w:lastColumn="0" w:noHBand="0" w:noVBand="1"/>
      </w:tblPr>
      <w:tblGrid>
        <w:gridCol w:w="49"/>
        <w:gridCol w:w="6573"/>
        <w:gridCol w:w="36"/>
        <w:gridCol w:w="121"/>
        <w:gridCol w:w="1323"/>
        <w:gridCol w:w="36"/>
      </w:tblGrid>
      <w:tr w:rsidR="00000000">
        <w:trPr>
          <w:divId w:val="16853590"/>
        </w:trPr>
        <w:tc>
          <w:tcPr>
            <w:tcW w:w="50" w:type="pct"/>
            <w:vAlign w:val="center"/>
            <w:hideMark/>
          </w:tcPr>
          <w:p w:rsidR="00000000" w:rsidRDefault="00AE54EE">
            <w:pPr>
              <w:ind w:firstLine="450"/>
              <w:rPr>
                <w:rFonts w:eastAsia="Times New Roman"/>
              </w:rPr>
            </w:pPr>
          </w:p>
        </w:tc>
        <w:tc>
          <w:tcPr>
            <w:tcW w:w="405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83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6853590"/>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(In millions)</w:t>
            </w:r>
          </w:p>
        </w:tc>
      </w:tr>
      <w:tr w:rsidR="00000000">
        <w:trPr>
          <w:divId w:val="16853590"/>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853590"/>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2022</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853590"/>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853590"/>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853590"/>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853590"/>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853590"/>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2,071 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853590"/>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jc w:val="center"/>
        <w:divId w:val="1146124780"/>
        <w:rPr>
          <w:rFonts w:eastAsia="Times New Roman"/>
        </w:rPr>
      </w:pPr>
      <w:r>
        <w:rPr>
          <w:rFonts w:eastAsia="Times New Roman"/>
          <w:color w:val="000000"/>
          <w:sz w:val="20"/>
          <w:szCs w:val="20"/>
        </w:rPr>
        <w:t>90</w:t>
      </w:r>
    </w:p>
    <w:p w:rsidR="00000000" w:rsidRDefault="00AE54EE">
      <w:pPr>
        <w:rPr>
          <w:rFonts w:eastAsia="Times New Roman"/>
        </w:rPr>
      </w:pPr>
      <w:r>
        <w:rPr>
          <w:rFonts w:eastAsia="Times New Roman"/>
        </w:rPr>
        <w:pict>
          <v:rect id="_x0000_i1118" style="width:0;height:1.5pt" o:hralign="center" o:hrstd="t" o:hr="t" fillcolor="#a0a0a0" stroked="f"/>
        </w:pict>
      </w:r>
    </w:p>
    <w:p w:rsidR="00000000" w:rsidRDefault="00AE54EE">
      <w:pPr>
        <w:ind w:firstLine="450"/>
        <w:divId w:val="87583849"/>
        <w:rPr>
          <w:rFonts w:eastAsia="Times New Roman"/>
        </w:rPr>
      </w:pPr>
    </w:p>
    <w:p w:rsidR="00000000" w:rsidRDefault="00AE54EE">
      <w:pPr>
        <w:divId w:val="354506820"/>
        <w:rPr>
          <w:rFonts w:eastAsia="Times New Roman"/>
        </w:rPr>
      </w:pPr>
      <w:r>
        <w:rPr>
          <w:rFonts w:eastAsia="Times New Roman"/>
          <w:b/>
          <w:bCs/>
          <w:color w:val="000000"/>
          <w:sz w:val="20"/>
          <w:szCs w:val="20"/>
        </w:rPr>
        <w:t>NOTE 11: ACCRUED WARRANTIES</w:t>
      </w:r>
      <w:r>
        <w:rPr>
          <w:rFonts w:eastAsia="Times New Roman"/>
          <w:b/>
          <w:bCs/>
          <w:i/>
          <w:iCs/>
          <w:color w:val="000000"/>
          <w:sz w:val="20"/>
          <w:szCs w:val="20"/>
        </w:rPr>
        <w:t xml:space="preserve"> </w:t>
      </w:r>
    </w:p>
    <w:p w:rsidR="00000000" w:rsidRDefault="00AE54EE">
      <w:pPr>
        <w:ind w:firstLine="450"/>
        <w:divId w:val="1119110188"/>
        <w:rPr>
          <w:rFonts w:eastAsia="Times New Roman"/>
        </w:rPr>
      </w:pPr>
      <w:r>
        <w:rPr>
          <w:rFonts w:eastAsia="Times New Roman"/>
          <w:color w:val="000000"/>
          <w:sz w:val="20"/>
          <w:szCs w:val="20"/>
        </w:rPr>
        <w:t xml:space="preserve">Our liability for standard product warranties is included as a component of the “Other accrued items” and “Other long-term liabilities” </w:t>
      </w:r>
      <w:r>
        <w:rPr>
          <w:rFonts w:eastAsia="Times New Roman"/>
          <w:color w:val="000000"/>
          <w:sz w:val="20"/>
          <w:szCs w:val="20"/>
        </w:rPr>
        <w:t>line items in our Consolidated Balance Sheet. Changes in our liability for standard product warranties in fiscal 2021 and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675"/>
        <w:gridCol w:w="38"/>
        <w:gridCol w:w="121"/>
        <w:gridCol w:w="1049"/>
        <w:gridCol w:w="36"/>
        <w:gridCol w:w="36"/>
        <w:gridCol w:w="36"/>
        <w:gridCol w:w="36"/>
        <w:gridCol w:w="121"/>
        <w:gridCol w:w="1011"/>
        <w:gridCol w:w="36"/>
        <w:gridCol w:w="36"/>
        <w:gridCol w:w="36"/>
      </w:tblGrid>
      <w:tr w:rsidR="00000000">
        <w:trPr>
          <w:divId w:val="1275793991"/>
        </w:trPr>
        <w:tc>
          <w:tcPr>
            <w:tcW w:w="50" w:type="pct"/>
            <w:vAlign w:val="center"/>
            <w:hideMark/>
          </w:tcPr>
          <w:p w:rsidR="00000000" w:rsidRDefault="00AE54EE">
            <w:pPr>
              <w:ind w:firstLine="450"/>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75793991"/>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275793991"/>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75793991"/>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Balance at the beginning of the period</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75793991"/>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7579399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Adjustments to previously estimated fair value of warranty liabilities assumed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7579399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Decrease from divestitures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7579399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Accruals for product warranties issued during the period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75793991"/>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Settlements made during the period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75793991"/>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including foreign 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275793991"/>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Balance at the end of the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divId w:val="1004628575"/>
        <w:rPr>
          <w:rFonts w:eastAsia="Times New Roman"/>
        </w:rPr>
      </w:pPr>
      <w:r>
        <w:rPr>
          <w:rFonts w:eastAsia="Times New Roman"/>
          <w:b/>
          <w:bCs/>
          <w:color w:val="000000"/>
          <w:sz w:val="20"/>
          <w:szCs w:val="20"/>
        </w:rPr>
        <w:t>NOTE 12: CREDIT ARRANGEMENTS</w:t>
      </w:r>
      <w:r>
        <w:rPr>
          <w:rFonts w:eastAsia="Times New Roman"/>
          <w:b/>
          <w:bCs/>
          <w:i/>
          <w:iCs/>
          <w:color w:val="000000"/>
          <w:sz w:val="20"/>
          <w:szCs w:val="20"/>
        </w:rPr>
        <w:t xml:space="preserve"> </w:t>
      </w:r>
    </w:p>
    <w:p w:rsidR="00000000" w:rsidRDefault="00AE54EE">
      <w:pPr>
        <w:ind w:firstLine="450"/>
        <w:divId w:val="1496454429"/>
        <w:rPr>
          <w:rFonts w:eastAsia="Times New Roman"/>
        </w:rPr>
      </w:pPr>
      <w:r>
        <w:rPr>
          <w:rFonts w:eastAsia="Times New Roman"/>
          <w:color w:val="000000"/>
          <w:sz w:val="20"/>
          <w:szCs w:val="20"/>
        </w:rPr>
        <w:t>On June 28, 2019, we established a $2 billion, 5-year senior unsecured revolving credit facility (the “2019 Credit Facility”</w:t>
      </w:r>
      <w:r>
        <w:rPr>
          <w:rFonts w:eastAsia="Times New Roman"/>
          <w:color w:val="000000"/>
          <w:sz w:val="20"/>
          <w:szCs w:val="20"/>
        </w:rPr>
        <w:t xml:space="preserve">) by entering into a Revolving Credit Agreement (as amended, the “2019 Credit Agreement”) with a syndicate of lenders. </w:t>
      </w:r>
    </w:p>
    <w:p w:rsidR="00000000" w:rsidRDefault="00AE54EE">
      <w:pPr>
        <w:ind w:firstLine="450"/>
        <w:divId w:val="11613777"/>
        <w:rPr>
          <w:rFonts w:eastAsia="Times New Roman"/>
        </w:rPr>
      </w:pPr>
      <w:r>
        <w:rPr>
          <w:rFonts w:eastAsia="Times New Roman"/>
          <w:color w:val="000000"/>
          <w:sz w:val="20"/>
          <w:szCs w:val="20"/>
        </w:rPr>
        <w:t>The 2019 Credit Agreement provides for the extension of credit to us in the form of revolving loans, including swingline loans and lette</w:t>
      </w:r>
      <w:r>
        <w:rPr>
          <w:rFonts w:eastAsia="Times New Roman"/>
          <w:color w:val="000000"/>
          <w:sz w:val="20"/>
          <w:szCs w:val="20"/>
        </w:rPr>
        <w:t>rs of credit, at any time and from time to time during the term of the 2019 Credit Agreement, in an aggregate principal amount at any time outstanding not to exceed $2 billion for both revolving loans and letters of credit, with a sub-limit of $140 million</w:t>
      </w:r>
      <w:r>
        <w:rPr>
          <w:rFonts w:eastAsia="Times New Roman"/>
          <w:color w:val="000000"/>
          <w:sz w:val="20"/>
          <w:szCs w:val="20"/>
        </w:rPr>
        <w:t xml:space="preserve"> for swingline loans and a sub-limit of $350 million for letters of credit. Borrowings under the 2019 Credit Agreement are denominated in U.S. Dollars. The 2019 Credit Agreement includes a provision pursuant to which, from time to time, we may request that</w:t>
      </w:r>
      <w:r>
        <w:rPr>
          <w:rFonts w:eastAsia="Times New Roman"/>
          <w:color w:val="000000"/>
          <w:sz w:val="20"/>
          <w:szCs w:val="20"/>
        </w:rPr>
        <w:t xml:space="preserve"> the lenders in their discretion increase the maximum amount of commitments under the 2019 Credit Agreement by an amount not to exceed $1 billion. Only consenting lenders (including new lenders reasonably acceptable to the administrative agent) will partic</w:t>
      </w:r>
      <w:r>
        <w:rPr>
          <w:rFonts w:eastAsia="Times New Roman"/>
          <w:color w:val="000000"/>
          <w:sz w:val="20"/>
          <w:szCs w:val="20"/>
        </w:rPr>
        <w:t>ipate in any increase. In no event will the maximum amount of credit extensions available under the 2019 Credit Agreement exceed $3 billion. The proceeds of loans or letters of credit borrowings under the 2019 Credit Agreement are restricted from being use</w:t>
      </w:r>
      <w:r>
        <w:rPr>
          <w:rFonts w:eastAsia="Times New Roman"/>
          <w:color w:val="000000"/>
          <w:sz w:val="20"/>
          <w:szCs w:val="20"/>
        </w:rPr>
        <w:t>d for hostile acquisitions (as defined in the 2019 Credit Agreement) or for any purpose in contravention of applicable laws. We are not otherwise restricted under the 2019 Credit Agreement from using the proceeds of loans or letters of credit borrowings un</w:t>
      </w:r>
      <w:r>
        <w:rPr>
          <w:rFonts w:eastAsia="Times New Roman"/>
          <w:color w:val="000000"/>
          <w:sz w:val="20"/>
          <w:szCs w:val="20"/>
        </w:rPr>
        <w:t>der the 2019 Credit Agreement for working capital and other general corporate purposes or from using the 2019 Credit Facility to refinance existing debt and to repay maturing commercial paper issued by us from time to time. Subject to certain conditions (i</w:t>
      </w:r>
      <w:r>
        <w:rPr>
          <w:rFonts w:eastAsia="Times New Roman"/>
          <w:color w:val="000000"/>
          <w:sz w:val="20"/>
          <w:szCs w:val="20"/>
        </w:rPr>
        <w:t xml:space="preserve">ncluding the absence of any default and the accuracy of certain representations and warranties), we may borrow, prepay and re-borrow amounts under the 2019 Credit Agreement at any time during the term. </w:t>
      </w:r>
    </w:p>
    <w:p w:rsidR="00000000" w:rsidRDefault="00AE54EE">
      <w:pPr>
        <w:ind w:firstLine="450"/>
        <w:divId w:val="1737313185"/>
        <w:rPr>
          <w:rFonts w:eastAsia="Times New Roman"/>
        </w:rPr>
      </w:pPr>
      <w:r>
        <w:rPr>
          <w:rFonts w:eastAsia="Times New Roman"/>
          <w:color w:val="000000"/>
          <w:sz w:val="20"/>
          <w:szCs w:val="20"/>
        </w:rPr>
        <w:t>The 2019 Credit Agreement provides that we may design</w:t>
      </w:r>
      <w:r>
        <w:rPr>
          <w:rFonts w:eastAsia="Times New Roman"/>
          <w:color w:val="000000"/>
          <w:sz w:val="20"/>
          <w:szCs w:val="20"/>
        </w:rPr>
        <w:t>ate wholly-owned subsidiaries organized in the United States, Canada or the United Kingdom (or such other jurisdictions as all lenders shall approve) as borrowers under the 2019 Credit Agreement. The obligations of any such subsidiary borrower shall be gua</w:t>
      </w:r>
      <w:r>
        <w:rPr>
          <w:rFonts w:eastAsia="Times New Roman"/>
          <w:color w:val="000000"/>
          <w:sz w:val="20"/>
          <w:szCs w:val="20"/>
        </w:rPr>
        <w:t>ranteed by us.</w:t>
      </w:r>
    </w:p>
    <w:p w:rsidR="00000000" w:rsidRDefault="00AE54EE">
      <w:pPr>
        <w:ind w:firstLine="450"/>
        <w:divId w:val="1862933105"/>
        <w:rPr>
          <w:rFonts w:eastAsia="Times New Roman"/>
        </w:rPr>
      </w:pPr>
      <w:r>
        <w:rPr>
          <w:rFonts w:eastAsia="Times New Roman"/>
          <w:color w:val="000000"/>
          <w:sz w:val="20"/>
          <w:szCs w:val="20"/>
        </w:rPr>
        <w:t>The 2019 Credit Agreement provides that we may from time to time designate certain of our subsidiaries as unrestricted subsidiaries, which means certain of the representations and covenants in the 2019 Credit Agreement do not apply in respec</w:t>
      </w:r>
      <w:r>
        <w:rPr>
          <w:rFonts w:eastAsia="Times New Roman"/>
          <w:color w:val="000000"/>
          <w:sz w:val="20"/>
          <w:szCs w:val="20"/>
        </w:rPr>
        <w:t>t of such subsidiaries.</w:t>
      </w:r>
    </w:p>
    <w:p w:rsidR="00000000" w:rsidRDefault="00AE54EE">
      <w:pPr>
        <w:ind w:firstLine="450"/>
        <w:divId w:val="2036543267"/>
        <w:rPr>
          <w:rFonts w:eastAsia="Times New Roman"/>
        </w:rPr>
      </w:pPr>
      <w:r>
        <w:rPr>
          <w:rFonts w:eastAsia="Times New Roman"/>
          <w:color w:val="000000"/>
          <w:sz w:val="20"/>
          <w:szCs w:val="20"/>
        </w:rPr>
        <w:t xml:space="preserve">At our election, borrowings under the 2019 Credit Agreement denominated in U.S. Dollars will bear interest either at (i) the eurocurrency rate for the applicable interest period plus an applicable margin, or (ii) the base rate plus </w:t>
      </w:r>
      <w:r>
        <w:rPr>
          <w:rFonts w:eastAsia="Times New Roman"/>
          <w:color w:val="000000"/>
          <w:sz w:val="20"/>
          <w:szCs w:val="20"/>
        </w:rPr>
        <w:t>an applicable margin. The eurocurrency rate for an interest period is the rate per annum equal to (a) the London interbank offered rate (“LIBOR”) for such interest period, divided by (b) a percentage equal to 1.00 minus the daily average eurocurrency reser</w:t>
      </w:r>
      <w:r>
        <w:rPr>
          <w:rFonts w:eastAsia="Times New Roman"/>
          <w:color w:val="000000"/>
          <w:sz w:val="20"/>
          <w:szCs w:val="20"/>
        </w:rPr>
        <w:t>ve rate for such interest period. The applicable interest rate margin over the eurocurrency rate is currently equal to 1.250%, but may increase (to a maximum amount of 1.875%) or decrease (to a minimum amount of 1.125%) based on changes in the ratings of o</w:t>
      </w:r>
      <w:r>
        <w:rPr>
          <w:rFonts w:eastAsia="Times New Roman"/>
          <w:color w:val="000000"/>
          <w:sz w:val="20"/>
          <w:szCs w:val="20"/>
        </w:rPr>
        <w:t>ur senior unsecured long-term debt securities (“Senior Debt Ratings”). The base rate for any day is a rate per annum equal to the greatest of (i) the prime lending rate published in the Wall Street Journal, (ii) the Federal Reserve Bank of New York (“NYFRB</w:t>
      </w:r>
      <w:r>
        <w:rPr>
          <w:rFonts w:eastAsia="Times New Roman"/>
          <w:color w:val="000000"/>
          <w:sz w:val="20"/>
          <w:szCs w:val="20"/>
        </w:rPr>
        <w:t xml:space="preserve">”) Rate (“NYFRB Rate”) plus 0.500% (the NYFRB Rate is the greater of (a) the federal funds rate and (b) the overnight bank funding rate published by the NYFRB), and (iii) the eurocurrency rate for a one month interest period (as defined in the 2019 Credit </w:t>
      </w:r>
      <w:r>
        <w:rPr>
          <w:rFonts w:eastAsia="Times New Roman"/>
          <w:color w:val="000000"/>
          <w:sz w:val="20"/>
          <w:szCs w:val="20"/>
        </w:rPr>
        <w:t xml:space="preserve">Agreement) plus 1.000%. The applicable interest rate margin over the base rate is initially equal to 0.375%, but may increase (to a maximum amount of 0.875%) or decrease (to a minimum amount of 0.125%) based on changes in our Senior Debt Ratings. </w:t>
      </w:r>
    </w:p>
    <w:p w:rsidR="00000000" w:rsidRDefault="00AE54EE">
      <w:pPr>
        <w:ind w:firstLine="450"/>
        <w:divId w:val="1432119149"/>
        <w:rPr>
          <w:rFonts w:eastAsia="Times New Roman"/>
        </w:rPr>
      </w:pPr>
      <w:r>
        <w:rPr>
          <w:rFonts w:eastAsia="Times New Roman"/>
          <w:color w:val="000000"/>
          <w:sz w:val="20"/>
          <w:szCs w:val="20"/>
        </w:rPr>
        <w:t>In addit</w:t>
      </w:r>
      <w:r>
        <w:rPr>
          <w:rFonts w:eastAsia="Times New Roman"/>
          <w:color w:val="000000"/>
          <w:sz w:val="20"/>
          <w:szCs w:val="20"/>
        </w:rPr>
        <w:t xml:space="preserve">ion to interest payable on the principal amount of indebtedness outstanding from time to time under the 2019 Credit Agreement and letter of credit fees, we are required to pay a quarterly unused commitment fee, which shall accrue at an applicable rate per </w:t>
      </w:r>
      <w:r>
        <w:rPr>
          <w:rFonts w:eastAsia="Times New Roman"/>
          <w:color w:val="000000"/>
          <w:sz w:val="20"/>
          <w:szCs w:val="20"/>
        </w:rPr>
        <w:t xml:space="preserve">annum multiplied by the actual daily amount of the lenders’ aggregate unused commitments under the 2019 Credit </w:t>
      </w:r>
    </w:p>
    <w:p w:rsidR="00000000" w:rsidRDefault="00AE54EE">
      <w:pPr>
        <w:ind w:firstLine="450"/>
        <w:jc w:val="center"/>
        <w:divId w:val="1697926865"/>
        <w:rPr>
          <w:rFonts w:eastAsia="Times New Roman"/>
        </w:rPr>
      </w:pPr>
      <w:r>
        <w:rPr>
          <w:rFonts w:eastAsia="Times New Roman"/>
          <w:color w:val="000000"/>
          <w:sz w:val="20"/>
          <w:szCs w:val="20"/>
        </w:rPr>
        <w:t>91</w:t>
      </w:r>
    </w:p>
    <w:p w:rsidR="00000000" w:rsidRDefault="00AE54EE">
      <w:pPr>
        <w:rPr>
          <w:rFonts w:eastAsia="Times New Roman"/>
        </w:rPr>
      </w:pPr>
      <w:r>
        <w:rPr>
          <w:rFonts w:eastAsia="Times New Roman"/>
        </w:rPr>
        <w:pict>
          <v:rect id="_x0000_i1119" style="width:0;height:1.5pt" o:hralign="center" o:hrstd="t" o:hr="t" fillcolor="#a0a0a0" stroked="f"/>
        </w:pict>
      </w:r>
    </w:p>
    <w:p w:rsidR="00000000" w:rsidRDefault="00AE54EE">
      <w:pPr>
        <w:ind w:firstLine="450"/>
        <w:divId w:val="1299335794"/>
        <w:rPr>
          <w:rFonts w:eastAsia="Times New Roman"/>
        </w:rPr>
      </w:pPr>
    </w:p>
    <w:p w:rsidR="00000000" w:rsidRDefault="00AE54EE">
      <w:pPr>
        <w:divId w:val="1497188478"/>
        <w:rPr>
          <w:rFonts w:eastAsia="Times New Roman"/>
        </w:rPr>
      </w:pPr>
      <w:r>
        <w:rPr>
          <w:rFonts w:eastAsia="Times New Roman"/>
          <w:color w:val="000000"/>
          <w:sz w:val="20"/>
          <w:szCs w:val="20"/>
        </w:rPr>
        <w:t>Agreement. The applicable rate per annum for the unused commitment fee is currently equal to 0.150%, b</w:t>
      </w:r>
      <w:r>
        <w:rPr>
          <w:rFonts w:eastAsia="Times New Roman"/>
          <w:color w:val="000000"/>
          <w:sz w:val="20"/>
          <w:szCs w:val="20"/>
        </w:rPr>
        <w:t xml:space="preserve">ut may increase (to a maximum amount of 0.300%) or decrease (to a minimum amount of 0.125%) based on changes in our Senior Debt Ratings. </w:t>
      </w:r>
    </w:p>
    <w:p w:rsidR="00000000" w:rsidRDefault="00AE54EE">
      <w:pPr>
        <w:ind w:firstLine="450"/>
        <w:divId w:val="826628665"/>
        <w:rPr>
          <w:rFonts w:eastAsia="Times New Roman"/>
        </w:rPr>
      </w:pPr>
      <w:r>
        <w:rPr>
          <w:rFonts w:eastAsia="Times New Roman"/>
          <w:color w:val="000000"/>
          <w:sz w:val="20"/>
          <w:szCs w:val="20"/>
        </w:rPr>
        <w:t xml:space="preserve">The 2019 Credit Agreement contains certain representations and warranties for the benefit of the administrative agent </w:t>
      </w:r>
      <w:r>
        <w:rPr>
          <w:rFonts w:eastAsia="Times New Roman"/>
          <w:color w:val="000000"/>
          <w:sz w:val="20"/>
          <w:szCs w:val="20"/>
        </w:rPr>
        <w:t>and the lenders. The 2019 Credit Agreement also contains certain affirmative covenants, and negative covenants with limitations on various transactions including a requirement that we not permit our ratio of consolidated total indebtedness (excluding defin</w:t>
      </w:r>
      <w:r>
        <w:rPr>
          <w:rFonts w:eastAsia="Times New Roman"/>
          <w:color w:val="000000"/>
          <w:sz w:val="20"/>
          <w:szCs w:val="20"/>
        </w:rPr>
        <w:t>ed benefit plan liabilities) to total capital, each as defined in the 2019 Credit Agreement, to be greater than 0.65:1.00. We were in compliance with the covenants in the 2019 Credit Agreement at December 31, 2021.</w:t>
      </w:r>
    </w:p>
    <w:p w:rsidR="00000000" w:rsidRDefault="00AE54EE">
      <w:pPr>
        <w:ind w:firstLine="450"/>
        <w:divId w:val="1390110614"/>
        <w:rPr>
          <w:rFonts w:eastAsia="Times New Roman"/>
        </w:rPr>
      </w:pPr>
      <w:r>
        <w:rPr>
          <w:rFonts w:eastAsia="Times New Roman"/>
          <w:color w:val="000000"/>
          <w:sz w:val="20"/>
          <w:szCs w:val="20"/>
        </w:rPr>
        <w:t>The 2019 Credit Agreement contains certai</w:t>
      </w:r>
      <w:r>
        <w:rPr>
          <w:rFonts w:eastAsia="Times New Roman"/>
          <w:color w:val="000000"/>
          <w:sz w:val="20"/>
          <w:szCs w:val="20"/>
        </w:rPr>
        <w:t>n events of default, including: failure to make payments under the 2019 Credit Agreement; failure to perform or observe terms, covenants or agreements contained in the 2019 Credit Agreement; material inaccuracy of any representation or warranty under the 2</w:t>
      </w:r>
      <w:r>
        <w:rPr>
          <w:rFonts w:eastAsia="Times New Roman"/>
          <w:color w:val="000000"/>
          <w:sz w:val="20"/>
          <w:szCs w:val="20"/>
        </w:rPr>
        <w:t>019 Credit Agreement; payment default by us or certain of our subsidiaries under other indebtedness with a principal amount in excess of $200 million or acceleration of or ability to accelerate such other indebtedness; occurrence of one or more final judgm</w:t>
      </w:r>
      <w:r>
        <w:rPr>
          <w:rFonts w:eastAsia="Times New Roman"/>
          <w:color w:val="000000"/>
          <w:sz w:val="20"/>
          <w:szCs w:val="20"/>
        </w:rPr>
        <w:t>ents or orders for the payment by us or certain of our subsidiaries of money in excess of $200 million that remain unsatisfied; incurrence by us or certain of our subsidiaries of certain ERISA liability in excess of $200 million; any bankruptcy or insolven</w:t>
      </w:r>
      <w:r>
        <w:rPr>
          <w:rFonts w:eastAsia="Times New Roman"/>
          <w:color w:val="000000"/>
          <w:sz w:val="20"/>
          <w:szCs w:val="20"/>
        </w:rPr>
        <w:t>cy of L3Harris or any material subsidiary; invalidity of 2019 Credit Agreement documentation; or a change of control (as defined in the 2019 Credit Agreement) of L3Harris. If an event of default occurs, then the lenders may, among other things, terminate t</w:t>
      </w:r>
      <w:r>
        <w:rPr>
          <w:rFonts w:eastAsia="Times New Roman"/>
          <w:color w:val="000000"/>
          <w:sz w:val="20"/>
          <w:szCs w:val="20"/>
        </w:rPr>
        <w:t>heir commitments and declare all outstanding borrowings to be immediately due and payable together with accrued interest and fees.</w:t>
      </w:r>
    </w:p>
    <w:p w:rsidR="00000000" w:rsidRDefault="00AE54EE">
      <w:pPr>
        <w:ind w:firstLine="450"/>
        <w:divId w:val="513302409"/>
        <w:rPr>
          <w:rFonts w:eastAsia="Times New Roman"/>
        </w:rPr>
      </w:pPr>
      <w:r>
        <w:rPr>
          <w:rFonts w:eastAsia="Times New Roman"/>
          <w:color w:val="000000"/>
          <w:sz w:val="20"/>
          <w:szCs w:val="20"/>
        </w:rPr>
        <w:t>All principal amounts borrowed or outstanding under the 2019 Credit Agreement are due on June 28, 2024, unless (i) the commit</w:t>
      </w:r>
      <w:r>
        <w:rPr>
          <w:rFonts w:eastAsia="Times New Roman"/>
          <w:color w:val="000000"/>
          <w:sz w:val="20"/>
          <w:szCs w:val="20"/>
        </w:rPr>
        <w:t>ments are terminated earlier either at our request or if certain events of default described in the 2019 Credit Agreement occur or (ii) the maturity date is extended pursuant to provisions allowing us, from time to time after June 28, 2020, but at least 45</w:t>
      </w:r>
      <w:r>
        <w:rPr>
          <w:rFonts w:eastAsia="Times New Roman"/>
          <w:color w:val="000000"/>
          <w:sz w:val="20"/>
          <w:szCs w:val="20"/>
        </w:rPr>
        <w:t xml:space="preserve"> days prior to the scheduled maturity date then in effect, to request that the scheduled maturity date then in effect be extended by</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calendar year (with no more than one such extension permitted in any calendar year and no more than two such extensions</w:t>
      </w:r>
      <w:r>
        <w:rPr>
          <w:rFonts w:eastAsia="Times New Roman"/>
          <w:color w:val="000000"/>
          <w:sz w:val="20"/>
          <w:szCs w:val="20"/>
        </w:rPr>
        <w:t xml:space="preserve"> during the term of the 2019 Credit Agreement), subject to approval by lenders holding a majority of the commitments under the 2019 Credit Agreement and satisfaction of certain conditions stated in the 2019 Credit Agreement (including the absence of any de</w:t>
      </w:r>
      <w:r>
        <w:rPr>
          <w:rFonts w:eastAsia="Times New Roman"/>
          <w:color w:val="000000"/>
          <w:sz w:val="20"/>
          <w:szCs w:val="20"/>
        </w:rPr>
        <w:t>fault and the accuracy of certain representations and warranties); provided, however, that all revolving loans of those lenders declining to participate in the requested extension and whose commitments under the 2019 Credit Agreement have not been replaced</w:t>
      </w:r>
      <w:r>
        <w:rPr>
          <w:rFonts w:eastAsia="Times New Roman"/>
          <w:color w:val="000000"/>
          <w:sz w:val="20"/>
          <w:szCs w:val="20"/>
        </w:rPr>
        <w:t xml:space="preserve"> pursuant to customary replacement rights in our favor shall remain due and payable in full, and all commitments under the 2019 Credit Agreement of such declining lenders shall terminate, on the maturity date in effect prior to the requested extension. At </w:t>
      </w:r>
      <w:r>
        <w:rPr>
          <w:rFonts w:eastAsia="Times New Roman"/>
          <w:color w:val="000000"/>
          <w:sz w:val="20"/>
          <w:szCs w:val="20"/>
        </w:rPr>
        <w:t>December 31, 2021, we had no borrowings outstanding under the 2019 Credit Facility.</w:t>
      </w:r>
    </w:p>
    <w:p w:rsidR="00000000" w:rsidRDefault="00AE54EE">
      <w:pPr>
        <w:ind w:firstLine="450"/>
        <w:jc w:val="center"/>
        <w:divId w:val="946044348"/>
        <w:rPr>
          <w:rFonts w:eastAsia="Times New Roman"/>
        </w:rPr>
      </w:pPr>
      <w:r>
        <w:rPr>
          <w:rFonts w:eastAsia="Times New Roman"/>
          <w:color w:val="000000"/>
          <w:sz w:val="20"/>
          <w:szCs w:val="20"/>
        </w:rPr>
        <w:t>92</w:t>
      </w:r>
    </w:p>
    <w:p w:rsidR="00000000" w:rsidRDefault="00AE54EE">
      <w:pPr>
        <w:rPr>
          <w:rFonts w:eastAsia="Times New Roman"/>
        </w:rPr>
      </w:pPr>
      <w:r>
        <w:rPr>
          <w:rFonts w:eastAsia="Times New Roman"/>
        </w:rPr>
        <w:pict>
          <v:rect id="_x0000_i1120" style="width:0;height:1.5pt" o:hralign="center" o:hrstd="t" o:hr="t" fillcolor="#a0a0a0" stroked="f"/>
        </w:pict>
      </w:r>
    </w:p>
    <w:p w:rsidR="00000000" w:rsidRDefault="00AE54EE">
      <w:pPr>
        <w:ind w:firstLine="450"/>
        <w:divId w:val="868029054"/>
        <w:rPr>
          <w:rFonts w:eastAsia="Times New Roman"/>
        </w:rPr>
      </w:pPr>
    </w:p>
    <w:p w:rsidR="00000000" w:rsidRDefault="00AE54EE">
      <w:pPr>
        <w:divId w:val="1532575378"/>
        <w:rPr>
          <w:rFonts w:eastAsia="Times New Roman"/>
        </w:rPr>
      </w:pPr>
      <w:r>
        <w:rPr>
          <w:rFonts w:eastAsia="Times New Roman"/>
          <w:b/>
          <w:bCs/>
          <w:color w:val="000000"/>
          <w:sz w:val="20"/>
          <w:szCs w:val="20"/>
        </w:rPr>
        <w:t>NOTE 13: DEBT</w:t>
      </w:r>
      <w:r>
        <w:rPr>
          <w:rFonts w:eastAsia="Times New Roman"/>
          <w:b/>
          <w:bCs/>
          <w:i/>
          <w:iCs/>
          <w:color w:val="000000"/>
          <w:sz w:val="20"/>
          <w:szCs w:val="20"/>
        </w:rPr>
        <w:t xml:space="preserve"> </w:t>
      </w:r>
    </w:p>
    <w:p w:rsidR="00000000" w:rsidRDefault="00AE54EE">
      <w:pPr>
        <w:divId w:val="177695916"/>
        <w:rPr>
          <w:rFonts w:eastAsia="Times New Roman"/>
        </w:rPr>
      </w:pPr>
      <w:r>
        <w:rPr>
          <w:rFonts w:eastAsia="Times New Roman"/>
          <w:b/>
          <w:bCs/>
          <w:color w:val="000000"/>
          <w:sz w:val="20"/>
          <w:szCs w:val="20"/>
        </w:rPr>
        <w:t>Long-Term Debt</w:t>
      </w:r>
    </w:p>
    <w:p w:rsidR="00000000" w:rsidRDefault="00AE54EE">
      <w:pPr>
        <w:ind w:firstLine="450"/>
        <w:divId w:val="1015302685"/>
        <w:rPr>
          <w:rFonts w:eastAsia="Times New Roman"/>
        </w:rPr>
      </w:pPr>
      <w:r>
        <w:rPr>
          <w:rFonts w:eastAsia="Times New Roman"/>
          <w:color w:val="000000"/>
          <w:sz w:val="20"/>
          <w:szCs w:val="20"/>
        </w:rPr>
        <w:t>Long-term debt, net is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1"/>
        <w:gridCol w:w="5725"/>
        <w:gridCol w:w="40"/>
        <w:gridCol w:w="121"/>
        <w:gridCol w:w="1058"/>
        <w:gridCol w:w="36"/>
        <w:gridCol w:w="36"/>
        <w:gridCol w:w="36"/>
        <w:gridCol w:w="36"/>
        <w:gridCol w:w="120"/>
        <w:gridCol w:w="1021"/>
        <w:gridCol w:w="36"/>
      </w:tblGrid>
      <w:tr w:rsidR="00000000">
        <w:trPr>
          <w:divId w:val="640233969"/>
        </w:trPr>
        <w:tc>
          <w:tcPr>
            <w:tcW w:w="50" w:type="pct"/>
            <w:vAlign w:val="center"/>
            <w:hideMark/>
          </w:tcPr>
          <w:p w:rsidR="00000000" w:rsidRDefault="00AE54EE">
            <w:pPr>
              <w:ind w:firstLine="450"/>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r>
      <w:tr w:rsidR="00000000">
        <w:trPr>
          <w:divId w:val="640233969"/>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Variable-rate debt: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Floating rate notes, due March 10, 2023</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Height w:val="28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Fixed-rate debt: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shd w:val="clear" w:color="auto" w:fill="CCEEFF"/>
            <w:tcMar>
              <w:top w:w="30" w:type="dxa"/>
              <w:left w:w="20" w:type="dxa"/>
              <w:bottom w:w="30" w:type="dxa"/>
              <w:right w:w="20" w:type="dxa"/>
            </w:tcMar>
            <w:hideMark/>
          </w:tcPr>
          <w:p w:rsidR="00000000" w:rsidRDefault="00AE54EE">
            <w:pPr>
              <w:spacing w:after="100"/>
              <w:divId w:val="1371103995"/>
              <w:rPr>
                <w:rFonts w:eastAsia="Times New Roman"/>
              </w:rPr>
            </w:pPr>
            <w:r>
              <w:rPr>
                <w:rFonts w:eastAsia="Times New Roman"/>
                <w:color w:val="000000"/>
                <w:sz w:val="20"/>
                <w:szCs w:val="20"/>
              </w:rPr>
              <w:t>3.85</w:t>
            </w:r>
            <w:r>
              <w:rPr>
                <w:rFonts w:eastAsia="Times New Roman"/>
                <w:color w:val="000000"/>
                <w:sz w:val="20"/>
                <w:szCs w:val="20"/>
              </w:rPr>
              <w:t>% notes, due June 15, 2023</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FFFFFF"/>
            <w:tcMar>
              <w:top w:w="30" w:type="dxa"/>
              <w:left w:w="20" w:type="dxa"/>
              <w:bottom w:w="30" w:type="dxa"/>
              <w:right w:w="20" w:type="dxa"/>
            </w:tcMar>
            <w:hideMark/>
          </w:tcPr>
          <w:p w:rsidR="00000000" w:rsidRDefault="00AE54EE">
            <w:pPr>
              <w:spacing w:after="100"/>
              <w:divId w:val="1527670660"/>
              <w:rPr>
                <w:rFonts w:eastAsia="Times New Roman"/>
              </w:rPr>
            </w:pPr>
            <w:r>
              <w:rPr>
                <w:rFonts w:eastAsia="Times New Roman"/>
                <w:color w:val="000000"/>
                <w:sz w:val="20"/>
                <w:szCs w:val="20"/>
              </w:rPr>
              <w:t>3.95% notes, due May 28, 2024</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shd w:val="clear" w:color="auto" w:fill="CCEEFF"/>
            <w:tcMar>
              <w:top w:w="30" w:type="dxa"/>
              <w:left w:w="20" w:type="dxa"/>
              <w:bottom w:w="30" w:type="dxa"/>
              <w:right w:w="20" w:type="dxa"/>
            </w:tcMar>
            <w:hideMark/>
          </w:tcPr>
          <w:p w:rsidR="00000000" w:rsidRDefault="00AE54EE">
            <w:pPr>
              <w:spacing w:after="100"/>
              <w:divId w:val="1664970325"/>
              <w:rPr>
                <w:rFonts w:eastAsia="Times New Roman"/>
              </w:rPr>
            </w:pPr>
            <w:r>
              <w:rPr>
                <w:rFonts w:eastAsia="Times New Roman"/>
                <w:color w:val="000000"/>
                <w:sz w:val="20"/>
                <w:szCs w:val="20"/>
              </w:rPr>
              <w:t>3.832% notes, due April 27, 2025</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FFFFFF"/>
            <w:tcMar>
              <w:top w:w="30" w:type="dxa"/>
              <w:left w:w="20" w:type="dxa"/>
              <w:bottom w:w="30" w:type="dxa"/>
              <w:right w:w="20" w:type="dxa"/>
            </w:tcMar>
            <w:hideMark/>
          </w:tcPr>
          <w:p w:rsidR="00000000" w:rsidRDefault="00AE54EE">
            <w:pPr>
              <w:spacing w:after="100"/>
              <w:divId w:val="1437604573"/>
              <w:rPr>
                <w:rFonts w:eastAsia="Times New Roman"/>
              </w:rPr>
            </w:pPr>
            <w:r>
              <w:rPr>
                <w:rFonts w:eastAsia="Times New Roman"/>
                <w:color w:val="000000"/>
                <w:sz w:val="20"/>
                <w:szCs w:val="20"/>
              </w:rPr>
              <w:t>7.00% debentures, due January 15, 2026</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CCEEFF"/>
            <w:tcMar>
              <w:top w:w="30" w:type="dxa"/>
              <w:left w:w="20" w:type="dxa"/>
              <w:bottom w:w="30" w:type="dxa"/>
              <w:right w:w="20" w:type="dxa"/>
            </w:tcMar>
            <w:hideMark/>
          </w:tcPr>
          <w:p w:rsidR="00000000" w:rsidRDefault="00AE54EE">
            <w:pPr>
              <w:spacing w:after="100"/>
              <w:divId w:val="297418839"/>
              <w:rPr>
                <w:rFonts w:eastAsia="Times New Roman"/>
              </w:rPr>
            </w:pPr>
            <w:r>
              <w:rPr>
                <w:rFonts w:eastAsia="Times New Roman"/>
                <w:color w:val="000000"/>
                <w:sz w:val="20"/>
                <w:szCs w:val="20"/>
              </w:rPr>
              <w:t>3.85</w:t>
            </w:r>
            <w:r>
              <w:rPr>
                <w:rFonts w:eastAsia="Times New Roman"/>
                <w:color w:val="000000"/>
                <w:sz w:val="20"/>
                <w:szCs w:val="20"/>
              </w:rPr>
              <w:t>% notes, due December 15, 2026</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FFFFFF"/>
            <w:tcMar>
              <w:top w:w="30" w:type="dxa"/>
              <w:left w:w="20" w:type="dxa"/>
              <w:bottom w:w="30" w:type="dxa"/>
              <w:right w:w="20" w:type="dxa"/>
            </w:tcMar>
            <w:hideMark/>
          </w:tcPr>
          <w:p w:rsidR="00000000" w:rsidRDefault="00AE54EE">
            <w:pPr>
              <w:spacing w:after="100"/>
              <w:divId w:val="1850216008"/>
              <w:rPr>
                <w:rFonts w:eastAsia="Times New Roman"/>
              </w:rPr>
            </w:pPr>
            <w:r>
              <w:rPr>
                <w:rFonts w:eastAsia="Times New Roman"/>
                <w:color w:val="000000"/>
                <w:sz w:val="20"/>
                <w:szCs w:val="20"/>
              </w:rPr>
              <w:t>6.35% debentures, due February 1, 2028</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CCEEFF"/>
            <w:tcMar>
              <w:top w:w="30" w:type="dxa"/>
              <w:left w:w="20" w:type="dxa"/>
              <w:bottom w:w="30" w:type="dxa"/>
              <w:right w:w="20" w:type="dxa"/>
            </w:tcMar>
            <w:hideMark/>
          </w:tcPr>
          <w:p w:rsidR="00000000" w:rsidRDefault="00AE54EE">
            <w:pPr>
              <w:spacing w:after="100"/>
              <w:divId w:val="1640724547"/>
              <w:rPr>
                <w:rFonts w:eastAsia="Times New Roman"/>
              </w:rPr>
            </w:pPr>
            <w:r>
              <w:rPr>
                <w:rFonts w:eastAsia="Times New Roman"/>
                <w:color w:val="000000"/>
                <w:sz w:val="20"/>
                <w:szCs w:val="20"/>
              </w:rPr>
              <w:t>4.40% notes, due June 15, 2028</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FFFFFF"/>
            <w:tcMar>
              <w:top w:w="30" w:type="dxa"/>
              <w:left w:w="20" w:type="dxa"/>
              <w:bottom w:w="30" w:type="dxa"/>
              <w:right w:w="20" w:type="dxa"/>
            </w:tcMar>
            <w:hideMark/>
          </w:tcPr>
          <w:p w:rsidR="00000000" w:rsidRDefault="00AE54EE">
            <w:pPr>
              <w:spacing w:after="100"/>
              <w:divId w:val="1080099189"/>
              <w:rPr>
                <w:rFonts w:eastAsia="Times New Roman"/>
              </w:rPr>
            </w:pPr>
            <w:r>
              <w:rPr>
                <w:rFonts w:eastAsia="Times New Roman"/>
                <w:color w:val="000000"/>
                <w:sz w:val="20"/>
                <w:szCs w:val="20"/>
              </w:rPr>
              <w:t>2.90% notes, due December 15, 2029</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CCEEFF"/>
            <w:tcMar>
              <w:top w:w="30" w:type="dxa"/>
              <w:left w:w="20" w:type="dxa"/>
              <w:bottom w:w="30" w:type="dxa"/>
              <w:right w:w="20" w:type="dxa"/>
            </w:tcMar>
            <w:hideMark/>
          </w:tcPr>
          <w:p w:rsidR="00000000" w:rsidRDefault="00AE54EE">
            <w:pPr>
              <w:spacing w:after="100"/>
              <w:divId w:val="1619095172"/>
              <w:rPr>
                <w:rFonts w:eastAsia="Times New Roman"/>
              </w:rPr>
            </w:pPr>
            <w:r>
              <w:rPr>
                <w:rFonts w:eastAsia="Times New Roman"/>
                <w:color w:val="000000"/>
                <w:sz w:val="20"/>
                <w:szCs w:val="20"/>
              </w:rPr>
              <w:t>1.80</w:t>
            </w:r>
            <w:r>
              <w:rPr>
                <w:rFonts w:eastAsia="Times New Roman"/>
                <w:color w:val="000000"/>
                <w:sz w:val="20"/>
                <w:szCs w:val="20"/>
              </w:rPr>
              <w:t>% notes, due January 15, 2031</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FFFFFF"/>
            <w:tcMar>
              <w:top w:w="30" w:type="dxa"/>
              <w:left w:w="20" w:type="dxa"/>
              <w:bottom w:w="30" w:type="dxa"/>
              <w:right w:w="20" w:type="dxa"/>
            </w:tcMar>
            <w:hideMark/>
          </w:tcPr>
          <w:p w:rsidR="00000000" w:rsidRDefault="00AE54EE">
            <w:pPr>
              <w:spacing w:after="100"/>
              <w:divId w:val="1752309612"/>
              <w:rPr>
                <w:rFonts w:eastAsia="Times New Roman"/>
              </w:rPr>
            </w:pPr>
            <w:r>
              <w:rPr>
                <w:rFonts w:eastAsia="Times New Roman"/>
                <w:color w:val="000000"/>
                <w:sz w:val="20"/>
                <w:szCs w:val="20"/>
              </w:rPr>
              <w:t>4.854% notes, due April 27, 2035</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CCEEFF"/>
            <w:tcMar>
              <w:top w:w="30" w:type="dxa"/>
              <w:left w:w="20" w:type="dxa"/>
              <w:bottom w:w="30" w:type="dxa"/>
              <w:right w:w="20" w:type="dxa"/>
            </w:tcMar>
            <w:hideMark/>
          </w:tcPr>
          <w:p w:rsidR="00000000" w:rsidRDefault="00AE54EE">
            <w:pPr>
              <w:spacing w:after="100"/>
              <w:divId w:val="223492862"/>
              <w:rPr>
                <w:rFonts w:eastAsia="Times New Roman"/>
              </w:rPr>
            </w:pPr>
            <w:r>
              <w:rPr>
                <w:rFonts w:eastAsia="Times New Roman"/>
                <w:color w:val="000000"/>
                <w:sz w:val="20"/>
                <w:szCs w:val="20"/>
              </w:rPr>
              <w:t>6.15% notes, due December 15, 2040</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FFFFFF"/>
            <w:tcMar>
              <w:top w:w="30" w:type="dxa"/>
              <w:left w:w="20" w:type="dxa"/>
              <w:bottom w:w="30" w:type="dxa"/>
              <w:right w:w="20" w:type="dxa"/>
            </w:tcMar>
            <w:hideMark/>
          </w:tcPr>
          <w:p w:rsidR="00000000" w:rsidRDefault="00AE54EE">
            <w:pPr>
              <w:spacing w:after="100"/>
              <w:divId w:val="959532065"/>
              <w:rPr>
                <w:rFonts w:eastAsia="Times New Roman"/>
              </w:rPr>
            </w:pPr>
            <w:r>
              <w:rPr>
                <w:rFonts w:eastAsia="Times New Roman"/>
                <w:color w:val="000000"/>
                <w:sz w:val="20"/>
                <w:szCs w:val="20"/>
              </w:rPr>
              <w:t>5.054% notes, due April 27, 2045</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64023396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variable and fixed-rate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Financing lease obligations and other debt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Plus: unamortized bond premium</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Less: unamortized discounts and issuance costs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debt,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Less: current portion of long-term debt, net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4023396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long-term debt,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68843934"/>
        <w:rPr>
          <w:rFonts w:eastAsia="Times New Roman"/>
        </w:rPr>
      </w:pPr>
      <w:r>
        <w:rPr>
          <w:rFonts w:eastAsia="Times New Roman"/>
          <w:color w:val="000000"/>
          <w:sz w:val="20"/>
          <w:szCs w:val="20"/>
        </w:rPr>
        <w:t>The potential maturities of long-term debt, including the current portion, for the five years following the end of fiscal 2021 and, in total, thereafter are: $15 million in fiscal 2022; $1,065 million in fiscal 2023; $362 million in fiscal 2024; $612 milli</w:t>
      </w:r>
      <w:r>
        <w:rPr>
          <w:rFonts w:eastAsia="Times New Roman"/>
          <w:color w:val="000000"/>
          <w:sz w:val="20"/>
          <w:szCs w:val="20"/>
        </w:rPr>
        <w:t xml:space="preserve">on in fiscal 2025; $662 million in fiscal 2026; and $4,278 million thereafter. </w:t>
      </w:r>
    </w:p>
    <w:p w:rsidR="00000000" w:rsidRDefault="00AE54EE">
      <w:pPr>
        <w:ind w:firstLine="450"/>
        <w:divId w:val="1217349471"/>
        <w:rPr>
          <w:rFonts w:eastAsia="Times New Roman"/>
        </w:rPr>
      </w:pPr>
      <w:r>
        <w:rPr>
          <w:rFonts w:eastAsia="Times New Roman"/>
          <w:color w:val="000000"/>
          <w:sz w:val="20"/>
          <w:szCs w:val="20"/>
        </w:rPr>
        <w:t>There were no repayments or issuance of fixed-rate or variable-rate debt during fiscal 2021.</w:t>
      </w:r>
    </w:p>
    <w:p w:rsidR="00000000" w:rsidRDefault="00AE54EE">
      <w:pPr>
        <w:divId w:val="419445332"/>
        <w:rPr>
          <w:rFonts w:eastAsia="Times New Roman"/>
        </w:rPr>
      </w:pPr>
      <w:r>
        <w:rPr>
          <w:rFonts w:eastAsia="Times New Roman"/>
          <w:b/>
          <w:bCs/>
          <w:color w:val="000000"/>
          <w:sz w:val="20"/>
          <w:szCs w:val="20"/>
        </w:rPr>
        <w:t>Long-Term Debt Repaid in Fiscal 2020    </w:t>
      </w:r>
    </w:p>
    <w:p w:rsidR="00000000" w:rsidRDefault="00AE54EE">
      <w:pPr>
        <w:ind w:firstLine="450"/>
        <w:divId w:val="1141269792"/>
        <w:rPr>
          <w:rFonts w:eastAsia="Times New Roman"/>
        </w:rPr>
      </w:pPr>
      <w:r>
        <w:rPr>
          <w:rFonts w:eastAsia="Times New Roman"/>
          <w:i/>
          <w:iCs/>
          <w:color w:val="000000"/>
          <w:sz w:val="20"/>
          <w:szCs w:val="20"/>
        </w:rPr>
        <w:t xml:space="preserve">Fixed-rate Debt. </w:t>
      </w:r>
      <w:r>
        <w:rPr>
          <w:rFonts w:eastAsia="Times New Roman"/>
          <w:color w:val="000000"/>
          <w:sz w:val="20"/>
          <w:szCs w:val="20"/>
        </w:rPr>
        <w:t>On December 14, 2020, we completed our optional redemption of the entire outstanding $650 million aggregate principal amount of our 4.95% 2021 Notes (as defined below under “Debt Exchange”) for a redemption price of $650 million as set forth in the 4.95% 2</w:t>
      </w:r>
      <w:r>
        <w:rPr>
          <w:rFonts w:eastAsia="Times New Roman"/>
          <w:color w:val="000000"/>
          <w:sz w:val="20"/>
          <w:szCs w:val="20"/>
        </w:rPr>
        <w:t>021 Notes. After adjusting for the carrying value of our unamortized premium, we recorded a $2 million gain on the extinguishment of the 4.95% 2021 Notes, which is included as a component of the “Non-operating income” line item in our Consolidated Statemen</w:t>
      </w:r>
      <w:r>
        <w:rPr>
          <w:rFonts w:eastAsia="Times New Roman"/>
          <w:color w:val="000000"/>
          <w:sz w:val="20"/>
          <w:szCs w:val="20"/>
        </w:rPr>
        <w:t xml:space="preserve">t of Income for fiscal 2020. </w:t>
      </w:r>
    </w:p>
    <w:p w:rsidR="00000000" w:rsidRDefault="00AE54EE">
      <w:pPr>
        <w:ind w:firstLine="450"/>
        <w:divId w:val="327445358"/>
        <w:rPr>
          <w:rFonts w:eastAsia="Times New Roman"/>
        </w:rPr>
      </w:pPr>
      <w:r>
        <w:rPr>
          <w:rFonts w:eastAsia="Times New Roman"/>
          <w:i/>
          <w:iCs/>
          <w:color w:val="000000"/>
          <w:sz w:val="20"/>
          <w:szCs w:val="20"/>
        </w:rPr>
        <w:t>Variable-rate Debt</w:t>
      </w:r>
      <w:r>
        <w:rPr>
          <w:rFonts w:eastAsia="Times New Roman"/>
          <w:color w:val="000000"/>
          <w:sz w:val="20"/>
          <w:szCs w:val="20"/>
        </w:rPr>
        <w:t>. During the second quarter of fiscal 2020, we repaid at maturity the entire outstanding $250 million aggregate principal amount of our Floating Rate Notes due April 30, 2020.</w:t>
      </w:r>
    </w:p>
    <w:p w:rsidR="00000000" w:rsidRDefault="00AE54EE">
      <w:pPr>
        <w:divId w:val="102042954"/>
        <w:rPr>
          <w:rFonts w:eastAsia="Times New Roman"/>
        </w:rPr>
      </w:pPr>
      <w:r>
        <w:rPr>
          <w:rFonts w:eastAsia="Times New Roman"/>
          <w:b/>
          <w:bCs/>
          <w:color w:val="000000"/>
          <w:sz w:val="20"/>
          <w:szCs w:val="20"/>
        </w:rPr>
        <w:t xml:space="preserve">Long-Term Debt Issued in Fiscal </w:t>
      </w:r>
      <w:r>
        <w:rPr>
          <w:rFonts w:eastAsia="Times New Roman"/>
          <w:b/>
          <w:bCs/>
          <w:color w:val="000000"/>
          <w:sz w:val="20"/>
          <w:szCs w:val="20"/>
        </w:rPr>
        <w:t>2020</w:t>
      </w:r>
    </w:p>
    <w:p w:rsidR="00000000" w:rsidRDefault="00AE54EE">
      <w:pPr>
        <w:ind w:firstLine="450"/>
        <w:divId w:val="1386023698"/>
        <w:rPr>
          <w:rFonts w:eastAsia="Times New Roman"/>
        </w:rPr>
      </w:pPr>
      <w:r>
        <w:rPr>
          <w:rFonts w:eastAsia="Times New Roman"/>
          <w:i/>
          <w:iCs/>
          <w:color w:val="000000"/>
          <w:sz w:val="20"/>
          <w:szCs w:val="20"/>
        </w:rPr>
        <w:t xml:space="preserve">Fixed-rate Debt. </w:t>
      </w:r>
      <w:r>
        <w:rPr>
          <w:rFonts w:eastAsia="Times New Roman"/>
          <w:color w:val="000000"/>
          <w:sz w:val="20"/>
          <w:szCs w:val="20"/>
        </w:rPr>
        <w:t>On November 25, 2020, in order to fund the optional redemption of the 4.95% 2021 Notes as described above under “Long-Term Debt Repaid in Fiscal 2020,” we completed the issuance of $650 million in aggregate principal amount of 1.80% n</w:t>
      </w:r>
      <w:r>
        <w:rPr>
          <w:rFonts w:eastAsia="Times New Roman"/>
          <w:color w:val="000000"/>
          <w:sz w:val="20"/>
          <w:szCs w:val="20"/>
        </w:rPr>
        <w:t>otes due January 15, 2031 (the “1.80% 2031 Notes”). Interest on the 1.80% 2031 Notes is payable semi-annually in arrears on January 15 and July 15 of each year, commencing on July 15, 2021. At any time prior to October 15, 2030, we may redeem the 1.80% 203</w:t>
      </w:r>
      <w:r>
        <w:rPr>
          <w:rFonts w:eastAsia="Times New Roman"/>
          <w:color w:val="000000"/>
          <w:sz w:val="20"/>
          <w:szCs w:val="20"/>
        </w:rPr>
        <w:t>1 Notes, in whole or in part, at our option, at a “make-whole” redemption price equal to the greater of 100 percent of the principal amount of the 1.80% 2031 Notes or the sum of the present values of the remaining scheduled payments of the principal plus a</w:t>
      </w:r>
      <w:r>
        <w:rPr>
          <w:rFonts w:eastAsia="Times New Roman"/>
          <w:color w:val="000000"/>
          <w:sz w:val="20"/>
          <w:szCs w:val="20"/>
        </w:rPr>
        <w:t xml:space="preserve">ccrued interest (other than interest accruing to the date of redemption) on the notes being redeemed, discounted to the redemption date on a semi-annual basis at the “Treasury Rate,” as defined in the 1.80% 2031 Notes, plus 15 basis points. </w:t>
      </w:r>
    </w:p>
    <w:p w:rsidR="00000000" w:rsidRDefault="00AE54EE">
      <w:pPr>
        <w:ind w:firstLine="450"/>
        <w:jc w:val="center"/>
        <w:divId w:val="1214581361"/>
        <w:rPr>
          <w:rFonts w:eastAsia="Times New Roman"/>
        </w:rPr>
      </w:pPr>
      <w:r>
        <w:rPr>
          <w:rFonts w:eastAsia="Times New Roman"/>
          <w:color w:val="000000"/>
          <w:sz w:val="20"/>
          <w:szCs w:val="20"/>
        </w:rPr>
        <w:t>93</w:t>
      </w:r>
    </w:p>
    <w:p w:rsidR="00000000" w:rsidRDefault="00AE54EE">
      <w:pPr>
        <w:rPr>
          <w:rFonts w:eastAsia="Times New Roman"/>
        </w:rPr>
      </w:pPr>
      <w:r>
        <w:rPr>
          <w:rFonts w:eastAsia="Times New Roman"/>
        </w:rPr>
        <w:pict>
          <v:rect id="_x0000_i1121" style="width:0;height:1.5pt" o:hralign="center" o:hrstd="t" o:hr="t" fillcolor="#a0a0a0" stroked="f"/>
        </w:pict>
      </w:r>
    </w:p>
    <w:p w:rsidR="00000000" w:rsidRDefault="00AE54EE">
      <w:pPr>
        <w:ind w:firstLine="450"/>
        <w:divId w:val="1349063367"/>
        <w:rPr>
          <w:rFonts w:eastAsia="Times New Roman"/>
        </w:rPr>
      </w:pPr>
    </w:p>
    <w:p w:rsidR="00000000" w:rsidRDefault="00AE54EE">
      <w:pPr>
        <w:divId w:val="1084765922"/>
        <w:rPr>
          <w:rFonts w:eastAsia="Times New Roman"/>
        </w:rPr>
      </w:pPr>
      <w:r>
        <w:rPr>
          <w:rFonts w:eastAsia="Times New Roman"/>
          <w:color w:val="000000"/>
          <w:sz w:val="20"/>
          <w:szCs w:val="20"/>
        </w:rPr>
        <w:t>We will pay accrued interest on the principal amount of notes being redeemed to, but not including, the redemption date. At any time on or after October 15, 2030, we may redeem the 1.80% 2031 Notes, in whole or in part, at our o</w:t>
      </w:r>
      <w:r>
        <w:rPr>
          <w:rFonts w:eastAsia="Times New Roman"/>
          <w:color w:val="000000"/>
          <w:sz w:val="20"/>
          <w:szCs w:val="20"/>
        </w:rPr>
        <w:t>ption, at a redemption price equal to 100 percent of the principal amount of the notes being redeemed, plus accrued interest on the principal amount of the notes being redeemed to, but not including, the redemption date. In addition, upon change of control</w:t>
      </w:r>
      <w:r>
        <w:rPr>
          <w:rFonts w:eastAsia="Times New Roman"/>
          <w:color w:val="000000"/>
          <w:sz w:val="20"/>
          <w:szCs w:val="20"/>
        </w:rPr>
        <w:t xml:space="preserve"> combined with a below-investment-grade rating event, we may be required to make an offer to repurchase the 1.80% 2031 Notes at a price equal to 101 percent of the aggregate principal amount of the notes being repurchased, plus accrued interest on the note</w:t>
      </w:r>
      <w:r>
        <w:rPr>
          <w:rFonts w:eastAsia="Times New Roman"/>
          <w:color w:val="000000"/>
          <w:sz w:val="20"/>
          <w:szCs w:val="20"/>
        </w:rPr>
        <w:t xml:space="preserve">s being repurchased to, but not including, the date of repurchase. We incurred $6 million of debt issuance costs related to the issuance of the 1.80% 2031 Notes, which are being amortized using the effective interest rate method over the life of the 1.80% </w:t>
      </w:r>
      <w:r>
        <w:rPr>
          <w:rFonts w:eastAsia="Times New Roman"/>
          <w:color w:val="000000"/>
          <w:sz w:val="20"/>
          <w:szCs w:val="20"/>
        </w:rPr>
        <w:t>2031 Notes, and such amortization is included as a component of the “Interest expense” line item in our Consolidated Statement of Income.</w:t>
      </w:r>
    </w:p>
    <w:p w:rsidR="00000000" w:rsidRDefault="00AE54EE">
      <w:pPr>
        <w:ind w:firstLine="450"/>
        <w:divId w:val="347298624"/>
        <w:rPr>
          <w:rFonts w:eastAsia="Times New Roman"/>
        </w:rPr>
      </w:pPr>
      <w:r>
        <w:rPr>
          <w:rFonts w:eastAsia="Times New Roman"/>
          <w:i/>
          <w:iCs/>
          <w:color w:val="000000"/>
          <w:sz w:val="20"/>
          <w:szCs w:val="20"/>
        </w:rPr>
        <w:t>Variable-rate Debt</w:t>
      </w:r>
      <w:r>
        <w:rPr>
          <w:rFonts w:eastAsia="Times New Roman"/>
          <w:color w:val="000000"/>
          <w:sz w:val="20"/>
          <w:szCs w:val="20"/>
        </w:rPr>
        <w:t xml:space="preserve">. During the first quarter of 2020, we completed the issuance and sale of $250 million in aggregate </w:t>
      </w:r>
      <w:r>
        <w:rPr>
          <w:rFonts w:eastAsia="Times New Roman"/>
          <w:color w:val="000000"/>
          <w:sz w:val="20"/>
          <w:szCs w:val="20"/>
        </w:rPr>
        <w:t>principal amount of Floating Rate Notes due March 10, 2023 (the “Floating Rate Notes 2023”). The Floating Rate Notes 2023 bear interest at a floating rate, reset quarterly, equal to three-month LIBOR plus 0.75% per year. Interest on the Floating Rate Notes</w:t>
      </w:r>
      <w:r>
        <w:rPr>
          <w:rFonts w:eastAsia="Times New Roman"/>
          <w:color w:val="000000"/>
          <w:sz w:val="20"/>
          <w:szCs w:val="20"/>
        </w:rPr>
        <w:t xml:space="preserve"> 2023 is payable quarterly in arrears on March 10, June 10, September 10 and December 10 of each year, commencing on June 10, 2020. The Floating Rate Notes 2023 are unsecured and unsubordinated and rank equally in right of payment with all other unsecured </w:t>
      </w:r>
      <w:r>
        <w:rPr>
          <w:rFonts w:eastAsia="Times New Roman"/>
          <w:color w:val="000000"/>
          <w:sz w:val="20"/>
          <w:szCs w:val="20"/>
        </w:rPr>
        <w:t>and unsubordinated indebtedness. The Floating Rate Notes 2023 are not redeemable at our option prior to maturity. Debt issuance costs related to the issuance of the Floating Rate Notes 2023 were not material. We used the net proceeds from the sale of the F</w:t>
      </w:r>
      <w:r>
        <w:rPr>
          <w:rFonts w:eastAsia="Times New Roman"/>
          <w:color w:val="000000"/>
          <w:sz w:val="20"/>
          <w:szCs w:val="20"/>
        </w:rPr>
        <w:t>loating Rate Notes 2023 to repay at maturity the aggregate principal amount of our Floating Rate Notes due April 30, 2020 as described above under “Long-Term Debt Repaid in Fiscal 2020”.</w:t>
      </w:r>
    </w:p>
    <w:p w:rsidR="00000000" w:rsidRDefault="00AE54EE">
      <w:pPr>
        <w:divId w:val="973606390"/>
        <w:rPr>
          <w:rFonts w:eastAsia="Times New Roman"/>
        </w:rPr>
      </w:pPr>
      <w:r>
        <w:rPr>
          <w:rFonts w:eastAsia="Times New Roman"/>
          <w:b/>
          <w:bCs/>
          <w:color w:val="000000"/>
          <w:sz w:val="20"/>
          <w:szCs w:val="20"/>
        </w:rPr>
        <w:t>Debt Exchange</w:t>
      </w:r>
    </w:p>
    <w:p w:rsidR="00000000" w:rsidRDefault="00AE54EE">
      <w:pPr>
        <w:ind w:firstLine="450"/>
        <w:divId w:val="504395678"/>
        <w:rPr>
          <w:rFonts w:eastAsia="Times New Roman"/>
        </w:rPr>
      </w:pPr>
      <w:r>
        <w:rPr>
          <w:rFonts w:eastAsia="Times New Roman"/>
          <w:color w:val="000000"/>
          <w:sz w:val="20"/>
          <w:szCs w:val="20"/>
        </w:rPr>
        <w:t>In connection with the L3Harris Merger, on July 2, 2019</w:t>
      </w:r>
      <w:r>
        <w:rPr>
          <w:rFonts w:eastAsia="Times New Roman"/>
          <w:color w:val="000000"/>
          <w:sz w:val="20"/>
          <w:szCs w:val="20"/>
        </w:rPr>
        <w:t>, we settled our previously announced debt exchange offers in which eligible holders of L3 senior notes (“L3 Notes”) could exchange such outstanding notes for (1) up to $3.35 billion aggregate principal amount of new notes issued by L3Harris (“New L3Harris</w:t>
      </w:r>
      <w:r>
        <w:rPr>
          <w:rFonts w:eastAsia="Times New Roman"/>
          <w:color w:val="000000"/>
          <w:sz w:val="20"/>
          <w:szCs w:val="20"/>
        </w:rPr>
        <w:t xml:space="preserve"> Notes”) and (2) one dollar in cash for each $1,000 of principal amount. Each series of the New L3Harris Notes issued has an interest rate and maturity date that is identical to the L3 Notes. </w:t>
      </w:r>
    </w:p>
    <w:tbl>
      <w:tblPr>
        <w:tblW w:w="5000" w:type="pct"/>
        <w:tblCellMar>
          <w:top w:w="15" w:type="dxa"/>
          <w:left w:w="15" w:type="dxa"/>
          <w:bottom w:w="15" w:type="dxa"/>
          <w:right w:w="15" w:type="dxa"/>
        </w:tblCellMar>
        <w:tblLook w:val="04A0" w:firstRow="1" w:lastRow="0" w:firstColumn="1" w:lastColumn="0" w:noHBand="0" w:noVBand="1"/>
      </w:tblPr>
      <w:tblGrid>
        <w:gridCol w:w="39"/>
        <w:gridCol w:w="4451"/>
        <w:gridCol w:w="38"/>
        <w:gridCol w:w="121"/>
        <w:gridCol w:w="1054"/>
        <w:gridCol w:w="36"/>
        <w:gridCol w:w="36"/>
        <w:gridCol w:w="36"/>
        <w:gridCol w:w="36"/>
        <w:gridCol w:w="121"/>
        <w:gridCol w:w="1024"/>
        <w:gridCol w:w="36"/>
        <w:gridCol w:w="36"/>
        <w:gridCol w:w="36"/>
        <w:gridCol w:w="36"/>
        <w:gridCol w:w="121"/>
        <w:gridCol w:w="1013"/>
        <w:gridCol w:w="36"/>
      </w:tblGrid>
      <w:tr w:rsidR="00000000">
        <w:trPr>
          <w:divId w:val="1352224430"/>
        </w:trPr>
        <w:tc>
          <w:tcPr>
            <w:tcW w:w="50" w:type="pct"/>
            <w:vAlign w:val="center"/>
            <w:hideMark/>
          </w:tcPr>
          <w:p w:rsidR="00000000" w:rsidRDefault="00AE54EE">
            <w:pPr>
              <w:ind w:firstLine="450"/>
              <w:rPr>
                <w:rFonts w:eastAsia="Times New Roman"/>
              </w:rPr>
            </w:pPr>
          </w:p>
        </w:tc>
        <w:tc>
          <w:tcPr>
            <w:tcW w:w="271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352224430"/>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Aggregate Principal</w:t>
            </w:r>
            <w:r>
              <w:rPr>
                <w:rFonts w:eastAsia="Times New Roman"/>
                <w:b/>
                <w:bCs/>
                <w:color w:val="000000"/>
                <w:sz w:val="16"/>
                <w:szCs w:val="16"/>
              </w:rPr>
              <w:br/>
              <w:t>Amount of L3 Notes</w:t>
            </w:r>
            <w:r>
              <w:rPr>
                <w:rFonts w:eastAsia="Times New Roman"/>
                <w:b/>
                <w:bCs/>
                <w:color w:val="000000"/>
                <w:sz w:val="16"/>
                <w:szCs w:val="16"/>
              </w:rPr>
              <w:br/>
              <w:t>(prior to debt</w:t>
            </w:r>
            <w:r>
              <w:rPr>
                <w:rFonts w:eastAsia="Times New Roman"/>
                <w:b/>
                <w:bCs/>
                <w:color w:val="000000"/>
                <w:sz w:val="16"/>
                <w:szCs w:val="16"/>
              </w:rPr>
              <w:br/>
              <w:t>exchange)</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Aggregate Principal</w:t>
            </w:r>
            <w:r>
              <w:rPr>
                <w:rFonts w:eastAsia="Times New Roman"/>
                <w:b/>
                <w:bCs/>
                <w:color w:val="000000"/>
                <w:sz w:val="16"/>
                <w:szCs w:val="16"/>
              </w:rPr>
              <w:br/>
              <w:t>Amount of</w:t>
            </w:r>
            <w:r>
              <w:rPr>
                <w:rFonts w:eastAsia="Times New Roman"/>
                <w:b/>
                <w:bCs/>
                <w:color w:val="000000"/>
                <w:sz w:val="16"/>
                <w:szCs w:val="16"/>
              </w:rPr>
              <w:br/>
              <w:t>New L3Harris Notes</w:t>
            </w:r>
            <w:r>
              <w:rPr>
                <w:rFonts w:eastAsia="Times New Roman"/>
                <w:b/>
                <w:bCs/>
                <w:color w:val="000000"/>
                <w:sz w:val="16"/>
                <w:szCs w:val="16"/>
              </w:rPr>
              <w:br/>
              <w:t>Issued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Aggregate Principal</w:t>
            </w:r>
            <w:r>
              <w:rPr>
                <w:rFonts w:eastAsia="Times New Roman"/>
                <w:b/>
                <w:bCs/>
                <w:color w:val="000000"/>
                <w:sz w:val="16"/>
                <w:szCs w:val="16"/>
              </w:rPr>
              <w:br/>
              <w:t>Amount of</w:t>
            </w:r>
            <w:r>
              <w:rPr>
                <w:rFonts w:eastAsia="Times New Roman"/>
                <w:b/>
                <w:bCs/>
                <w:color w:val="000000"/>
                <w:sz w:val="16"/>
                <w:szCs w:val="16"/>
              </w:rPr>
              <w:br/>
              <w:t>Remaining L3 Notes</w:t>
            </w:r>
          </w:p>
        </w:tc>
      </w:tr>
      <w:tr w:rsidR="00000000">
        <w:trPr>
          <w:divId w:val="1352224430"/>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52224430"/>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divId w:val="566771431"/>
              <w:rPr>
                <w:rFonts w:eastAsia="Times New Roman"/>
              </w:rPr>
            </w:pPr>
            <w:r>
              <w:rPr>
                <w:rFonts w:eastAsia="Times New Roman"/>
                <w:color w:val="000000"/>
                <w:sz w:val="20"/>
                <w:szCs w:val="20"/>
              </w:rPr>
              <w:t>4.95</w:t>
            </w:r>
            <w:r>
              <w:rPr>
                <w:rFonts w:eastAsia="Times New Roman"/>
                <w:color w:val="000000"/>
                <w:sz w:val="20"/>
                <w:szCs w:val="20"/>
              </w:rPr>
              <w:t>% notes due February 15, 2021 (“4.95% 2021 Notes”)</w:t>
            </w:r>
          </w:p>
        </w:tc>
        <w:tc>
          <w:tcPr>
            <w:tcW w:w="0" w:type="auto"/>
            <w:shd w:val="clear" w:color="auto" w:fill="CCEEFF"/>
            <w:tcMar>
              <w:top w:w="30" w:type="dxa"/>
              <w:left w:w="20" w:type="dxa"/>
              <w:bottom w:w="30" w:type="dxa"/>
              <w:right w:w="0" w:type="dxa"/>
            </w:tcMar>
            <w:vAlign w:val="center"/>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650 </w:t>
            </w:r>
          </w:p>
        </w:tc>
        <w:tc>
          <w:tcPr>
            <w:tcW w:w="0" w:type="auto"/>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r>
      <w:tr w:rsidR="00000000">
        <w:trPr>
          <w:divId w:val="1352224430"/>
        </w:trPr>
        <w:tc>
          <w:tcPr>
            <w:tcW w:w="0" w:type="auto"/>
            <w:gridSpan w:val="3"/>
            <w:shd w:val="clear" w:color="auto" w:fill="FFFFFF"/>
            <w:tcMar>
              <w:top w:w="30" w:type="dxa"/>
              <w:left w:w="20" w:type="dxa"/>
              <w:bottom w:w="30" w:type="dxa"/>
              <w:right w:w="20" w:type="dxa"/>
            </w:tcMar>
            <w:vAlign w:val="center"/>
            <w:hideMark/>
          </w:tcPr>
          <w:p w:rsidR="00000000" w:rsidRDefault="00AE54EE">
            <w:pPr>
              <w:spacing w:after="100"/>
              <w:divId w:val="770592460"/>
              <w:rPr>
                <w:rFonts w:eastAsia="Times New Roman"/>
              </w:rPr>
            </w:pPr>
            <w:r>
              <w:rPr>
                <w:rFonts w:eastAsia="Times New Roman"/>
                <w:color w:val="000000"/>
                <w:sz w:val="20"/>
                <w:szCs w:val="20"/>
              </w:rPr>
              <w:t>3.85% notes due June 15, 2023 (“3.85% 2023 Notes”)</w:t>
            </w:r>
          </w:p>
        </w:tc>
        <w:tc>
          <w:tcPr>
            <w:tcW w:w="0" w:type="auto"/>
            <w:gridSpan w:val="2"/>
            <w:shd w:val="clear" w:color="auto" w:fill="FFFF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800 </w:t>
            </w:r>
          </w:p>
        </w:tc>
        <w:tc>
          <w:tcPr>
            <w:tcW w:w="0" w:type="auto"/>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r>
      <w:tr w:rsidR="00000000">
        <w:trPr>
          <w:divId w:val="1352224430"/>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divId w:val="282805503"/>
              <w:rPr>
                <w:rFonts w:eastAsia="Times New Roman"/>
              </w:rPr>
            </w:pPr>
            <w:r>
              <w:rPr>
                <w:rFonts w:eastAsia="Times New Roman"/>
                <w:color w:val="000000"/>
                <w:sz w:val="20"/>
                <w:szCs w:val="20"/>
              </w:rPr>
              <w:t>3.95% notes due May 28, 2024 (“3.95% 2024 Notes”)</w:t>
            </w:r>
          </w:p>
        </w:tc>
        <w:tc>
          <w:tcPr>
            <w:tcW w:w="0" w:type="auto"/>
            <w:gridSpan w:val="2"/>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326 </w:t>
            </w:r>
          </w:p>
        </w:tc>
        <w:tc>
          <w:tcPr>
            <w:tcW w:w="0" w:type="auto"/>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r>
      <w:tr w:rsidR="00000000">
        <w:trPr>
          <w:divId w:val="1352224430"/>
        </w:trPr>
        <w:tc>
          <w:tcPr>
            <w:tcW w:w="0" w:type="auto"/>
            <w:gridSpan w:val="3"/>
            <w:shd w:val="clear" w:color="auto" w:fill="FFFFFF"/>
            <w:tcMar>
              <w:top w:w="30" w:type="dxa"/>
              <w:left w:w="20" w:type="dxa"/>
              <w:bottom w:w="30" w:type="dxa"/>
              <w:right w:w="20" w:type="dxa"/>
            </w:tcMar>
            <w:vAlign w:val="center"/>
            <w:hideMark/>
          </w:tcPr>
          <w:p w:rsidR="00000000" w:rsidRDefault="00AE54EE">
            <w:pPr>
              <w:spacing w:after="100"/>
              <w:divId w:val="2095468628"/>
              <w:rPr>
                <w:rFonts w:eastAsia="Times New Roman"/>
              </w:rPr>
            </w:pPr>
            <w:r>
              <w:rPr>
                <w:rFonts w:eastAsia="Times New Roman"/>
                <w:color w:val="000000"/>
                <w:sz w:val="20"/>
                <w:szCs w:val="20"/>
              </w:rPr>
              <w:t>3.85</w:t>
            </w:r>
            <w:r>
              <w:rPr>
                <w:rFonts w:eastAsia="Times New Roman"/>
                <w:color w:val="000000"/>
                <w:sz w:val="20"/>
                <w:szCs w:val="20"/>
              </w:rPr>
              <w:t>% notes due December 15, 2026 (“3.85% 2026 Notes”)</w:t>
            </w:r>
          </w:p>
        </w:tc>
        <w:tc>
          <w:tcPr>
            <w:tcW w:w="0" w:type="auto"/>
            <w:gridSpan w:val="2"/>
            <w:shd w:val="clear" w:color="auto" w:fill="FFFF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550 </w:t>
            </w:r>
          </w:p>
        </w:tc>
        <w:tc>
          <w:tcPr>
            <w:tcW w:w="0" w:type="auto"/>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r>
      <w:tr w:rsidR="00000000">
        <w:trPr>
          <w:divId w:val="1352224430"/>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divId w:val="1415473137"/>
              <w:rPr>
                <w:rFonts w:eastAsia="Times New Roman"/>
              </w:rPr>
            </w:pPr>
            <w:r>
              <w:rPr>
                <w:rFonts w:eastAsia="Times New Roman"/>
                <w:color w:val="000000"/>
                <w:sz w:val="20"/>
                <w:szCs w:val="20"/>
              </w:rPr>
              <w:t>4.40% notes due June 15, 2028 (“4.40% 2028 Notes”)</w:t>
            </w:r>
          </w:p>
        </w:tc>
        <w:tc>
          <w:tcPr>
            <w:tcW w:w="0" w:type="auto"/>
            <w:gridSpan w:val="2"/>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918 </w:t>
            </w:r>
          </w:p>
        </w:tc>
        <w:tc>
          <w:tcPr>
            <w:tcW w:w="0" w:type="auto"/>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r>
      <w:tr w:rsidR="00000000">
        <w:trPr>
          <w:divId w:val="1352224430"/>
        </w:trPr>
        <w:tc>
          <w:tcPr>
            <w:tcW w:w="0" w:type="auto"/>
            <w:gridSpan w:val="3"/>
            <w:shd w:val="clear" w:color="auto" w:fill="FFFFFF"/>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3,350 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3,021 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329 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r>
    </w:tbl>
    <w:p w:rsidR="00000000" w:rsidRDefault="00AE54EE">
      <w:pPr>
        <w:ind w:firstLine="450"/>
        <w:divId w:val="25181741"/>
        <w:rPr>
          <w:rFonts w:eastAsia="Times New Roman"/>
        </w:rPr>
      </w:pPr>
      <w:r>
        <w:rPr>
          <w:rFonts w:eastAsia="Times New Roman"/>
          <w:color w:val="000000"/>
          <w:sz w:val="20"/>
          <w:szCs w:val="20"/>
        </w:rPr>
        <w:t>Following the settlement of the exchange offers, there was $329 million of existing L3 Notes outstanding, which remained the senior unsecured obligations of L3.</w:t>
      </w:r>
    </w:p>
    <w:p w:rsidR="00000000" w:rsidRDefault="00AE54EE">
      <w:pPr>
        <w:ind w:firstLine="450"/>
        <w:divId w:val="1731533679"/>
        <w:rPr>
          <w:rFonts w:eastAsia="Times New Roman"/>
        </w:rPr>
      </w:pPr>
      <w:r>
        <w:rPr>
          <w:rFonts w:eastAsia="Times New Roman"/>
          <w:color w:val="000000"/>
          <w:sz w:val="20"/>
          <w:szCs w:val="20"/>
        </w:rPr>
        <w:t>On December 14, 2020, we redeemed the 4.95% 2021 Notes, as described above under “Long-Term Debt Repaid in Fiscal 2020.” Interest on the remaining New L3Harris Notes is payable semi-annually in arrears on June 15 and December 15, commencing on December 15,</w:t>
      </w:r>
      <w:r>
        <w:rPr>
          <w:rFonts w:eastAsia="Times New Roman"/>
          <w:color w:val="000000"/>
          <w:sz w:val="20"/>
          <w:szCs w:val="20"/>
        </w:rPr>
        <w:t xml:space="preserve"> 2019, in the case of the 3.85% 2023 Notes, 3.85% 2026 Notes and 4.40% 2028 Notes; and on May 28 and November 28, commencing on November 28, 2019, in the case of the 3.95% 2024 Notes. The New L3Harris Notes are unsecured senior obligations and rank equally</w:t>
      </w:r>
      <w:r>
        <w:rPr>
          <w:rFonts w:eastAsia="Times New Roman"/>
          <w:color w:val="000000"/>
          <w:sz w:val="20"/>
          <w:szCs w:val="20"/>
        </w:rPr>
        <w:t xml:space="preserve"> in right of payment with all other L3Harris senior unsecured debt. </w:t>
      </w:r>
    </w:p>
    <w:p w:rsidR="00000000" w:rsidRDefault="00AE54EE">
      <w:pPr>
        <w:ind w:firstLine="450"/>
        <w:divId w:val="138496013"/>
        <w:rPr>
          <w:rFonts w:eastAsia="Times New Roman"/>
        </w:rPr>
      </w:pPr>
      <w:r>
        <w:rPr>
          <w:rFonts w:eastAsia="Times New Roman"/>
          <w:color w:val="000000"/>
          <w:sz w:val="20"/>
          <w:szCs w:val="20"/>
        </w:rPr>
        <w:t xml:space="preserve">The New L3Harris Notes are redeemable in whole or in part at any time or in part from time to time, at our option, until three months prior to the maturity date, in the case of the 3.95% </w:t>
      </w:r>
      <w:r>
        <w:rPr>
          <w:rFonts w:eastAsia="Times New Roman"/>
          <w:color w:val="000000"/>
          <w:sz w:val="20"/>
          <w:szCs w:val="20"/>
        </w:rPr>
        <w:t>2024 Notes, 3.85% 2026 Notes and 4.40% 2028 Notes, and until one month prior to the maturity date, in the case of the 3.85% 2023 Notes, at a redemption price equal to the greater of 100 percent of the principal amount of the notes to be redeemed or the sum</w:t>
      </w:r>
      <w:r>
        <w:rPr>
          <w:rFonts w:eastAsia="Times New Roman"/>
          <w:color w:val="000000"/>
          <w:sz w:val="20"/>
          <w:szCs w:val="20"/>
        </w:rPr>
        <w:t xml:space="preserve"> of the present values of the principal amount and the remaining scheduled payments of interest on the notes to be redeemed, discounted from the scheduled payment dates to the date of redemption at the “treasury rate” as defined in the note, plus 20 basis </w:t>
      </w:r>
      <w:r>
        <w:rPr>
          <w:rFonts w:eastAsia="Times New Roman"/>
          <w:color w:val="000000"/>
          <w:sz w:val="20"/>
          <w:szCs w:val="20"/>
        </w:rPr>
        <w:t xml:space="preserve">points, in the case of the 3.85% 2023 Notes and 3.95% 2024 Notes, or 25 basis points, in the case of the 3.85% 2026 Notes and 4.40% 2028 Notes, plus, in each case, accrued and unpaid interest due at the date of redemption. </w:t>
      </w:r>
    </w:p>
    <w:p w:rsidR="00000000" w:rsidRDefault="00AE54EE">
      <w:pPr>
        <w:ind w:firstLine="450"/>
        <w:divId w:val="1195341653"/>
        <w:rPr>
          <w:rFonts w:eastAsia="Times New Roman"/>
        </w:rPr>
      </w:pPr>
      <w:r>
        <w:rPr>
          <w:rFonts w:eastAsia="Times New Roman"/>
          <w:color w:val="000000"/>
          <w:sz w:val="20"/>
          <w:szCs w:val="20"/>
        </w:rPr>
        <w:t xml:space="preserve">On March 31, 2020, we commenced </w:t>
      </w:r>
      <w:r>
        <w:rPr>
          <w:rFonts w:eastAsia="Times New Roman"/>
          <w:color w:val="000000"/>
          <w:sz w:val="20"/>
          <w:szCs w:val="20"/>
        </w:rPr>
        <w:t>offers to eligible holders (“Exchange Offers”) to exchange any and all outstanding New L3Harris Notes issued by L3Harris as set forth in the table above (the “Original Notes”), which were previously issued pursuant to an exemption from the registration req</w:t>
      </w:r>
      <w:r>
        <w:rPr>
          <w:rFonts w:eastAsia="Times New Roman"/>
          <w:color w:val="000000"/>
          <w:sz w:val="20"/>
          <w:szCs w:val="20"/>
        </w:rPr>
        <w:t>uirements of the Securities Act of 1933, as amended (the “Securities Act”), for an equal principal amount of new notes registered under the Securities Act (the “Exchange Notes”).</w:t>
      </w:r>
    </w:p>
    <w:p w:rsidR="00000000" w:rsidRDefault="00AE54EE">
      <w:pPr>
        <w:ind w:firstLine="450"/>
        <w:jc w:val="center"/>
        <w:divId w:val="818426454"/>
        <w:rPr>
          <w:rFonts w:eastAsia="Times New Roman"/>
        </w:rPr>
      </w:pPr>
      <w:r>
        <w:rPr>
          <w:rFonts w:eastAsia="Times New Roman"/>
          <w:color w:val="000000"/>
          <w:sz w:val="20"/>
          <w:szCs w:val="20"/>
        </w:rPr>
        <w:t>94</w:t>
      </w:r>
    </w:p>
    <w:p w:rsidR="00000000" w:rsidRDefault="00AE54EE">
      <w:pPr>
        <w:rPr>
          <w:rFonts w:eastAsia="Times New Roman"/>
        </w:rPr>
      </w:pPr>
      <w:r>
        <w:rPr>
          <w:rFonts w:eastAsia="Times New Roman"/>
        </w:rPr>
        <w:pict>
          <v:rect id="_x0000_i1122" style="width:0;height:1.5pt" o:hralign="center" o:hrstd="t" o:hr="t" fillcolor="#a0a0a0" stroked="f"/>
        </w:pict>
      </w:r>
    </w:p>
    <w:p w:rsidR="00000000" w:rsidRDefault="00AE54EE">
      <w:pPr>
        <w:ind w:firstLine="450"/>
        <w:divId w:val="1122380415"/>
        <w:rPr>
          <w:rFonts w:eastAsia="Times New Roman"/>
        </w:rPr>
      </w:pPr>
    </w:p>
    <w:p w:rsidR="00000000" w:rsidRDefault="00AE54EE">
      <w:pPr>
        <w:ind w:firstLine="450"/>
        <w:divId w:val="4015114"/>
        <w:rPr>
          <w:rFonts w:eastAsia="Times New Roman"/>
        </w:rPr>
      </w:pPr>
      <w:r>
        <w:rPr>
          <w:rFonts w:eastAsia="Times New Roman"/>
          <w:color w:val="000000"/>
          <w:sz w:val="20"/>
          <w:szCs w:val="20"/>
        </w:rPr>
        <w:t>The Exchange Notes were offered to s</w:t>
      </w:r>
      <w:r>
        <w:rPr>
          <w:rFonts w:eastAsia="Times New Roman"/>
          <w:color w:val="000000"/>
          <w:sz w:val="20"/>
          <w:szCs w:val="20"/>
        </w:rPr>
        <w:t>atisfy L3Harris’ obligations under the registration rights agreement entered into as part of the issuance of the Original Notes, which occurred in exchange for the L3 Notes as described above.</w:t>
      </w:r>
    </w:p>
    <w:p w:rsidR="00000000" w:rsidRDefault="00AE54EE">
      <w:pPr>
        <w:ind w:firstLine="450"/>
        <w:divId w:val="1246495093"/>
        <w:rPr>
          <w:rFonts w:eastAsia="Times New Roman"/>
        </w:rPr>
      </w:pPr>
      <w:r>
        <w:rPr>
          <w:rFonts w:eastAsia="Times New Roman"/>
          <w:color w:val="000000"/>
          <w:sz w:val="20"/>
          <w:szCs w:val="20"/>
        </w:rPr>
        <w:t>The terms of the Exchange Notes issued in the Exchange Offers a</w:t>
      </w:r>
      <w:r>
        <w:rPr>
          <w:rFonts w:eastAsia="Times New Roman"/>
          <w:color w:val="000000"/>
          <w:sz w:val="20"/>
          <w:szCs w:val="20"/>
        </w:rPr>
        <w:t>re substantially identical to the terms of the corresponding series of the Original Notes, except that the Exchange Notes are registered under the Securities Act and the transfer restrictions, registration rights and related special interest provisions app</w:t>
      </w:r>
      <w:r>
        <w:rPr>
          <w:rFonts w:eastAsia="Times New Roman"/>
          <w:color w:val="000000"/>
          <w:sz w:val="20"/>
          <w:szCs w:val="20"/>
        </w:rPr>
        <w:t>licable to the Original Notes do not apply to the Exchange Notes. Each series of Exchange Notes is part of the same corresponding series of the Original Notes and were issued under the same base indenture.</w:t>
      </w:r>
    </w:p>
    <w:p w:rsidR="00000000" w:rsidRDefault="00AE54EE">
      <w:pPr>
        <w:ind w:firstLine="450"/>
        <w:divId w:val="471882"/>
        <w:rPr>
          <w:rFonts w:eastAsia="Times New Roman"/>
        </w:rPr>
      </w:pPr>
      <w:r>
        <w:rPr>
          <w:rFonts w:eastAsia="Times New Roman"/>
          <w:color w:val="000000"/>
          <w:sz w:val="20"/>
          <w:szCs w:val="20"/>
        </w:rPr>
        <w:t xml:space="preserve">The Exchange Offers expired at 5:00p.m., New York </w:t>
      </w:r>
      <w:r>
        <w:rPr>
          <w:rFonts w:eastAsia="Times New Roman"/>
          <w:color w:val="000000"/>
          <w:sz w:val="20"/>
          <w:szCs w:val="20"/>
        </w:rPr>
        <w:t xml:space="preserve">City time, on May 1, 2020. On May 5, 2020, we settled the Exchange Offers and Issued Exchange Notes for validly tendered Original Notes for over 99.9 percent of the 4.95% 2021 Notes, 3.85% 2023 Notes, 3.95% 2024 Notes and 3.85% 2026 Notes and 98.9 percent </w:t>
      </w:r>
      <w:r>
        <w:rPr>
          <w:rFonts w:eastAsia="Times New Roman"/>
          <w:color w:val="000000"/>
          <w:sz w:val="20"/>
          <w:szCs w:val="20"/>
        </w:rPr>
        <w:t>of the 4.40% 2028 Notes.</w:t>
      </w:r>
    </w:p>
    <w:p w:rsidR="00000000" w:rsidRDefault="00AE54EE">
      <w:pPr>
        <w:divId w:val="1177814536"/>
        <w:rPr>
          <w:rFonts w:eastAsia="Times New Roman"/>
        </w:rPr>
      </w:pPr>
      <w:r>
        <w:rPr>
          <w:rFonts w:eastAsia="Times New Roman"/>
          <w:b/>
          <w:bCs/>
          <w:color w:val="000000"/>
          <w:sz w:val="20"/>
          <w:szCs w:val="20"/>
        </w:rPr>
        <w:t xml:space="preserve">Long-Term Debt Issued in the Two Quarters Ended January 3, 2020 </w:t>
      </w:r>
    </w:p>
    <w:p w:rsidR="00000000" w:rsidRDefault="00AE54EE">
      <w:pPr>
        <w:ind w:firstLine="450"/>
        <w:divId w:val="1683362443"/>
        <w:rPr>
          <w:rFonts w:eastAsia="Times New Roman"/>
        </w:rPr>
      </w:pPr>
      <w:r>
        <w:rPr>
          <w:rFonts w:eastAsia="Times New Roman"/>
          <w:i/>
          <w:iCs/>
          <w:color w:val="000000"/>
          <w:sz w:val="20"/>
          <w:szCs w:val="20"/>
        </w:rPr>
        <w:t>Fixed-rate Debt:</w:t>
      </w:r>
      <w:r>
        <w:rPr>
          <w:rFonts w:eastAsia="Times New Roman"/>
          <w:color w:val="000000"/>
          <w:sz w:val="20"/>
          <w:szCs w:val="20"/>
        </w:rPr>
        <w:t> On November 27, 2019, we completed the issuance of $400 million in aggregate principal amount of 2.90% notes due December 15, 2029 (the “2.90% 2029 N</w:t>
      </w:r>
      <w:r>
        <w:rPr>
          <w:rFonts w:eastAsia="Times New Roman"/>
          <w:color w:val="000000"/>
          <w:sz w:val="20"/>
          <w:szCs w:val="20"/>
        </w:rPr>
        <w:t>otes”). Interest on the 2.90% 2029 Notes is payable semi-annually in arrears on June 15 and December 15 of each year, commencing on June 15, 2020. At any time prior to September 15, 2029, we may redeem the 2.90% 2029 Notes, in whole or in part, at our opti</w:t>
      </w:r>
      <w:r>
        <w:rPr>
          <w:rFonts w:eastAsia="Times New Roman"/>
          <w:color w:val="000000"/>
          <w:sz w:val="20"/>
          <w:szCs w:val="20"/>
        </w:rPr>
        <w:t>on, at a “make-whole” redemption price equal to the greater of 100 percent of the principal amount of the 2.90% 2029 Notes or the sum of the present values of the remaining scheduled payments of the principal plus accrued interest (other than interest accr</w:t>
      </w:r>
      <w:r>
        <w:rPr>
          <w:rFonts w:eastAsia="Times New Roman"/>
          <w:color w:val="000000"/>
          <w:sz w:val="20"/>
          <w:szCs w:val="20"/>
        </w:rPr>
        <w:t xml:space="preserve">uing to the date of redemption) on the notes being redeemed, discounted to the redemption date on a semi-annual basis at the “Treasury Rate,” as defined in the 2.90% 2029 Notes, plus 20 basis points. We will pay accrued interest on the principal amount of </w:t>
      </w:r>
      <w:r>
        <w:rPr>
          <w:rFonts w:eastAsia="Times New Roman"/>
          <w:color w:val="000000"/>
          <w:sz w:val="20"/>
          <w:szCs w:val="20"/>
        </w:rPr>
        <w:t>notes being redeemed to, but not including, the redemption date. At any time on or after September 15, 2029, we may redeem the 2.90% 2029 Notes, in whole or in part, at our option, at a redemption price equal to 100 percent of the principal amount of the n</w:t>
      </w:r>
      <w:r>
        <w:rPr>
          <w:rFonts w:eastAsia="Times New Roman"/>
          <w:color w:val="000000"/>
          <w:sz w:val="20"/>
          <w:szCs w:val="20"/>
        </w:rPr>
        <w:t>otes being redeemed, plus accrued interest on the principal amount of the notes being redeemed to, but not including, the redemption date. In addition, upon change of control combined with a below-investment-grade rating event, we may be required to make a</w:t>
      </w:r>
      <w:r>
        <w:rPr>
          <w:rFonts w:eastAsia="Times New Roman"/>
          <w:color w:val="000000"/>
          <w:sz w:val="20"/>
          <w:szCs w:val="20"/>
        </w:rPr>
        <w:t xml:space="preserve">n offer to repurchase the 2.90% 2029 Notes at a price equal to 101 percent of the aggregate principal amount of the notes being repurchased, plus accrued interest on the notes being repurchased to, but not including, the date of repurchase. We incurred $3 </w:t>
      </w:r>
      <w:r>
        <w:rPr>
          <w:rFonts w:eastAsia="Times New Roman"/>
          <w:color w:val="000000"/>
          <w:sz w:val="20"/>
          <w:szCs w:val="20"/>
        </w:rPr>
        <w:t>million of debt issuance costs related to the issuance of the 2.90% 2029 Notes, which are being amortized using the effective interest rate method over the life of the 2.90% 2029 Notes, and such amortization is included as a component of the “Interest expe</w:t>
      </w:r>
      <w:r>
        <w:rPr>
          <w:rFonts w:eastAsia="Times New Roman"/>
          <w:color w:val="000000"/>
          <w:sz w:val="20"/>
          <w:szCs w:val="20"/>
        </w:rPr>
        <w:t>nse” line item in our Consolidated Statement of Income.</w:t>
      </w:r>
    </w:p>
    <w:p w:rsidR="00000000" w:rsidRDefault="00AE54EE">
      <w:pPr>
        <w:divId w:val="1840265576"/>
        <w:rPr>
          <w:rFonts w:eastAsia="Times New Roman"/>
        </w:rPr>
      </w:pPr>
      <w:r>
        <w:rPr>
          <w:rFonts w:eastAsia="Times New Roman"/>
          <w:b/>
          <w:bCs/>
          <w:color w:val="000000"/>
          <w:sz w:val="20"/>
          <w:szCs w:val="20"/>
        </w:rPr>
        <w:t>Long-Term Debt Issued in Fiscal 2018</w:t>
      </w:r>
    </w:p>
    <w:p w:rsidR="00000000" w:rsidRDefault="00AE54EE">
      <w:pPr>
        <w:ind w:firstLine="450"/>
        <w:divId w:val="1500005300"/>
        <w:rPr>
          <w:rFonts w:eastAsia="Times New Roman"/>
        </w:rPr>
      </w:pPr>
      <w:r>
        <w:rPr>
          <w:rFonts w:eastAsia="Times New Roman"/>
          <w:color w:val="000000"/>
          <w:sz w:val="20"/>
          <w:szCs w:val="20"/>
        </w:rPr>
        <w:t>On June 4, 2018, we completed the issuance of $850 million in aggregate principal amount of 4.40% notes due June 15, 2028 (the “New 2028 Notes”</w:t>
      </w:r>
      <w:r>
        <w:rPr>
          <w:rFonts w:eastAsia="Times New Roman"/>
          <w:color w:val="000000"/>
          <w:sz w:val="20"/>
          <w:szCs w:val="20"/>
        </w:rPr>
        <w:t xml:space="preserve">). Interest on the New 2028 Notes is payable semi-annually in arrears on June 15 and December 15 of each year, commencing on December 15, 2018. At any time prior to March 15, 2028, we may redeem the New 2028 Notes, in whole or in part, at our option, at a </w:t>
      </w:r>
      <w:r>
        <w:rPr>
          <w:rFonts w:eastAsia="Times New Roman"/>
          <w:color w:val="000000"/>
          <w:sz w:val="20"/>
          <w:szCs w:val="20"/>
        </w:rPr>
        <w:t xml:space="preserve">“make-whole” redemption price equal to the greater of 100 percent of the principal amount of the New 2028 Notes or the sum of the present values of the remaining scheduled payments of the principal and interest (other than interest accruing to the date of </w:t>
      </w:r>
      <w:r>
        <w:rPr>
          <w:rFonts w:eastAsia="Times New Roman"/>
          <w:color w:val="000000"/>
          <w:sz w:val="20"/>
          <w:szCs w:val="20"/>
        </w:rPr>
        <w:t>redemption) on the notes being redeemed, discounted to the redemption date on a semi-annual basis at the “Treasury Rate,” as defined in the New 2028 Notes, plus 25 basis points. We will pay accrued interest on the principal amount of notes being redeemed t</w:t>
      </w:r>
      <w:r>
        <w:rPr>
          <w:rFonts w:eastAsia="Times New Roman"/>
          <w:color w:val="000000"/>
          <w:sz w:val="20"/>
          <w:szCs w:val="20"/>
        </w:rPr>
        <w:t>o, but not including, the redemption date. At any time on or after March 15, 2028, we may redeem the New 2028 Notes, in whole or in part, at our option, at a redemption price equal to 100 percent of the principal amount of the notes being redeemed, plus ac</w:t>
      </w:r>
      <w:r>
        <w:rPr>
          <w:rFonts w:eastAsia="Times New Roman"/>
          <w:color w:val="000000"/>
          <w:sz w:val="20"/>
          <w:szCs w:val="20"/>
        </w:rPr>
        <w:t>crued interest on the principal amount of the notes being redeemed to, but not including, the redemption date. In addition, upon change of control combined with a below-investment-grade rating event, we may be required to make an offer to repurchase the Ne</w:t>
      </w:r>
      <w:r>
        <w:rPr>
          <w:rFonts w:eastAsia="Times New Roman"/>
          <w:color w:val="000000"/>
          <w:sz w:val="20"/>
          <w:szCs w:val="20"/>
        </w:rPr>
        <w:t>w 2028 Notes at a price equal to 101 percent of the aggregate principal amount of the notes being repurchased, plus accrued interest on the notes being repurchased to, but not including, the date of repurchase. We incurred $8 million of debt issuance costs</w:t>
      </w:r>
      <w:r>
        <w:rPr>
          <w:rFonts w:eastAsia="Times New Roman"/>
          <w:color w:val="000000"/>
          <w:sz w:val="20"/>
          <w:szCs w:val="20"/>
        </w:rPr>
        <w:t xml:space="preserve"> related to the issuance of the New 2028 Notes, which are being amortized using the effective interest rate method over the life of the New 2028 Notes.</w:t>
      </w:r>
    </w:p>
    <w:p w:rsidR="00000000" w:rsidRDefault="00AE54EE">
      <w:pPr>
        <w:divId w:val="2105150246"/>
        <w:rPr>
          <w:rFonts w:eastAsia="Times New Roman"/>
        </w:rPr>
      </w:pPr>
      <w:r>
        <w:rPr>
          <w:rFonts w:eastAsia="Times New Roman"/>
          <w:b/>
          <w:bCs/>
          <w:color w:val="000000"/>
          <w:sz w:val="20"/>
          <w:szCs w:val="20"/>
        </w:rPr>
        <w:t xml:space="preserve">Long-Term Debt Issued Prior to Fiscal 2018 that Remained Outstanding at December 31, 2021 </w:t>
      </w:r>
    </w:p>
    <w:p w:rsidR="00000000" w:rsidRDefault="00AE54EE">
      <w:pPr>
        <w:ind w:firstLine="450"/>
        <w:divId w:val="1187715836"/>
        <w:rPr>
          <w:rFonts w:eastAsia="Times New Roman"/>
        </w:rPr>
      </w:pPr>
      <w:r>
        <w:rPr>
          <w:rFonts w:eastAsia="Times New Roman"/>
          <w:color w:val="000000"/>
          <w:sz w:val="20"/>
          <w:szCs w:val="20"/>
        </w:rPr>
        <w:t xml:space="preserve">On April 27, </w:t>
      </w:r>
      <w:r>
        <w:rPr>
          <w:rFonts w:eastAsia="Times New Roman"/>
          <w:color w:val="000000"/>
          <w:sz w:val="20"/>
          <w:szCs w:val="20"/>
        </w:rPr>
        <w:t xml:space="preserve">2015, in connection with the then-pending acquisition of Exelis, to fund a portion of the cash consideration and other amounts payable under the terms of the merger agreement and to redeem certain of our existing notes, we issued long-term fixed-rate debt </w:t>
      </w:r>
      <w:r>
        <w:rPr>
          <w:rFonts w:eastAsia="Times New Roman"/>
          <w:color w:val="000000"/>
          <w:sz w:val="20"/>
          <w:szCs w:val="20"/>
        </w:rPr>
        <w:t>securities in the aggregate amount of $2.4 billion. The principal amounts, interest rates and maturity dates of these securities that remained outstanding at December 31, 2021 were as follows:</w:t>
      </w:r>
    </w:p>
    <w:p w:rsidR="00000000" w:rsidRDefault="00AE54EE">
      <w:pPr>
        <w:ind w:hanging="360"/>
        <w:divId w:val="891885971"/>
        <w:rPr>
          <w:rFonts w:eastAsia="Times New Roman"/>
        </w:rPr>
      </w:pPr>
      <w:r>
        <w:rPr>
          <w:rFonts w:eastAsia="Times New Roman"/>
          <w:color w:val="000000"/>
          <w:sz w:val="20"/>
          <w:szCs w:val="20"/>
        </w:rPr>
        <w:t>•$600 million in aggregate principal amount of 3.832% notes due</w:t>
      </w:r>
      <w:r>
        <w:rPr>
          <w:rFonts w:eastAsia="Times New Roman"/>
          <w:color w:val="000000"/>
          <w:sz w:val="20"/>
          <w:szCs w:val="20"/>
        </w:rPr>
        <w:t xml:space="preserve"> April 27, 2025 (the “2025 Notes”),</w:t>
      </w:r>
    </w:p>
    <w:p w:rsidR="00000000" w:rsidRDefault="00AE54EE">
      <w:pPr>
        <w:ind w:hanging="360"/>
        <w:divId w:val="1024209016"/>
        <w:rPr>
          <w:rFonts w:eastAsia="Times New Roman"/>
        </w:rPr>
      </w:pPr>
      <w:r>
        <w:rPr>
          <w:rFonts w:eastAsia="Times New Roman"/>
          <w:color w:val="000000"/>
          <w:sz w:val="20"/>
          <w:szCs w:val="20"/>
        </w:rPr>
        <w:t>•$400 million in aggregate principal amount of 4.854% notes due April 27, 2035 (the “2035 Notes”) and</w:t>
      </w:r>
    </w:p>
    <w:p w:rsidR="00000000" w:rsidRDefault="00AE54EE">
      <w:pPr>
        <w:ind w:hanging="360"/>
        <w:divId w:val="1966235255"/>
        <w:rPr>
          <w:rFonts w:eastAsia="Times New Roman"/>
        </w:rPr>
      </w:pPr>
      <w:r>
        <w:rPr>
          <w:rFonts w:eastAsia="Times New Roman"/>
          <w:color w:val="000000"/>
          <w:sz w:val="20"/>
          <w:szCs w:val="20"/>
        </w:rPr>
        <w:t>•$500 million in aggregate principal amount of 5.054% notes due April 27, 2045 (the “2045 Notes” and collectively with</w:t>
      </w:r>
      <w:r>
        <w:rPr>
          <w:rFonts w:eastAsia="Times New Roman"/>
          <w:color w:val="000000"/>
          <w:sz w:val="20"/>
          <w:szCs w:val="20"/>
        </w:rPr>
        <w:t xml:space="preserve"> the 2025 Notes and 2035 Notes, the “Exelis Notes”).</w:t>
      </w:r>
    </w:p>
    <w:p w:rsidR="00000000" w:rsidRDefault="00AE54EE">
      <w:pPr>
        <w:ind w:firstLine="495"/>
        <w:divId w:val="575437193"/>
        <w:rPr>
          <w:rFonts w:eastAsia="Times New Roman"/>
        </w:rPr>
      </w:pPr>
      <w:r>
        <w:rPr>
          <w:rFonts w:eastAsia="Times New Roman"/>
          <w:color w:val="000000"/>
          <w:sz w:val="20"/>
          <w:szCs w:val="20"/>
        </w:rPr>
        <w:t>Interest on each series of the Exelis Notes is payable semi-annually in arrears on April 27 and October 27 of each year, commencing October 27, 2015. The Exelis Notes are redeemable at our option up to o</w:t>
      </w:r>
      <w:r>
        <w:rPr>
          <w:rFonts w:eastAsia="Times New Roman"/>
          <w:color w:val="000000"/>
          <w:sz w:val="20"/>
          <w:szCs w:val="20"/>
        </w:rPr>
        <w:t xml:space="preserve">ne month prior to the scheduled maturity </w:t>
      </w:r>
    </w:p>
    <w:p w:rsidR="00000000" w:rsidRDefault="00AE54EE">
      <w:pPr>
        <w:ind w:firstLine="450"/>
        <w:jc w:val="center"/>
        <w:divId w:val="703483601"/>
        <w:rPr>
          <w:rFonts w:eastAsia="Times New Roman"/>
        </w:rPr>
      </w:pPr>
      <w:r>
        <w:rPr>
          <w:rFonts w:eastAsia="Times New Roman"/>
          <w:color w:val="000000"/>
          <w:sz w:val="20"/>
          <w:szCs w:val="20"/>
        </w:rPr>
        <w:t>95</w:t>
      </w:r>
    </w:p>
    <w:p w:rsidR="00000000" w:rsidRDefault="00AE54EE">
      <w:pPr>
        <w:rPr>
          <w:rFonts w:eastAsia="Times New Roman"/>
        </w:rPr>
      </w:pPr>
      <w:r>
        <w:rPr>
          <w:rFonts w:eastAsia="Times New Roman"/>
        </w:rPr>
        <w:pict>
          <v:rect id="_x0000_i1123" style="width:0;height:1.5pt" o:hralign="center" o:hrstd="t" o:hr="t" fillcolor="#a0a0a0" stroked="f"/>
        </w:pict>
      </w:r>
    </w:p>
    <w:p w:rsidR="00000000" w:rsidRDefault="00AE54EE">
      <w:pPr>
        <w:ind w:firstLine="450"/>
        <w:divId w:val="376319560"/>
        <w:rPr>
          <w:rFonts w:eastAsia="Times New Roman"/>
        </w:rPr>
      </w:pPr>
    </w:p>
    <w:p w:rsidR="00000000" w:rsidRDefault="00AE54EE">
      <w:pPr>
        <w:divId w:val="837234151"/>
        <w:rPr>
          <w:rFonts w:eastAsia="Times New Roman"/>
        </w:rPr>
      </w:pPr>
      <w:r>
        <w:rPr>
          <w:rFonts w:eastAsia="Times New Roman"/>
          <w:color w:val="000000"/>
          <w:sz w:val="20"/>
          <w:szCs w:val="20"/>
        </w:rPr>
        <w:t>date at a price equal to the greater of 100 percent of the principal amount of the notes being redeemed or the sum of the present values of the remaining scheduled payments</w:t>
      </w:r>
      <w:r>
        <w:rPr>
          <w:rFonts w:eastAsia="Times New Roman"/>
          <w:color w:val="000000"/>
          <w:sz w:val="20"/>
          <w:szCs w:val="20"/>
        </w:rPr>
        <w:t>, plus accrued interest, discounted to the redemption date on a semi-annual basis (assuming a 360-day year consisting of twelve 30-day months) at the Treasury Rate, as defined, plus (i) 30 basis points in the case of the 2025 Notes, (ii) 35 basis points in</w:t>
      </w:r>
      <w:r>
        <w:rPr>
          <w:rFonts w:eastAsia="Times New Roman"/>
          <w:color w:val="000000"/>
          <w:sz w:val="20"/>
          <w:szCs w:val="20"/>
        </w:rPr>
        <w:t xml:space="preserve"> the case of the 2035 Notes and (iii) 40 basis points in the case of the 2045 Notes. In addition, upon a change of control combined with a below-investment-grade rating event, we may be required to make an offer to repurchase the Exelis Notes at a price eq</w:t>
      </w:r>
      <w:r>
        <w:rPr>
          <w:rFonts w:eastAsia="Times New Roman"/>
          <w:color w:val="000000"/>
          <w:sz w:val="20"/>
          <w:szCs w:val="20"/>
        </w:rPr>
        <w:t xml:space="preserve">ual to 101 percent of the aggregate principal amount of the notes being repurchased, plus accrued interest on the notes being repurchased to, excluding the date of repurchase. </w:t>
      </w:r>
    </w:p>
    <w:p w:rsidR="00000000" w:rsidRDefault="00AE54EE">
      <w:pPr>
        <w:ind w:firstLine="450"/>
        <w:divId w:val="297952504"/>
        <w:rPr>
          <w:rFonts w:eastAsia="Times New Roman"/>
        </w:rPr>
      </w:pPr>
      <w:r>
        <w:rPr>
          <w:rFonts w:eastAsia="Times New Roman"/>
          <w:color w:val="000000"/>
          <w:sz w:val="20"/>
          <w:szCs w:val="20"/>
        </w:rPr>
        <w:t>On December 3, 2010, we completed the issuance of $300 million in aggregate pri</w:t>
      </w:r>
      <w:r>
        <w:rPr>
          <w:rFonts w:eastAsia="Times New Roman"/>
          <w:color w:val="000000"/>
          <w:sz w:val="20"/>
          <w:szCs w:val="20"/>
        </w:rPr>
        <w:t xml:space="preserve">ncipal amount of 6.150%. notes due December 15, 2040 (the “2040 Notes”). The 2040 Notes are redeemable at our option at a price equal to the greater of 100 percent of the principal amount of the notes being redeemed or the sum of the present values of the </w:t>
      </w:r>
      <w:r>
        <w:rPr>
          <w:rFonts w:eastAsia="Times New Roman"/>
          <w:color w:val="000000"/>
          <w:sz w:val="20"/>
          <w:szCs w:val="20"/>
        </w:rPr>
        <w:t>remaining scheduled payments, plus accrued interest, discounted to the redemption date on a semi-annual basis (assuming a 360-day year consisting of twelve 30-day months) at the Treasury Rate, as defined, plus 35 basis points. In addition, upon a change of</w:t>
      </w:r>
      <w:r>
        <w:rPr>
          <w:rFonts w:eastAsia="Times New Roman"/>
          <w:color w:val="000000"/>
          <w:sz w:val="20"/>
          <w:szCs w:val="20"/>
        </w:rPr>
        <w:t xml:space="preserve"> control combined with a below-investment-grade rating event, we may be required to make an offer to repurchase the notes at a price equal to 101 percent of the aggregate principal amount of the notes being repurchased, plus accrued interest on the notes b</w:t>
      </w:r>
      <w:r>
        <w:rPr>
          <w:rFonts w:eastAsia="Times New Roman"/>
          <w:color w:val="000000"/>
          <w:sz w:val="20"/>
          <w:szCs w:val="20"/>
        </w:rPr>
        <w:t xml:space="preserve">eing repurchased to, but not including, the date of repurchase. </w:t>
      </w:r>
    </w:p>
    <w:p w:rsidR="00000000" w:rsidRDefault="00AE54EE">
      <w:pPr>
        <w:ind w:firstLine="450"/>
        <w:divId w:val="725489239"/>
        <w:rPr>
          <w:rFonts w:eastAsia="Times New Roman"/>
        </w:rPr>
      </w:pPr>
      <w:r>
        <w:rPr>
          <w:rFonts w:eastAsia="Times New Roman"/>
          <w:color w:val="000000"/>
          <w:sz w:val="20"/>
          <w:szCs w:val="20"/>
        </w:rPr>
        <w:t>In January 1996, we completed the issuance of $100 million in aggregate principal amount of 7.00% debentures due January 15, 2026. The debentures are not redeemable prior to maturity.</w:t>
      </w:r>
    </w:p>
    <w:p w:rsidR="00000000" w:rsidRDefault="00AE54EE">
      <w:pPr>
        <w:ind w:firstLine="450"/>
        <w:divId w:val="679427908"/>
        <w:rPr>
          <w:rFonts w:eastAsia="Times New Roman"/>
        </w:rPr>
      </w:pPr>
      <w:r>
        <w:rPr>
          <w:rFonts w:eastAsia="Times New Roman"/>
          <w:color w:val="000000"/>
          <w:sz w:val="20"/>
          <w:szCs w:val="20"/>
        </w:rPr>
        <w:t>In Febr</w:t>
      </w:r>
      <w:r>
        <w:rPr>
          <w:rFonts w:eastAsia="Times New Roman"/>
          <w:color w:val="000000"/>
          <w:sz w:val="20"/>
          <w:szCs w:val="20"/>
        </w:rPr>
        <w:t>uary 1998, we completed the issuance of $150 million in aggregate principal amount of 6.35% debentures due February 1, 2028. On December 5, 2007, we repurchased and retired $25 million in aggregate principal amount of the debentures. On February 1, 2008, w</w:t>
      </w:r>
      <w:r>
        <w:rPr>
          <w:rFonts w:eastAsia="Times New Roman"/>
          <w:color w:val="000000"/>
          <w:sz w:val="20"/>
          <w:szCs w:val="20"/>
        </w:rPr>
        <w:t>e redeemed $99 million in aggregate principal amount of the debentures pursuant to the procedures for redemption at the option of the holders of the debentures. We may redeem the remaining $26 million in aggregate principal amount of the debentures in whol</w:t>
      </w:r>
      <w:r>
        <w:rPr>
          <w:rFonts w:eastAsia="Times New Roman"/>
          <w:color w:val="000000"/>
          <w:sz w:val="20"/>
          <w:szCs w:val="20"/>
        </w:rPr>
        <w:t>e, or in part, at any time at a pre-determined redemption price.</w:t>
      </w:r>
    </w:p>
    <w:p w:rsidR="00000000" w:rsidRDefault="00AE54EE">
      <w:pPr>
        <w:ind w:firstLine="450"/>
        <w:divId w:val="766076412"/>
        <w:rPr>
          <w:rFonts w:eastAsia="Times New Roman"/>
        </w:rPr>
      </w:pPr>
      <w:r>
        <w:rPr>
          <w:rFonts w:eastAsia="Times New Roman"/>
          <w:color w:val="000000"/>
          <w:sz w:val="20"/>
          <w:szCs w:val="20"/>
        </w:rPr>
        <w:t>The following table presents the carrying amounts and estimated fair values of our long-term debt:</w:t>
      </w:r>
    </w:p>
    <w:tbl>
      <w:tblPr>
        <w:tblW w:w="4892" w:type="pct"/>
        <w:tblCellMar>
          <w:top w:w="15" w:type="dxa"/>
          <w:left w:w="15" w:type="dxa"/>
          <w:bottom w:w="15" w:type="dxa"/>
          <w:right w:w="15" w:type="dxa"/>
        </w:tblCellMar>
        <w:tblLook w:val="04A0" w:firstRow="1" w:lastRow="0" w:firstColumn="1" w:lastColumn="0" w:noHBand="0" w:noVBand="1"/>
      </w:tblPr>
      <w:tblGrid>
        <w:gridCol w:w="38"/>
        <w:gridCol w:w="401"/>
        <w:gridCol w:w="37"/>
        <w:gridCol w:w="37"/>
        <w:gridCol w:w="3629"/>
        <w:gridCol w:w="37"/>
        <w:gridCol w:w="121"/>
        <w:gridCol w:w="707"/>
        <w:gridCol w:w="36"/>
        <w:gridCol w:w="36"/>
        <w:gridCol w:w="36"/>
        <w:gridCol w:w="36"/>
        <w:gridCol w:w="120"/>
        <w:gridCol w:w="667"/>
        <w:gridCol w:w="36"/>
        <w:gridCol w:w="36"/>
        <w:gridCol w:w="36"/>
        <w:gridCol w:w="36"/>
        <w:gridCol w:w="121"/>
        <w:gridCol w:w="667"/>
        <w:gridCol w:w="36"/>
        <w:gridCol w:w="36"/>
        <w:gridCol w:w="36"/>
        <w:gridCol w:w="36"/>
        <w:gridCol w:w="120"/>
        <w:gridCol w:w="669"/>
        <w:gridCol w:w="36"/>
        <w:gridCol w:w="36"/>
        <w:gridCol w:w="36"/>
        <w:gridCol w:w="36"/>
        <w:gridCol w:w="36"/>
        <w:gridCol w:w="36"/>
        <w:gridCol w:w="36"/>
        <w:gridCol w:w="36"/>
        <w:gridCol w:w="36"/>
      </w:tblGrid>
      <w:tr w:rsidR="00000000">
        <w:trPr>
          <w:divId w:val="84233813"/>
        </w:trPr>
        <w:tc>
          <w:tcPr>
            <w:tcW w:w="50" w:type="pct"/>
            <w:vAlign w:val="center"/>
            <w:hideMark/>
          </w:tcPr>
          <w:p w:rsidR="00000000" w:rsidRDefault="00AE54EE">
            <w:pPr>
              <w:ind w:firstLine="450"/>
              <w:rPr>
                <w:rFonts w:eastAsia="Times New Roman"/>
              </w:rPr>
            </w:pPr>
          </w:p>
        </w:tc>
        <w:tc>
          <w:tcPr>
            <w:tcW w:w="29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34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8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8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8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8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4233813"/>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84233813"/>
        </w:trPr>
        <w:tc>
          <w:tcPr>
            <w:tcW w:w="0" w:type="auto"/>
            <w:gridSpan w:val="6"/>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4233813"/>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4233813"/>
        </w:trPr>
        <w:tc>
          <w:tcPr>
            <w:tcW w:w="0" w:type="auto"/>
            <w:gridSpan w:val="6"/>
            <w:shd w:val="clear" w:color="auto" w:fill="CCEEFF"/>
            <w:tcMar>
              <w:top w:w="30" w:type="dxa"/>
              <w:left w:w="20" w:type="dxa"/>
              <w:bottom w:w="30" w:type="dxa"/>
              <w:right w:w="20" w:type="dxa"/>
            </w:tcMar>
            <w:hideMark/>
          </w:tcPr>
          <w:p w:rsidR="00000000" w:rsidRDefault="00AE54EE">
            <w:pPr>
              <w:spacing w:after="100"/>
              <w:divId w:val="192574535"/>
              <w:rPr>
                <w:rFonts w:eastAsia="Times New Roman"/>
              </w:rPr>
            </w:pPr>
            <w:r>
              <w:rPr>
                <w:rFonts w:eastAsia="Times New Roman"/>
                <w:color w:val="000000"/>
                <w:sz w:val="20"/>
                <w:szCs w:val="20"/>
              </w:rPr>
              <w:t>Long-term debt (including current portion</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7,059 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7,701 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6,951 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7,986 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divId w:val="530145476"/>
        <w:rPr>
          <w:rFonts w:eastAsia="Times New Roman"/>
        </w:rPr>
      </w:pPr>
      <w:r>
        <w:rPr>
          <w:rFonts w:eastAsia="Times New Roman"/>
          <w:color w:val="000000"/>
          <w:sz w:val="16"/>
          <w:szCs w:val="16"/>
        </w:rPr>
        <w:t>_______________</w:t>
      </w:r>
    </w:p>
    <w:p w:rsidR="00000000" w:rsidRDefault="00AE54EE">
      <w:pPr>
        <w:ind w:hanging="360"/>
        <w:divId w:val="1973555894"/>
        <w:rPr>
          <w:rFonts w:eastAsia="Times New Roman"/>
        </w:rPr>
      </w:pPr>
      <w:r>
        <w:rPr>
          <w:rFonts w:eastAsia="Times New Roman"/>
          <w:color w:val="000000"/>
          <w:sz w:val="16"/>
          <w:szCs w:val="16"/>
        </w:rPr>
        <w:t>(1)The fair value was estimated using a market approach based on quoted market prices for our debt traded in the second</w:t>
      </w:r>
      <w:r>
        <w:rPr>
          <w:rFonts w:eastAsia="Times New Roman"/>
          <w:color w:val="000000"/>
          <w:sz w:val="16"/>
          <w:szCs w:val="16"/>
        </w:rPr>
        <w:t>ary market. If our long-term debt in our balance sheet were measured at fair value, it would be categorized in Level 2 of the fair value hierarchy.</w:t>
      </w:r>
    </w:p>
    <w:p w:rsidR="00000000" w:rsidRDefault="00AE54EE">
      <w:pPr>
        <w:divId w:val="1853105017"/>
        <w:rPr>
          <w:rFonts w:eastAsia="Times New Roman"/>
        </w:rPr>
      </w:pPr>
      <w:r>
        <w:rPr>
          <w:rFonts w:eastAsia="Times New Roman"/>
          <w:b/>
          <w:bCs/>
          <w:color w:val="000000"/>
          <w:sz w:val="20"/>
          <w:szCs w:val="20"/>
        </w:rPr>
        <w:t>Short-Term Debt</w:t>
      </w:r>
    </w:p>
    <w:p w:rsidR="00000000" w:rsidRDefault="00AE54EE">
      <w:pPr>
        <w:ind w:firstLine="450"/>
        <w:divId w:val="1707217261"/>
        <w:rPr>
          <w:rFonts w:eastAsia="Times New Roman"/>
        </w:rPr>
      </w:pPr>
      <w:r>
        <w:rPr>
          <w:rFonts w:eastAsia="Times New Roman"/>
          <w:color w:val="000000"/>
          <w:sz w:val="20"/>
          <w:szCs w:val="20"/>
        </w:rPr>
        <w:t>Our short-term debt was $2 million at both December 31, 2021 and January 1, 2021. Interest e</w:t>
      </w:r>
      <w:r>
        <w:rPr>
          <w:rFonts w:eastAsia="Times New Roman"/>
          <w:color w:val="000000"/>
          <w:sz w:val="20"/>
          <w:szCs w:val="20"/>
        </w:rPr>
        <w:t>xpense incurred on our short-term debt was not material in fiscal 2021, fiscal 2020, the two quarters ended January 3, 2020, or fiscal 2019.</w:t>
      </w:r>
    </w:p>
    <w:p w:rsidR="00000000" w:rsidRDefault="00AE54EE">
      <w:pPr>
        <w:divId w:val="17240155"/>
        <w:rPr>
          <w:rFonts w:eastAsia="Times New Roman"/>
        </w:rPr>
      </w:pPr>
      <w:r>
        <w:rPr>
          <w:rFonts w:eastAsia="Times New Roman"/>
          <w:b/>
          <w:bCs/>
          <w:color w:val="000000"/>
          <w:sz w:val="20"/>
          <w:szCs w:val="20"/>
        </w:rPr>
        <w:t>Interest Paid</w:t>
      </w:r>
    </w:p>
    <w:p w:rsidR="00000000" w:rsidRDefault="00AE54EE">
      <w:pPr>
        <w:ind w:firstLine="450"/>
        <w:divId w:val="44565321"/>
        <w:rPr>
          <w:rFonts w:eastAsia="Times New Roman"/>
        </w:rPr>
      </w:pPr>
      <w:r>
        <w:rPr>
          <w:rFonts w:eastAsia="Times New Roman"/>
          <w:color w:val="000000"/>
          <w:sz w:val="20"/>
          <w:szCs w:val="20"/>
        </w:rPr>
        <w:t>Total interest paid was $284 million, $313 million, $144 million and $170 million in fiscal 2021, fis</w:t>
      </w:r>
      <w:r>
        <w:rPr>
          <w:rFonts w:eastAsia="Times New Roman"/>
          <w:color w:val="000000"/>
          <w:sz w:val="20"/>
          <w:szCs w:val="20"/>
        </w:rPr>
        <w:t xml:space="preserve">cal 2020, the two quarters ended January 3, 2020 and fiscal 2019, respectively. </w:t>
      </w:r>
    </w:p>
    <w:p w:rsidR="00000000" w:rsidRDefault="00AE54EE">
      <w:pPr>
        <w:divId w:val="79329692"/>
        <w:rPr>
          <w:rFonts w:eastAsia="Times New Roman"/>
        </w:rPr>
      </w:pPr>
      <w:r>
        <w:rPr>
          <w:rFonts w:eastAsia="Times New Roman"/>
          <w:b/>
          <w:bCs/>
          <w:color w:val="000000"/>
          <w:sz w:val="20"/>
          <w:szCs w:val="20"/>
        </w:rPr>
        <w:t>NOTE 14: PENSION AND OTHER POSTRETIREMENT BENEFITS</w:t>
      </w:r>
      <w:r>
        <w:rPr>
          <w:rFonts w:eastAsia="Times New Roman"/>
          <w:b/>
          <w:bCs/>
          <w:i/>
          <w:iCs/>
          <w:color w:val="000000"/>
          <w:sz w:val="20"/>
          <w:szCs w:val="20"/>
        </w:rPr>
        <w:t xml:space="preserve"> </w:t>
      </w:r>
    </w:p>
    <w:p w:rsidR="00000000" w:rsidRDefault="00AE54EE">
      <w:pPr>
        <w:divId w:val="145904604"/>
        <w:rPr>
          <w:rFonts w:eastAsia="Times New Roman"/>
        </w:rPr>
      </w:pPr>
      <w:r>
        <w:rPr>
          <w:rFonts w:eastAsia="Times New Roman"/>
          <w:b/>
          <w:bCs/>
          <w:color w:val="000000"/>
          <w:sz w:val="20"/>
          <w:szCs w:val="20"/>
        </w:rPr>
        <w:t>Defined Contribution Plans</w:t>
      </w:r>
    </w:p>
    <w:p w:rsidR="00000000" w:rsidRDefault="00AE54EE">
      <w:pPr>
        <w:ind w:firstLine="450"/>
        <w:divId w:val="992101868"/>
        <w:rPr>
          <w:rFonts w:eastAsia="Times New Roman"/>
        </w:rPr>
      </w:pPr>
      <w:r>
        <w:rPr>
          <w:rFonts w:eastAsia="Times New Roman"/>
          <w:color w:val="000000"/>
          <w:sz w:val="20"/>
          <w:szCs w:val="20"/>
        </w:rPr>
        <w:t>As of December 31, 2021, we sponsor numerous defined contribution savings plans, which allow our</w:t>
      </w:r>
      <w:r>
        <w:rPr>
          <w:rFonts w:eastAsia="Times New Roman"/>
          <w:color w:val="000000"/>
          <w:sz w:val="20"/>
          <w:szCs w:val="20"/>
        </w:rPr>
        <w:t xml:space="preserve"> eligible employees to contribute a portion of their pre-tax and/or after-tax income in accordance with specified guidelines. The plans include several match contribution formulas which requires us to match a percentage of the employee contributions up to </w:t>
      </w:r>
      <w:r>
        <w:rPr>
          <w:rFonts w:eastAsia="Times New Roman"/>
          <w:color w:val="000000"/>
          <w:sz w:val="20"/>
          <w:szCs w:val="20"/>
        </w:rPr>
        <w:t>certain limits, generally totaling 6.0% of employee eligible pay. Matching contributions, net of forfeitures, charged to expense were $230 million, $225 million, $105 million and $85 million in fiscal 2021 and 2020, the two quarters ended January 3, 2020 a</w:t>
      </w:r>
      <w:r>
        <w:rPr>
          <w:rFonts w:eastAsia="Times New Roman"/>
          <w:color w:val="000000"/>
          <w:sz w:val="20"/>
          <w:szCs w:val="20"/>
        </w:rPr>
        <w:t xml:space="preserve">nd fiscal 2019, respectively. </w:t>
      </w:r>
    </w:p>
    <w:p w:rsidR="00000000" w:rsidRDefault="00AE54EE">
      <w:pPr>
        <w:ind w:firstLine="450"/>
        <w:jc w:val="center"/>
        <w:divId w:val="176507940"/>
        <w:rPr>
          <w:rFonts w:eastAsia="Times New Roman"/>
        </w:rPr>
      </w:pPr>
      <w:r>
        <w:rPr>
          <w:rFonts w:eastAsia="Times New Roman"/>
          <w:color w:val="000000"/>
          <w:sz w:val="20"/>
          <w:szCs w:val="20"/>
        </w:rPr>
        <w:t>96</w:t>
      </w:r>
    </w:p>
    <w:p w:rsidR="00000000" w:rsidRDefault="00AE54EE">
      <w:pPr>
        <w:rPr>
          <w:rFonts w:eastAsia="Times New Roman"/>
        </w:rPr>
      </w:pPr>
      <w:r>
        <w:rPr>
          <w:rFonts w:eastAsia="Times New Roman"/>
        </w:rPr>
        <w:pict>
          <v:rect id="_x0000_i1124" style="width:0;height:1.5pt" o:hralign="center" o:hrstd="t" o:hr="t" fillcolor="#a0a0a0" stroked="f"/>
        </w:pict>
      </w:r>
    </w:p>
    <w:p w:rsidR="00000000" w:rsidRDefault="00AE54EE">
      <w:pPr>
        <w:ind w:firstLine="450"/>
        <w:divId w:val="2141337822"/>
        <w:rPr>
          <w:rFonts w:eastAsia="Times New Roman"/>
        </w:rPr>
      </w:pPr>
    </w:p>
    <w:p w:rsidR="00000000" w:rsidRDefault="00AE54EE">
      <w:pPr>
        <w:divId w:val="1124737976"/>
        <w:rPr>
          <w:rFonts w:eastAsia="Times New Roman"/>
        </w:rPr>
      </w:pPr>
      <w:r>
        <w:rPr>
          <w:rFonts w:eastAsia="Times New Roman"/>
          <w:b/>
          <w:bCs/>
          <w:color w:val="000000"/>
          <w:sz w:val="20"/>
          <w:szCs w:val="20"/>
        </w:rPr>
        <w:t>Deferred Compensation Plans</w:t>
      </w:r>
    </w:p>
    <w:p w:rsidR="00000000" w:rsidRDefault="00AE54EE">
      <w:pPr>
        <w:ind w:firstLine="450"/>
        <w:divId w:val="1504977338"/>
        <w:rPr>
          <w:rFonts w:eastAsia="Times New Roman"/>
        </w:rPr>
      </w:pPr>
      <w:r>
        <w:rPr>
          <w:rFonts w:eastAsia="Times New Roman"/>
          <w:color w:val="000000"/>
          <w:sz w:val="20"/>
          <w:szCs w:val="20"/>
        </w:rPr>
        <w:t xml:space="preserve">We also sponsor certain non-qualified deferred compensation plans. </w:t>
      </w:r>
      <w:r>
        <w:rPr>
          <w:rFonts w:eastAsia="Times New Roman"/>
          <w:color w:val="000000"/>
          <w:sz w:val="20"/>
          <w:szCs w:val="20"/>
        </w:rPr>
        <w:t>The following table provides the fair value of our deferred compensation plan investments and liabilities by category and by fair value hierarchy level:</w:t>
      </w:r>
    </w:p>
    <w:tbl>
      <w:tblPr>
        <w:tblW w:w="5000" w:type="pct"/>
        <w:tblCellMar>
          <w:top w:w="15" w:type="dxa"/>
          <w:left w:w="15" w:type="dxa"/>
          <w:bottom w:w="15" w:type="dxa"/>
          <w:right w:w="15" w:type="dxa"/>
        </w:tblCellMar>
        <w:tblLook w:val="04A0" w:firstRow="1" w:lastRow="0" w:firstColumn="1" w:lastColumn="0" w:noHBand="0" w:noVBand="1"/>
      </w:tblPr>
      <w:tblGrid>
        <w:gridCol w:w="46"/>
        <w:gridCol w:w="4003"/>
        <w:gridCol w:w="39"/>
        <w:gridCol w:w="120"/>
        <w:gridCol w:w="781"/>
        <w:gridCol w:w="36"/>
        <w:gridCol w:w="36"/>
        <w:gridCol w:w="36"/>
        <w:gridCol w:w="36"/>
        <w:gridCol w:w="121"/>
        <w:gridCol w:w="732"/>
        <w:gridCol w:w="37"/>
        <w:gridCol w:w="36"/>
        <w:gridCol w:w="36"/>
        <w:gridCol w:w="36"/>
        <w:gridCol w:w="120"/>
        <w:gridCol w:w="732"/>
        <w:gridCol w:w="36"/>
        <w:gridCol w:w="36"/>
        <w:gridCol w:w="36"/>
        <w:gridCol w:w="36"/>
        <w:gridCol w:w="121"/>
        <w:gridCol w:w="734"/>
        <w:gridCol w:w="36"/>
        <w:gridCol w:w="36"/>
        <w:gridCol w:w="36"/>
        <w:gridCol w:w="36"/>
        <w:gridCol w:w="36"/>
        <w:gridCol w:w="36"/>
        <w:gridCol w:w="36"/>
        <w:gridCol w:w="36"/>
        <w:gridCol w:w="36"/>
      </w:tblGrid>
      <w:tr w:rsidR="00000000">
        <w:trPr>
          <w:divId w:val="143353331"/>
        </w:trPr>
        <w:tc>
          <w:tcPr>
            <w:tcW w:w="50" w:type="pct"/>
            <w:vAlign w:val="center"/>
            <w:hideMark/>
          </w:tcPr>
          <w:p w:rsidR="00000000" w:rsidRDefault="00AE54EE">
            <w:pPr>
              <w:ind w:firstLine="450"/>
              <w:rPr>
                <w:rFonts w:eastAsia="Times New Roman"/>
              </w:rPr>
            </w:pPr>
          </w:p>
        </w:tc>
        <w:tc>
          <w:tcPr>
            <w:tcW w:w="253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Level 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FFFFFF"/>
            <w:tcMar>
              <w:top w:w="30" w:type="dxa"/>
              <w:left w:w="20" w:type="dxa"/>
              <w:bottom w:w="30" w:type="dxa"/>
              <w:right w:w="20" w:type="dxa"/>
            </w:tcMar>
            <w:hideMark/>
          </w:tcPr>
          <w:p w:rsidR="00000000" w:rsidRDefault="00AE54EE">
            <w:pPr>
              <w:spacing w:after="100"/>
              <w:divId w:val="1882744622"/>
              <w:rPr>
                <w:rFonts w:eastAsia="Times New Roman"/>
              </w:rPr>
            </w:pPr>
            <w:r>
              <w:rPr>
                <w:rFonts w:eastAsia="Times New Roman"/>
                <w:color w:val="000000"/>
                <w:sz w:val="20"/>
                <w:szCs w:val="20"/>
              </w:rPr>
              <w:t>Deferred compensation plan assets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Equity and fixed income securities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CCEEFF"/>
            <w:tcMar>
              <w:top w:w="30" w:type="dxa"/>
              <w:left w:w="6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Corporate-owned life insurance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FFFFFF"/>
            <w:tcMar>
              <w:top w:w="30" w:type="dxa"/>
              <w:left w:w="185"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Height w:val="30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CCEEFF"/>
            <w:tcMar>
              <w:top w:w="30" w:type="dxa"/>
              <w:left w:w="20" w:type="dxa"/>
              <w:bottom w:w="30" w:type="dxa"/>
              <w:right w:w="20" w:type="dxa"/>
            </w:tcMar>
            <w:hideMark/>
          </w:tcPr>
          <w:p w:rsidR="00000000" w:rsidRDefault="00AE54EE">
            <w:pPr>
              <w:spacing w:after="100"/>
              <w:divId w:val="2025471882"/>
              <w:rPr>
                <w:rFonts w:eastAsia="Times New Roman"/>
              </w:rPr>
            </w:pPr>
            <w:r>
              <w:rPr>
                <w:rFonts w:eastAsia="Times New Roman"/>
                <w:color w:val="000000"/>
                <w:sz w:val="20"/>
                <w:szCs w:val="20"/>
              </w:rPr>
              <w:t>Deferred compensation plan liabilities</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Equity securities and mutual funds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Investments measured at NAV:</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FFFFFF"/>
            <w:tcMar>
              <w:top w:w="30" w:type="dxa"/>
              <w:left w:w="92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Common/collective trusts and guaranteed investment contracts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43353331"/>
        </w:trPr>
        <w:tc>
          <w:tcPr>
            <w:tcW w:w="0" w:type="auto"/>
            <w:gridSpan w:val="3"/>
            <w:shd w:val="clear" w:color="auto" w:fill="CCEEFF"/>
            <w:tcMar>
              <w:top w:w="30" w:type="dxa"/>
              <w:left w:w="185"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fair value of deferred compensation plan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divId w:val="1352485986"/>
        <w:rPr>
          <w:rFonts w:eastAsia="Times New Roman"/>
        </w:rPr>
      </w:pPr>
      <w:r>
        <w:rPr>
          <w:rFonts w:eastAsia="Times New Roman"/>
          <w:color w:val="000000"/>
          <w:sz w:val="16"/>
          <w:szCs w:val="16"/>
        </w:rPr>
        <w:t>_______________</w:t>
      </w:r>
    </w:p>
    <w:p w:rsidR="00000000" w:rsidRDefault="00AE54EE">
      <w:pPr>
        <w:ind w:hanging="360"/>
        <w:divId w:val="1614244110"/>
        <w:rPr>
          <w:rFonts w:eastAsia="Times New Roman"/>
        </w:rPr>
      </w:pPr>
      <w:r>
        <w:rPr>
          <w:rFonts w:eastAsia="Times New Roman"/>
          <w:color w:val="000000"/>
          <w:sz w:val="16"/>
          <w:szCs w:val="16"/>
        </w:rPr>
        <w:t xml:space="preserve">(1)Represents diversified assets held in a “rabbi trust” </w:t>
      </w:r>
      <w:r>
        <w:rPr>
          <w:rFonts w:eastAsia="Times New Roman"/>
          <w:color w:val="000000"/>
          <w:sz w:val="16"/>
          <w:szCs w:val="16"/>
        </w:rPr>
        <w:t>associated with our non-qualified deferred compensation plans, which we include in the “Other current</w:t>
      </w:r>
    </w:p>
    <w:p w:rsidR="00000000" w:rsidRDefault="00AE54EE">
      <w:pPr>
        <w:divId w:val="1667589443"/>
        <w:rPr>
          <w:rFonts w:eastAsia="Times New Roman"/>
        </w:rPr>
      </w:pPr>
      <w:r>
        <w:rPr>
          <w:rFonts w:eastAsia="Times New Roman"/>
          <w:color w:val="000000"/>
          <w:sz w:val="16"/>
          <w:szCs w:val="16"/>
        </w:rPr>
        <w:t>assets” and “Other non-current assets” line items in our Consolidated Balance Sheet, and which are measured at fair value.</w:t>
      </w:r>
    </w:p>
    <w:p w:rsidR="00000000" w:rsidRDefault="00AE54EE">
      <w:pPr>
        <w:ind w:hanging="360"/>
        <w:divId w:val="1508056932"/>
        <w:rPr>
          <w:rFonts w:eastAsia="Times New Roman"/>
        </w:rPr>
      </w:pPr>
      <w:r>
        <w:rPr>
          <w:rFonts w:eastAsia="Times New Roman"/>
          <w:color w:val="000000"/>
          <w:sz w:val="16"/>
          <w:szCs w:val="16"/>
        </w:rPr>
        <w:t>(2)Primarily represents obligat</w:t>
      </w:r>
      <w:r>
        <w:rPr>
          <w:rFonts w:eastAsia="Times New Roman"/>
          <w:color w:val="000000"/>
          <w:sz w:val="16"/>
          <w:szCs w:val="16"/>
        </w:rPr>
        <w:t>ions to pay benefits under certain non-qualified deferred compensation plans, which we include in the “Compensation and</w:t>
      </w:r>
    </w:p>
    <w:p w:rsidR="00000000" w:rsidRDefault="00AE54EE">
      <w:pPr>
        <w:divId w:val="1383097647"/>
        <w:rPr>
          <w:rFonts w:eastAsia="Times New Roman"/>
        </w:rPr>
      </w:pPr>
      <w:r>
        <w:rPr>
          <w:rFonts w:eastAsia="Times New Roman"/>
          <w:color w:val="000000"/>
          <w:sz w:val="16"/>
          <w:szCs w:val="16"/>
        </w:rPr>
        <w:t>benefits” and “Other long-term liabilities” line items in our Consolidated Balance Sheet. Under these plans, participants designate</w:t>
      </w:r>
    </w:p>
    <w:p w:rsidR="00000000" w:rsidRDefault="00AE54EE">
      <w:pPr>
        <w:divId w:val="1906838135"/>
        <w:rPr>
          <w:rFonts w:eastAsia="Times New Roman"/>
        </w:rPr>
      </w:pPr>
      <w:r>
        <w:rPr>
          <w:rFonts w:eastAsia="Times New Roman"/>
          <w:color w:val="000000"/>
          <w:sz w:val="16"/>
          <w:szCs w:val="16"/>
        </w:rPr>
        <w:t>inve</w:t>
      </w:r>
      <w:r>
        <w:rPr>
          <w:rFonts w:eastAsia="Times New Roman"/>
          <w:color w:val="000000"/>
          <w:sz w:val="16"/>
          <w:szCs w:val="16"/>
        </w:rPr>
        <w:t>stment options (including stock and fixed-income funds), which serve as the basis for measurement of the notional value of their accounts.</w:t>
      </w:r>
    </w:p>
    <w:p w:rsidR="00000000" w:rsidRDefault="00AE54EE">
      <w:pPr>
        <w:divId w:val="65998500"/>
        <w:rPr>
          <w:rFonts w:eastAsia="Times New Roman"/>
        </w:rPr>
      </w:pPr>
      <w:r>
        <w:rPr>
          <w:rFonts w:eastAsia="Times New Roman"/>
          <w:b/>
          <w:bCs/>
          <w:color w:val="000000"/>
          <w:sz w:val="20"/>
          <w:szCs w:val="20"/>
        </w:rPr>
        <w:t>Defined Benefit Plans</w:t>
      </w:r>
    </w:p>
    <w:p w:rsidR="00000000" w:rsidRDefault="00AE54EE">
      <w:pPr>
        <w:ind w:firstLine="450"/>
        <w:divId w:val="935331517"/>
        <w:rPr>
          <w:rFonts w:eastAsia="Times New Roman"/>
        </w:rPr>
      </w:pPr>
      <w:r>
        <w:rPr>
          <w:rFonts w:eastAsia="Times New Roman"/>
          <w:color w:val="000000"/>
          <w:sz w:val="20"/>
          <w:szCs w:val="20"/>
        </w:rPr>
        <w:t>We sponsor numerous defined benefit pension plans for eligible employees. Benefits for most par</w:t>
      </w:r>
      <w:r>
        <w:rPr>
          <w:rFonts w:eastAsia="Times New Roman"/>
          <w:color w:val="000000"/>
          <w:sz w:val="20"/>
          <w:szCs w:val="20"/>
        </w:rPr>
        <w:t>ticipants under the terms of these plans are based on the employee’s years of service and compensation. We fund these plans as required by statutory regulations and through voluntary contributions. Some of our employees also participate in other postretire</w:t>
      </w:r>
      <w:r>
        <w:rPr>
          <w:rFonts w:eastAsia="Times New Roman"/>
          <w:color w:val="000000"/>
          <w:sz w:val="20"/>
          <w:szCs w:val="20"/>
        </w:rPr>
        <w:t>ment defined benefit plans such as health care and life insurance plans.</w:t>
      </w:r>
    </w:p>
    <w:p w:rsidR="00000000" w:rsidRDefault="00AE54EE">
      <w:pPr>
        <w:ind w:firstLine="450"/>
        <w:divId w:val="489101884"/>
        <w:rPr>
          <w:rFonts w:eastAsia="Times New Roman"/>
        </w:rPr>
      </w:pPr>
      <w:r>
        <w:rPr>
          <w:rFonts w:eastAsia="Times New Roman"/>
          <w:color w:val="000000"/>
          <w:sz w:val="20"/>
          <w:szCs w:val="20"/>
        </w:rPr>
        <w:t>Our Salaried Pension Plan (“SPP”) is our largest defined benefit pension plan, with assets valued at $8.2 billion and a projected benefit obligation of $8.6 billion as of December 31,</w:t>
      </w:r>
      <w:r>
        <w:rPr>
          <w:rFonts w:eastAsia="Times New Roman"/>
          <w:color w:val="000000"/>
          <w:sz w:val="20"/>
          <w:szCs w:val="20"/>
        </w:rPr>
        <w:t xml:space="preserve"> 2021.</w:t>
      </w:r>
    </w:p>
    <w:p w:rsidR="00000000" w:rsidRDefault="00AE54EE">
      <w:pPr>
        <w:ind w:firstLine="450"/>
        <w:jc w:val="center"/>
        <w:divId w:val="98451604"/>
        <w:rPr>
          <w:rFonts w:eastAsia="Times New Roman"/>
        </w:rPr>
      </w:pPr>
      <w:r>
        <w:rPr>
          <w:rFonts w:eastAsia="Times New Roman"/>
          <w:color w:val="000000"/>
          <w:sz w:val="20"/>
          <w:szCs w:val="20"/>
        </w:rPr>
        <w:t>97</w:t>
      </w:r>
    </w:p>
    <w:p w:rsidR="00000000" w:rsidRDefault="00AE54EE">
      <w:pPr>
        <w:rPr>
          <w:rFonts w:eastAsia="Times New Roman"/>
        </w:rPr>
      </w:pPr>
      <w:r>
        <w:rPr>
          <w:rFonts w:eastAsia="Times New Roman"/>
        </w:rPr>
        <w:pict>
          <v:rect id="_x0000_i1125" style="width:0;height:1.5pt" o:hralign="center" o:hrstd="t" o:hr="t" fillcolor="#a0a0a0" stroked="f"/>
        </w:pict>
      </w:r>
    </w:p>
    <w:p w:rsidR="00000000" w:rsidRDefault="00AE54EE">
      <w:pPr>
        <w:ind w:firstLine="450"/>
        <w:divId w:val="174999890"/>
        <w:rPr>
          <w:rFonts w:eastAsia="Times New Roman"/>
        </w:rPr>
      </w:pPr>
    </w:p>
    <w:p w:rsidR="00000000" w:rsidRDefault="00AE54EE">
      <w:pPr>
        <w:divId w:val="1497376784"/>
        <w:rPr>
          <w:rFonts w:eastAsia="Times New Roman"/>
        </w:rPr>
      </w:pPr>
      <w:r>
        <w:rPr>
          <w:rFonts w:eastAsia="Times New Roman"/>
          <w:b/>
          <w:bCs/>
          <w:color w:val="000000"/>
          <w:sz w:val="20"/>
          <w:szCs w:val="20"/>
        </w:rPr>
        <w:t>Balance Sheet Information</w:t>
      </w:r>
    </w:p>
    <w:p w:rsidR="00000000" w:rsidRDefault="00AE54EE">
      <w:pPr>
        <w:ind w:firstLine="450"/>
        <w:divId w:val="2048069448"/>
        <w:rPr>
          <w:rFonts w:eastAsia="Times New Roman"/>
        </w:rPr>
      </w:pPr>
      <w:r>
        <w:rPr>
          <w:rFonts w:eastAsia="Times New Roman"/>
          <w:color w:val="000000"/>
          <w:sz w:val="20"/>
          <w:szCs w:val="20"/>
        </w:rPr>
        <w:t xml:space="preserve">Amounts recognized in our Consolidated Balance Sheet for defined benefit pension plans and other postretirement defined benefit plans (collectively, “defined benefit plans”) reflect </w:t>
      </w:r>
      <w:r>
        <w:rPr>
          <w:rFonts w:eastAsia="Times New Roman"/>
          <w:color w:val="000000"/>
          <w:sz w:val="20"/>
          <w:szCs w:val="20"/>
        </w:rPr>
        <w:t>the funded status of our plans. The following table provides a summary of the funded status of our defined benefit plans and the presentation of such balances within our Consolidated Balance Sheet:</w:t>
      </w:r>
    </w:p>
    <w:tbl>
      <w:tblPr>
        <w:tblW w:w="4971" w:type="pct"/>
        <w:tblCellMar>
          <w:top w:w="15" w:type="dxa"/>
          <w:left w:w="15" w:type="dxa"/>
          <w:bottom w:w="15" w:type="dxa"/>
          <w:right w:w="15" w:type="dxa"/>
        </w:tblCellMar>
        <w:tblLook w:val="04A0" w:firstRow="1" w:lastRow="0" w:firstColumn="1" w:lastColumn="0" w:noHBand="0" w:noVBand="1"/>
      </w:tblPr>
      <w:tblGrid>
        <w:gridCol w:w="39"/>
        <w:gridCol w:w="2721"/>
        <w:gridCol w:w="38"/>
        <w:gridCol w:w="121"/>
        <w:gridCol w:w="630"/>
        <w:gridCol w:w="36"/>
        <w:gridCol w:w="36"/>
        <w:gridCol w:w="36"/>
        <w:gridCol w:w="36"/>
        <w:gridCol w:w="121"/>
        <w:gridCol w:w="524"/>
        <w:gridCol w:w="36"/>
        <w:gridCol w:w="36"/>
        <w:gridCol w:w="36"/>
        <w:gridCol w:w="36"/>
        <w:gridCol w:w="121"/>
        <w:gridCol w:w="630"/>
        <w:gridCol w:w="36"/>
        <w:gridCol w:w="36"/>
        <w:gridCol w:w="36"/>
        <w:gridCol w:w="36"/>
        <w:gridCol w:w="120"/>
        <w:gridCol w:w="584"/>
        <w:gridCol w:w="36"/>
        <w:gridCol w:w="36"/>
        <w:gridCol w:w="36"/>
        <w:gridCol w:w="36"/>
        <w:gridCol w:w="121"/>
        <w:gridCol w:w="524"/>
        <w:gridCol w:w="36"/>
        <w:gridCol w:w="36"/>
        <w:gridCol w:w="36"/>
        <w:gridCol w:w="36"/>
        <w:gridCol w:w="120"/>
        <w:gridCol w:w="584"/>
        <w:gridCol w:w="36"/>
        <w:gridCol w:w="36"/>
        <w:gridCol w:w="36"/>
        <w:gridCol w:w="36"/>
        <w:gridCol w:w="36"/>
        <w:gridCol w:w="36"/>
        <w:gridCol w:w="36"/>
        <w:gridCol w:w="36"/>
        <w:gridCol w:w="36"/>
        <w:gridCol w:w="36"/>
        <w:gridCol w:w="36"/>
        <w:gridCol w:w="36"/>
        <w:gridCol w:w="36"/>
        <w:gridCol w:w="36"/>
        <w:gridCol w:w="36"/>
      </w:tblGrid>
      <w:tr w:rsidR="00000000">
        <w:trPr>
          <w:divId w:val="1075053335"/>
        </w:trPr>
        <w:tc>
          <w:tcPr>
            <w:tcW w:w="50" w:type="pct"/>
            <w:vAlign w:val="center"/>
            <w:hideMark/>
          </w:tcPr>
          <w:p w:rsidR="00000000" w:rsidRDefault="00AE54EE">
            <w:pPr>
              <w:ind w:firstLine="450"/>
              <w:rPr>
                <w:rFonts w:eastAsia="Times New Roman"/>
              </w:rPr>
            </w:pPr>
          </w:p>
        </w:tc>
        <w:tc>
          <w:tcPr>
            <w:tcW w:w="185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75053335"/>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075053335"/>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75053335"/>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75053335"/>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Fair value of plan assets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9,924 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9,600 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75053335"/>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Projected benefit obligation</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(10,007)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(10,355)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(11,045)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(11,432)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75053335"/>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Funded status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75053335"/>
        </w:trPr>
        <w:tc>
          <w:tcPr>
            <w:tcW w:w="0" w:type="auto"/>
            <w:gridSpan w:val="36"/>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Consolidated Balance Sheet line item amounts:</w:t>
            </w:r>
          </w:p>
        </w:tc>
        <w:tc>
          <w:tcPr>
            <w:tcW w:w="0" w:type="auto"/>
            <w:vAlign w:val="center"/>
            <w:hideMark/>
          </w:tcPr>
          <w:p w:rsidR="00000000" w:rsidRDefault="00AE54EE">
            <w:pPr>
              <w:spacing w:after="100"/>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075053335"/>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non-current assets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75053335"/>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75053335"/>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Liabilities of disposal group held for sale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75053335"/>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Defined benefit plans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(614)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(1,906)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firstLine="450"/>
        <w:divId w:val="341050573"/>
        <w:rPr>
          <w:rFonts w:eastAsia="Times New Roman"/>
        </w:rPr>
      </w:pPr>
      <w:r>
        <w:rPr>
          <w:rFonts w:eastAsia="Times New Roman"/>
          <w:color w:val="000000"/>
          <w:sz w:val="20"/>
          <w:szCs w:val="20"/>
        </w:rPr>
        <w:t>A portion of our projected benefit obligation includes amounts that have not yet been recognized as expense (or reductions of expense) in our results of operatio</w:t>
      </w:r>
      <w:r>
        <w:rPr>
          <w:rFonts w:eastAsia="Times New Roman"/>
          <w:color w:val="000000"/>
          <w:sz w:val="20"/>
          <w:szCs w:val="20"/>
        </w:rPr>
        <w:t>ns. Such amounts are recorded within accumulated other comprehensive loss until they are amortized as a component of net periodic benefit cost. The following table provides a summary of pre-tax amounts recorded within accumulated other comprehensive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2859"/>
        <w:gridCol w:w="37"/>
        <w:gridCol w:w="121"/>
        <w:gridCol w:w="609"/>
        <w:gridCol w:w="36"/>
        <w:gridCol w:w="36"/>
        <w:gridCol w:w="36"/>
        <w:gridCol w:w="36"/>
        <w:gridCol w:w="121"/>
        <w:gridCol w:w="556"/>
        <w:gridCol w:w="36"/>
        <w:gridCol w:w="36"/>
        <w:gridCol w:w="36"/>
        <w:gridCol w:w="36"/>
        <w:gridCol w:w="120"/>
        <w:gridCol w:w="556"/>
        <w:gridCol w:w="36"/>
        <w:gridCol w:w="36"/>
        <w:gridCol w:w="36"/>
        <w:gridCol w:w="36"/>
        <w:gridCol w:w="120"/>
        <w:gridCol w:w="556"/>
        <w:gridCol w:w="36"/>
        <w:gridCol w:w="36"/>
        <w:gridCol w:w="36"/>
        <w:gridCol w:w="36"/>
        <w:gridCol w:w="121"/>
        <w:gridCol w:w="556"/>
        <w:gridCol w:w="36"/>
        <w:gridCol w:w="36"/>
        <w:gridCol w:w="36"/>
        <w:gridCol w:w="36"/>
        <w:gridCol w:w="120"/>
        <w:gridCol w:w="556"/>
        <w:gridCol w:w="36"/>
        <w:gridCol w:w="36"/>
        <w:gridCol w:w="36"/>
        <w:gridCol w:w="36"/>
        <w:gridCol w:w="36"/>
        <w:gridCol w:w="36"/>
        <w:gridCol w:w="36"/>
        <w:gridCol w:w="36"/>
        <w:gridCol w:w="36"/>
        <w:gridCol w:w="36"/>
        <w:gridCol w:w="36"/>
        <w:gridCol w:w="36"/>
        <w:gridCol w:w="36"/>
        <w:gridCol w:w="36"/>
        <w:gridCol w:w="36"/>
      </w:tblGrid>
      <w:tr w:rsidR="00000000">
        <w:trPr>
          <w:divId w:val="1786386483"/>
        </w:trPr>
        <w:tc>
          <w:tcPr>
            <w:tcW w:w="50" w:type="pct"/>
            <w:vAlign w:val="center"/>
            <w:hideMark/>
          </w:tcPr>
          <w:p w:rsidR="00000000" w:rsidRDefault="00AE54EE">
            <w:pPr>
              <w:ind w:firstLine="450"/>
              <w:rPr>
                <w:rFonts w:eastAsia="Times New Roman"/>
              </w:rPr>
            </w:pPr>
          </w:p>
        </w:tc>
        <w:tc>
          <w:tcPr>
            <w:tcW w:w="187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8638648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78638648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86386483"/>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8638648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actuarial loss (gain)</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1,187 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86386483"/>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prior service (credit) cost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786386483"/>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firstLine="450"/>
        <w:divId w:val="1696420191"/>
        <w:rPr>
          <w:rFonts w:eastAsia="Times New Roman"/>
        </w:rPr>
      </w:pPr>
      <w:r>
        <w:rPr>
          <w:rFonts w:eastAsia="Times New Roman"/>
          <w:color w:val="000000"/>
          <w:sz w:val="20"/>
          <w:szCs w:val="20"/>
        </w:rPr>
        <w:t>The following table provides a roll-forward of the projected benefit obligations for our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39"/>
        <w:gridCol w:w="2800"/>
        <w:gridCol w:w="37"/>
        <w:gridCol w:w="120"/>
        <w:gridCol w:w="600"/>
        <w:gridCol w:w="36"/>
        <w:gridCol w:w="36"/>
        <w:gridCol w:w="36"/>
        <w:gridCol w:w="36"/>
        <w:gridCol w:w="121"/>
        <w:gridCol w:w="524"/>
        <w:gridCol w:w="36"/>
        <w:gridCol w:w="36"/>
        <w:gridCol w:w="36"/>
        <w:gridCol w:w="36"/>
        <w:gridCol w:w="120"/>
        <w:gridCol w:w="600"/>
        <w:gridCol w:w="36"/>
        <w:gridCol w:w="36"/>
        <w:gridCol w:w="36"/>
        <w:gridCol w:w="36"/>
        <w:gridCol w:w="120"/>
        <w:gridCol w:w="600"/>
        <w:gridCol w:w="36"/>
        <w:gridCol w:w="36"/>
        <w:gridCol w:w="36"/>
        <w:gridCol w:w="36"/>
        <w:gridCol w:w="121"/>
        <w:gridCol w:w="524"/>
        <w:gridCol w:w="36"/>
        <w:gridCol w:w="36"/>
        <w:gridCol w:w="36"/>
        <w:gridCol w:w="36"/>
        <w:gridCol w:w="120"/>
        <w:gridCol w:w="600"/>
        <w:gridCol w:w="36"/>
        <w:gridCol w:w="36"/>
        <w:gridCol w:w="36"/>
        <w:gridCol w:w="36"/>
        <w:gridCol w:w="36"/>
        <w:gridCol w:w="36"/>
        <w:gridCol w:w="36"/>
        <w:gridCol w:w="36"/>
        <w:gridCol w:w="36"/>
        <w:gridCol w:w="36"/>
        <w:gridCol w:w="36"/>
        <w:gridCol w:w="36"/>
        <w:gridCol w:w="36"/>
        <w:gridCol w:w="36"/>
        <w:gridCol w:w="36"/>
      </w:tblGrid>
      <w:tr w:rsidR="00000000">
        <w:trPr>
          <w:divId w:val="318464999"/>
        </w:trPr>
        <w:tc>
          <w:tcPr>
            <w:tcW w:w="50" w:type="pct"/>
            <w:vAlign w:val="center"/>
            <w:hideMark/>
          </w:tcPr>
          <w:p w:rsidR="00000000" w:rsidRDefault="00AE54EE">
            <w:pPr>
              <w:ind w:firstLine="450"/>
              <w:rPr>
                <w:rFonts w:eastAsia="Times New Roman"/>
              </w:rPr>
            </w:pPr>
          </w:p>
        </w:tc>
        <w:tc>
          <w:tcPr>
            <w:tcW w:w="187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Benefit obligation at beginning of fiscal year</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11,045 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11,432 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10,268 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10,637 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Service cost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1,035 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Benefits paid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(595)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 xml:space="preserve">Settlements </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Expenses paid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Divestiture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318464999"/>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Benefit obligation at end of fiscal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10,007 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10,355 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11,045 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11,432 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firstLine="450"/>
        <w:divId w:val="1256132684"/>
        <w:rPr>
          <w:rFonts w:eastAsia="Times New Roman"/>
        </w:rPr>
      </w:pPr>
      <w:r>
        <w:rPr>
          <w:rFonts w:eastAsia="Times New Roman"/>
          <w:color w:val="000000"/>
          <w:sz w:val="20"/>
          <w:szCs w:val="20"/>
        </w:rPr>
        <w:t>Actuarial gains in the projected benefit obligation as of December 31, 2021 were primarily the result of the increase in the discount rate. Other sources of gains and losses such as plan experience, updated census data, mortality updates and minor adjustme</w:t>
      </w:r>
      <w:r>
        <w:rPr>
          <w:rFonts w:eastAsia="Times New Roman"/>
          <w:color w:val="000000"/>
          <w:sz w:val="20"/>
          <w:szCs w:val="20"/>
        </w:rPr>
        <w:t>nts to actuarial assumptions generated combined gains and losses of less than 1% of expected year end obligations.</w:t>
      </w:r>
    </w:p>
    <w:p w:rsidR="00000000" w:rsidRDefault="00AE54EE">
      <w:pPr>
        <w:ind w:firstLine="450"/>
        <w:jc w:val="center"/>
        <w:divId w:val="996608970"/>
        <w:rPr>
          <w:rFonts w:eastAsia="Times New Roman"/>
        </w:rPr>
      </w:pPr>
      <w:r>
        <w:rPr>
          <w:rFonts w:eastAsia="Times New Roman"/>
          <w:color w:val="000000"/>
          <w:sz w:val="20"/>
          <w:szCs w:val="20"/>
        </w:rPr>
        <w:t>98</w:t>
      </w:r>
    </w:p>
    <w:p w:rsidR="00000000" w:rsidRDefault="00AE54EE">
      <w:pPr>
        <w:rPr>
          <w:rFonts w:eastAsia="Times New Roman"/>
        </w:rPr>
      </w:pPr>
      <w:r>
        <w:rPr>
          <w:rFonts w:eastAsia="Times New Roman"/>
        </w:rPr>
        <w:pict>
          <v:rect id="_x0000_i1126" style="width:0;height:1.5pt" o:hralign="center" o:hrstd="t" o:hr="t" fillcolor="#a0a0a0" stroked="f"/>
        </w:pict>
      </w:r>
    </w:p>
    <w:p w:rsidR="00000000" w:rsidRDefault="00AE54EE">
      <w:pPr>
        <w:ind w:firstLine="450"/>
        <w:divId w:val="1755933121"/>
        <w:rPr>
          <w:rFonts w:eastAsia="Times New Roman"/>
        </w:rPr>
      </w:pPr>
    </w:p>
    <w:p w:rsidR="00000000" w:rsidRDefault="00AE54EE">
      <w:pPr>
        <w:ind w:firstLine="450"/>
        <w:divId w:val="1502355461"/>
        <w:rPr>
          <w:rFonts w:eastAsia="Times New Roman"/>
        </w:rPr>
      </w:pPr>
      <w:r>
        <w:rPr>
          <w:rFonts w:eastAsia="Times New Roman"/>
          <w:color w:val="000000"/>
          <w:sz w:val="20"/>
          <w:szCs w:val="20"/>
        </w:rPr>
        <w:t>The following table provides a roll-forward of the assets and the ending funded status of our define</w:t>
      </w:r>
      <w:r>
        <w:rPr>
          <w:rFonts w:eastAsia="Times New Roman"/>
          <w:color w:val="000000"/>
          <w:sz w:val="20"/>
          <w:szCs w:val="20"/>
        </w:rPr>
        <w:t>d benefit plans:</w:t>
      </w:r>
    </w:p>
    <w:tbl>
      <w:tblPr>
        <w:tblW w:w="5000" w:type="pct"/>
        <w:tblCellMar>
          <w:top w:w="15" w:type="dxa"/>
          <w:left w:w="15" w:type="dxa"/>
          <w:bottom w:w="15" w:type="dxa"/>
          <w:right w:w="15" w:type="dxa"/>
        </w:tblCellMar>
        <w:tblLook w:val="04A0" w:firstRow="1" w:lastRow="0" w:firstColumn="1" w:lastColumn="0" w:noHBand="0" w:noVBand="1"/>
      </w:tblPr>
      <w:tblGrid>
        <w:gridCol w:w="40"/>
        <w:gridCol w:w="2849"/>
        <w:gridCol w:w="39"/>
        <w:gridCol w:w="120"/>
        <w:gridCol w:w="603"/>
        <w:gridCol w:w="36"/>
        <w:gridCol w:w="36"/>
        <w:gridCol w:w="36"/>
        <w:gridCol w:w="36"/>
        <w:gridCol w:w="121"/>
        <w:gridCol w:w="550"/>
        <w:gridCol w:w="36"/>
        <w:gridCol w:w="36"/>
        <w:gridCol w:w="36"/>
        <w:gridCol w:w="36"/>
        <w:gridCol w:w="120"/>
        <w:gridCol w:w="551"/>
        <w:gridCol w:w="36"/>
        <w:gridCol w:w="36"/>
        <w:gridCol w:w="36"/>
        <w:gridCol w:w="36"/>
        <w:gridCol w:w="120"/>
        <w:gridCol w:w="584"/>
        <w:gridCol w:w="36"/>
        <w:gridCol w:w="36"/>
        <w:gridCol w:w="36"/>
        <w:gridCol w:w="36"/>
        <w:gridCol w:w="121"/>
        <w:gridCol w:w="524"/>
        <w:gridCol w:w="36"/>
        <w:gridCol w:w="36"/>
        <w:gridCol w:w="36"/>
        <w:gridCol w:w="36"/>
        <w:gridCol w:w="120"/>
        <w:gridCol w:w="584"/>
        <w:gridCol w:w="36"/>
        <w:gridCol w:w="36"/>
        <w:gridCol w:w="36"/>
        <w:gridCol w:w="36"/>
        <w:gridCol w:w="36"/>
        <w:gridCol w:w="36"/>
        <w:gridCol w:w="36"/>
        <w:gridCol w:w="36"/>
        <w:gridCol w:w="36"/>
        <w:gridCol w:w="36"/>
        <w:gridCol w:w="36"/>
        <w:gridCol w:w="36"/>
        <w:gridCol w:w="36"/>
        <w:gridCol w:w="36"/>
        <w:gridCol w:w="36"/>
      </w:tblGrid>
      <w:tr w:rsidR="00000000">
        <w:trPr>
          <w:divId w:val="442771896"/>
        </w:trPr>
        <w:tc>
          <w:tcPr>
            <w:tcW w:w="50" w:type="pct"/>
            <w:vAlign w:val="center"/>
            <w:hideMark/>
          </w:tcPr>
          <w:p w:rsidR="00000000" w:rsidRDefault="00AE54EE">
            <w:pPr>
              <w:ind w:firstLine="450"/>
              <w:rPr>
                <w:rFonts w:eastAsia="Times New Roman"/>
              </w:rPr>
            </w:pPr>
          </w:p>
        </w:tc>
        <w:tc>
          <w:tcPr>
            <w:tcW w:w="187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Change in plan assets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FFFF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Plan assets at beginning of fiscal year</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9,301 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9,600 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8,892 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Actual return on plan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1,303 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FFFF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Employer contributions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Benefits paid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(595)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FFFF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Settlements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Expenses paid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FFFF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Divestiture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CCEE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FFFFFF"/>
            <w:tcMar>
              <w:top w:w="30" w:type="dxa"/>
              <w:left w:w="35" w:type="dxa"/>
              <w:bottom w:w="30" w:type="dxa"/>
              <w:right w:w="20" w:type="dxa"/>
            </w:tcMar>
            <w:hideMark/>
          </w:tcPr>
          <w:p w:rsidR="00000000" w:rsidRDefault="00AE54EE">
            <w:pPr>
              <w:spacing w:after="100"/>
              <w:rPr>
                <w:rFonts w:eastAsia="Times New Roman"/>
              </w:rPr>
            </w:pPr>
            <w:r>
              <w:rPr>
                <w:rFonts w:eastAsia="Times New Roman"/>
                <w:color w:val="000000"/>
                <w:sz w:val="20"/>
                <w:szCs w:val="20"/>
              </w:rPr>
              <w:t>Plan assets at end of fiscal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9,924 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Height w:val="30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44277189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Funded status at end of fiscal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firstLine="450"/>
        <w:divId w:val="2441474"/>
        <w:rPr>
          <w:rFonts w:eastAsia="Times New Roman"/>
        </w:rPr>
      </w:pPr>
      <w:r>
        <w:rPr>
          <w:rFonts w:eastAsia="Times New Roman"/>
          <w:color w:val="000000"/>
          <w:sz w:val="20"/>
          <w:szCs w:val="20"/>
        </w:rPr>
        <w:t xml:space="preserve">The accumulated benefit obligation for all defined benefit pension plans was $10.0 billion at December 31, 2021. </w:t>
      </w:r>
      <w:r>
        <w:rPr>
          <w:rFonts w:eastAsia="Times New Roman"/>
          <w:color w:val="000000"/>
          <w:sz w:val="20"/>
          <w:szCs w:val="20"/>
        </w:rPr>
        <w:t>The following tables provide information for benefit plans with accumulated benefit obligations in excess of plan assets and benefit plans with projected benefit obligations in excess of plan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3123"/>
        <w:gridCol w:w="36"/>
        <w:gridCol w:w="120"/>
        <w:gridCol w:w="1018"/>
        <w:gridCol w:w="36"/>
        <w:gridCol w:w="36"/>
        <w:gridCol w:w="36"/>
        <w:gridCol w:w="36"/>
        <w:gridCol w:w="42"/>
        <w:gridCol w:w="1011"/>
        <w:gridCol w:w="36"/>
        <w:gridCol w:w="46"/>
        <w:gridCol w:w="36"/>
        <w:gridCol w:w="36"/>
        <w:gridCol w:w="36"/>
        <w:gridCol w:w="36"/>
        <w:gridCol w:w="120"/>
        <w:gridCol w:w="977"/>
        <w:gridCol w:w="36"/>
        <w:gridCol w:w="36"/>
        <w:gridCol w:w="36"/>
        <w:gridCol w:w="36"/>
        <w:gridCol w:w="42"/>
        <w:gridCol w:w="1013"/>
        <w:gridCol w:w="36"/>
        <w:gridCol w:w="36"/>
        <w:gridCol w:w="36"/>
        <w:gridCol w:w="36"/>
        <w:gridCol w:w="36"/>
        <w:gridCol w:w="36"/>
        <w:gridCol w:w="36"/>
      </w:tblGrid>
      <w:tr w:rsidR="00000000">
        <w:trPr>
          <w:divId w:val="1962877516"/>
        </w:trPr>
        <w:tc>
          <w:tcPr>
            <w:tcW w:w="50" w:type="pct"/>
            <w:vAlign w:val="center"/>
            <w:hideMark/>
          </w:tcPr>
          <w:p w:rsidR="00000000" w:rsidRDefault="00AE54EE">
            <w:pPr>
              <w:ind w:firstLine="450"/>
              <w:rPr>
                <w:rFonts w:eastAsia="Times New Roman"/>
              </w:rPr>
            </w:pPr>
          </w:p>
        </w:tc>
        <w:tc>
          <w:tcPr>
            <w:tcW w:w="197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962877516"/>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96287751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vAlign w:val="center"/>
            <w:hideMark/>
          </w:tcPr>
          <w:p w:rsidR="00000000" w:rsidRDefault="00AE54EE">
            <w:pPr>
              <w:spacing w:after="100"/>
              <w:jc w:val="center"/>
              <w:rPr>
                <w:rFonts w:eastAsia="Times New Roman"/>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962877516"/>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96287751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Accumulated benefit obligation</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9,216 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10,469 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gridSpan w:val="3"/>
            <w:vAlign w:val="center"/>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96287751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Fair value of plan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8,672 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vAlign w:val="center"/>
            <w:hideMark/>
          </w:tcPr>
          <w:p w:rsidR="00000000" w:rsidRDefault="00AE54EE">
            <w:pPr>
              <w:spacing w:after="100"/>
              <w:jc w:val="right"/>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8,658 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gridSpan w:val="3"/>
            <w:vAlign w:val="center"/>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285"/>
        <w:gridCol w:w="144"/>
        <w:gridCol w:w="144"/>
        <w:gridCol w:w="1101"/>
        <w:gridCol w:w="144"/>
        <w:gridCol w:w="144"/>
        <w:gridCol w:w="144"/>
        <w:gridCol w:w="144"/>
        <w:gridCol w:w="144"/>
        <w:gridCol w:w="1101"/>
        <w:gridCol w:w="144"/>
        <w:gridCol w:w="480"/>
        <w:gridCol w:w="1440"/>
        <w:gridCol w:w="144"/>
        <w:gridCol w:w="144"/>
        <w:gridCol w:w="144"/>
        <w:gridCol w:w="144"/>
        <w:gridCol w:w="1101"/>
        <w:gridCol w:w="144"/>
        <w:gridCol w:w="144"/>
        <w:gridCol w:w="144"/>
        <w:gridCol w:w="144"/>
        <w:gridCol w:w="144"/>
        <w:gridCol w:w="1101"/>
        <w:gridCol w:w="144"/>
        <w:gridCol w:w="160"/>
        <w:gridCol w:w="160"/>
        <w:gridCol w:w="160"/>
        <w:gridCol w:w="480"/>
        <w:gridCol w:w="480"/>
        <w:gridCol w:w="480"/>
      </w:tblGrid>
      <w:tr w:rsidR="00000000">
        <w:tc>
          <w:tcPr>
            <w:tcW w:w="50" w:type="pct"/>
            <w:vAlign w:val="center"/>
            <w:hideMark/>
          </w:tcPr>
          <w:p w:rsidR="00000000" w:rsidRDefault="00AE54EE">
            <w:pPr>
              <w:rPr>
                <w:rFonts w:eastAsia="Times New Roman"/>
              </w:rPr>
            </w:pPr>
          </w:p>
        </w:tc>
        <w:tc>
          <w:tcPr>
            <w:tcW w:w="197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r>
            <w:r>
              <w:rPr>
                <w:rFonts w:eastAsia="Times New Roman"/>
                <w:b/>
                <w:bCs/>
                <w:color w:val="000000"/>
                <w:sz w:val="16"/>
                <w:szCs w:val="16"/>
              </w:rPr>
              <w:t>Benefits</w:t>
            </w:r>
          </w:p>
        </w:tc>
        <w:tc>
          <w:tcPr>
            <w:tcW w:w="0" w:type="auto"/>
            <w:gridSpan w:val="3"/>
            <w:vAlign w:val="center"/>
            <w:hideMark/>
          </w:tcPr>
          <w:p w:rsidR="00000000" w:rsidRDefault="00AE54EE">
            <w:pPr>
              <w:spacing w:after="100"/>
              <w:jc w:val="center"/>
              <w:rPr>
                <w:rFonts w:eastAsia="Times New Roman"/>
              </w:rPr>
            </w:pPr>
          </w:p>
        </w:tc>
        <w:tc>
          <w:tcPr>
            <w:tcW w:w="0" w:type="auto"/>
            <w:gridSpan w:val="3"/>
            <w:vAlign w:val="center"/>
            <w:hideMark/>
          </w:tcPr>
          <w:p w:rsidR="00000000" w:rsidRDefault="00AE54EE">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Projected benefit obligation</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9,340 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10,522 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Fair value of plan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8,786 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8,689 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firstLine="450"/>
        <w:jc w:val="center"/>
        <w:divId w:val="1282373714"/>
        <w:rPr>
          <w:rFonts w:eastAsia="Times New Roman"/>
        </w:rPr>
      </w:pPr>
      <w:r>
        <w:rPr>
          <w:rFonts w:eastAsia="Times New Roman"/>
          <w:color w:val="000000"/>
          <w:sz w:val="20"/>
          <w:szCs w:val="20"/>
        </w:rPr>
        <w:t>99</w:t>
      </w:r>
    </w:p>
    <w:p w:rsidR="00000000" w:rsidRDefault="00AE54EE">
      <w:pPr>
        <w:rPr>
          <w:rFonts w:eastAsia="Times New Roman"/>
        </w:rPr>
      </w:pPr>
      <w:r>
        <w:rPr>
          <w:rFonts w:eastAsia="Times New Roman"/>
        </w:rPr>
        <w:pict>
          <v:rect id="_x0000_i1127" style="width:0;height:1.5pt" o:hralign="center" o:hrstd="t" o:hr="t" fillcolor="#a0a0a0" stroked="f"/>
        </w:pict>
      </w:r>
    </w:p>
    <w:p w:rsidR="00000000" w:rsidRDefault="00AE54EE">
      <w:pPr>
        <w:ind w:firstLine="450"/>
        <w:divId w:val="960186214"/>
        <w:rPr>
          <w:rFonts w:eastAsia="Times New Roman"/>
        </w:rPr>
      </w:pPr>
    </w:p>
    <w:p w:rsidR="00000000" w:rsidRDefault="00AE54EE">
      <w:pPr>
        <w:divId w:val="1358240251"/>
        <w:rPr>
          <w:rFonts w:eastAsia="Times New Roman"/>
        </w:rPr>
      </w:pPr>
      <w:r>
        <w:rPr>
          <w:rFonts w:eastAsia="Times New Roman"/>
          <w:b/>
          <w:bCs/>
          <w:color w:val="000000"/>
          <w:sz w:val="20"/>
          <w:szCs w:val="20"/>
        </w:rPr>
        <w:t>Income S</w:t>
      </w:r>
      <w:r>
        <w:rPr>
          <w:rFonts w:eastAsia="Times New Roman"/>
          <w:b/>
          <w:bCs/>
          <w:color w:val="000000"/>
          <w:sz w:val="20"/>
          <w:szCs w:val="20"/>
        </w:rPr>
        <w:t>tatement Information</w:t>
      </w:r>
    </w:p>
    <w:p w:rsidR="00000000" w:rsidRDefault="00AE54EE">
      <w:pPr>
        <w:ind w:firstLine="450"/>
        <w:divId w:val="1403530592"/>
        <w:rPr>
          <w:rFonts w:eastAsia="Times New Roman"/>
        </w:rPr>
      </w:pPr>
      <w:r>
        <w:rPr>
          <w:rFonts w:eastAsia="Times New Roman"/>
          <w:color w:val="000000"/>
          <w:sz w:val="20"/>
          <w:szCs w:val="20"/>
        </w:rPr>
        <w:t>The following table provides the components of net periodic benefit income and other amounts recognized in other comprehensive income in fiscal 2021 and 2020, the two quarters ended January 3, 2020 and in fiscal 2019 as they pertain to</w:t>
      </w:r>
      <w:r>
        <w:rPr>
          <w:rFonts w:eastAsia="Times New Roman"/>
          <w:color w:val="000000"/>
          <w:sz w:val="20"/>
          <w:szCs w:val="20"/>
        </w:rPr>
        <w:t xml:space="preserve"> our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42"/>
        <w:gridCol w:w="3716"/>
        <w:gridCol w:w="41"/>
        <w:gridCol w:w="120"/>
        <w:gridCol w:w="1004"/>
        <w:gridCol w:w="36"/>
        <w:gridCol w:w="36"/>
        <w:gridCol w:w="36"/>
        <w:gridCol w:w="36"/>
        <w:gridCol w:w="121"/>
        <w:gridCol w:w="851"/>
        <w:gridCol w:w="36"/>
        <w:gridCol w:w="36"/>
        <w:gridCol w:w="36"/>
        <w:gridCol w:w="36"/>
        <w:gridCol w:w="121"/>
        <w:gridCol w:w="851"/>
        <w:gridCol w:w="36"/>
        <w:gridCol w:w="36"/>
        <w:gridCol w:w="36"/>
        <w:gridCol w:w="36"/>
        <w:gridCol w:w="120"/>
        <w:gridCol w:w="851"/>
        <w:gridCol w:w="36"/>
      </w:tblGrid>
      <w:tr w:rsidR="00000000">
        <w:trPr>
          <w:divId w:val="879319528"/>
        </w:trPr>
        <w:tc>
          <w:tcPr>
            <w:tcW w:w="50" w:type="pct"/>
            <w:vAlign w:val="center"/>
            <w:hideMark/>
          </w:tcPr>
          <w:p w:rsidR="00000000" w:rsidRDefault="00AE54EE">
            <w:pPr>
              <w:ind w:firstLine="450"/>
              <w:rPr>
                <w:rFonts w:eastAsia="Times New Roman"/>
              </w:rPr>
            </w:pPr>
          </w:p>
        </w:tc>
        <w:tc>
          <w:tcPr>
            <w:tcW w:w="22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3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879319528"/>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r>
      <w:tr w:rsidR="00000000">
        <w:trPr>
          <w:divId w:val="879319528"/>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87931952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879319528"/>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879319528"/>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879319528"/>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(630)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Cost for special termination benefits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Effect of curtailments or settlements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24"/>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Other changes in plan assets and benefit obligations recognized in other comprehensive loss</w:t>
            </w:r>
          </w:p>
        </w:tc>
      </w:tr>
      <w:tr w:rsidR="00000000">
        <w:trPr>
          <w:divId w:val="879319528"/>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actuarial (gain) loss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(972)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879319528"/>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Prior service cost (credit)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Amortization of prior service credit (cost)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Recognized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Recognized net actuarial loss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Recognized net loss due to divestiture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CCEEFF"/>
            <w:tcMar>
              <w:top w:w="30" w:type="dxa"/>
              <w:left w:w="185"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change recognized in other comprehensive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879319528"/>
        </w:trPr>
        <w:tc>
          <w:tcPr>
            <w:tcW w:w="0" w:type="auto"/>
            <w:gridSpan w:val="3"/>
            <w:shd w:val="clear" w:color="auto" w:fill="FFFFFF"/>
            <w:tcMar>
              <w:top w:w="30" w:type="dxa"/>
              <w:left w:w="38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Total impact from net periodic benefit cost and changes in other comprehensive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(395)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168909489"/>
        <w:rPr>
          <w:rFonts w:eastAsia="Times New Roman"/>
        </w:rPr>
      </w:pPr>
      <w:r>
        <w:rPr>
          <w:rFonts w:eastAsia="Times New Roman"/>
          <w:color w:val="000000"/>
          <w:sz w:val="20"/>
          <w:szCs w:val="20"/>
        </w:rPr>
        <w:t>Effective January 1, 2020, for certain acquired L3 U.S. defined benefit pension plans, benefit accruals were frozen and replaced with a 1% cash balance benefit formula for cert</w:t>
      </w:r>
      <w:r>
        <w:rPr>
          <w:rFonts w:eastAsia="Times New Roman"/>
          <w:color w:val="000000"/>
          <w:sz w:val="20"/>
          <w:szCs w:val="20"/>
        </w:rPr>
        <w:t>ain employees who were not considered highly compensated on December 31, 2018. During the two quarters ended January 3, 2020, we recognized a $23 million curtailment gain as a result of this change, and a $5 million settlement loss resulting from the payou</w:t>
      </w:r>
      <w:r>
        <w:rPr>
          <w:rFonts w:eastAsia="Times New Roman"/>
          <w:color w:val="000000"/>
          <w:sz w:val="20"/>
          <w:szCs w:val="20"/>
        </w:rPr>
        <w:t xml:space="preserve">t of the liabilities of a non-qualified benefit plan due to the change in control provisions. </w:t>
      </w:r>
    </w:p>
    <w:p w:rsidR="00000000" w:rsidRDefault="00AE54EE">
      <w:pPr>
        <w:ind w:firstLine="450"/>
        <w:divId w:val="597831955"/>
        <w:rPr>
          <w:rFonts w:eastAsia="Times New Roman"/>
        </w:rPr>
      </w:pPr>
      <w:r>
        <w:rPr>
          <w:rFonts w:eastAsia="Times New Roman"/>
          <w:color w:val="000000"/>
          <w:sz w:val="20"/>
          <w:szCs w:val="20"/>
        </w:rPr>
        <w:t>During fiscal 2021, we reduced our pension benefit obligations by purchasing group annuity policies and transferring approximately $250 million of pension plan a</w:t>
      </w:r>
      <w:r>
        <w:rPr>
          <w:rFonts w:eastAsia="Times New Roman"/>
          <w:color w:val="000000"/>
          <w:sz w:val="20"/>
          <w:szCs w:val="20"/>
        </w:rPr>
        <w:t>ssets to an insurance company thereby reducing our defined benefit obligations by approximately $250 million. As a result of the annuity purchases, we recognized a pre-tax loss of $4 million in fiscal 2021 which is included as a component of the “Non-opera</w:t>
      </w:r>
      <w:r>
        <w:rPr>
          <w:rFonts w:eastAsia="Times New Roman"/>
          <w:color w:val="000000"/>
          <w:sz w:val="20"/>
          <w:szCs w:val="20"/>
        </w:rPr>
        <w:t>ting income” line item in our Consolidated Statement of Income. We also recognized a pre-tax curtailment gain of $3 million in fiscal 2021 as a result of employee terminations, which is included as a component of the “Non-operating income” line item in our</w:t>
      </w:r>
      <w:r>
        <w:rPr>
          <w:rFonts w:eastAsia="Times New Roman"/>
          <w:color w:val="000000"/>
          <w:sz w:val="20"/>
          <w:szCs w:val="20"/>
        </w:rPr>
        <w:t xml:space="preserve"> Consolidated Statement of Income. </w:t>
      </w:r>
    </w:p>
    <w:p w:rsidR="00000000" w:rsidRDefault="00AE54EE">
      <w:pPr>
        <w:ind w:firstLine="450"/>
        <w:jc w:val="center"/>
        <w:divId w:val="1260261488"/>
        <w:rPr>
          <w:rFonts w:eastAsia="Times New Roman"/>
        </w:rPr>
      </w:pPr>
      <w:r>
        <w:rPr>
          <w:rFonts w:eastAsia="Times New Roman"/>
          <w:color w:val="000000"/>
          <w:sz w:val="20"/>
          <w:szCs w:val="20"/>
        </w:rPr>
        <w:t>100</w:t>
      </w:r>
    </w:p>
    <w:p w:rsidR="00000000" w:rsidRDefault="00AE54EE">
      <w:pPr>
        <w:rPr>
          <w:rFonts w:eastAsia="Times New Roman"/>
        </w:rPr>
      </w:pPr>
      <w:r>
        <w:rPr>
          <w:rFonts w:eastAsia="Times New Roman"/>
        </w:rPr>
        <w:pict>
          <v:rect id="_x0000_i1128" style="width:0;height:1.5pt" o:hralign="center" o:hrstd="t" o:hr="t" fillcolor="#a0a0a0" stroked="f"/>
        </w:pict>
      </w:r>
    </w:p>
    <w:p w:rsidR="00000000" w:rsidRDefault="00AE54EE">
      <w:pPr>
        <w:ind w:firstLine="450"/>
        <w:divId w:val="1813628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728"/>
        <w:gridCol w:w="40"/>
        <w:gridCol w:w="121"/>
        <w:gridCol w:w="992"/>
        <w:gridCol w:w="36"/>
        <w:gridCol w:w="36"/>
        <w:gridCol w:w="36"/>
        <w:gridCol w:w="36"/>
        <w:gridCol w:w="121"/>
        <w:gridCol w:w="851"/>
        <w:gridCol w:w="37"/>
        <w:gridCol w:w="36"/>
        <w:gridCol w:w="36"/>
        <w:gridCol w:w="36"/>
        <w:gridCol w:w="121"/>
        <w:gridCol w:w="851"/>
        <w:gridCol w:w="36"/>
        <w:gridCol w:w="36"/>
        <w:gridCol w:w="36"/>
        <w:gridCol w:w="36"/>
        <w:gridCol w:w="120"/>
        <w:gridCol w:w="851"/>
        <w:gridCol w:w="36"/>
      </w:tblGrid>
      <w:tr w:rsidR="00000000">
        <w:trPr>
          <w:divId w:val="1677221906"/>
        </w:trPr>
        <w:tc>
          <w:tcPr>
            <w:tcW w:w="50" w:type="pct"/>
            <w:vAlign w:val="center"/>
            <w:hideMark/>
          </w:tcPr>
          <w:p w:rsidR="00000000" w:rsidRDefault="00AE54EE">
            <w:pPr>
              <w:ind w:firstLine="450"/>
              <w:rPr>
                <w:rFonts w:eastAsia="Times New Roman"/>
              </w:rPr>
            </w:pPr>
          </w:p>
        </w:tc>
        <w:tc>
          <w:tcPr>
            <w:tcW w:w="227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677221906"/>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 Benefits</w:t>
            </w:r>
          </w:p>
        </w:tc>
      </w:tr>
      <w:tr w:rsidR="00000000">
        <w:trPr>
          <w:divId w:val="1677221906"/>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67722190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677221906"/>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77221906"/>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77221906"/>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677221906"/>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24"/>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Other changes in plan assets and benefit obligations recognized in other comprehensive loss</w:t>
            </w:r>
          </w:p>
        </w:tc>
      </w:tr>
      <w:tr w:rsidR="00000000">
        <w:trPr>
          <w:divId w:val="1677221906"/>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actuarial loss (gain)</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677221906"/>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 xml:space="preserve">Prior service cost </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677221906"/>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Amortization of net actuarial gain</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677221906"/>
        </w:trPr>
        <w:tc>
          <w:tcPr>
            <w:tcW w:w="0" w:type="auto"/>
            <w:gridSpan w:val="3"/>
            <w:shd w:val="clear" w:color="auto" w:fill="CCEEFF"/>
            <w:tcMar>
              <w:top w:w="30" w:type="dxa"/>
              <w:left w:w="20" w:type="dxa"/>
              <w:bottom w:w="30" w:type="dxa"/>
              <w:right w:w="20" w:type="dxa"/>
            </w:tcMar>
            <w:hideMark/>
          </w:tcPr>
          <w:p w:rsidR="00000000" w:rsidRDefault="00AE54EE">
            <w:pPr>
              <w:spacing w:after="100"/>
              <w:ind w:hanging="270"/>
              <w:divId w:val="390081628"/>
              <w:rPr>
                <w:rFonts w:eastAsia="Times New Roman"/>
              </w:rPr>
            </w:pPr>
            <w:r>
              <w:rPr>
                <w:rFonts w:eastAsia="Times New Roman"/>
                <w:color w:val="000000"/>
                <w:sz w:val="20"/>
                <w:szCs w:val="20"/>
              </w:rPr>
              <w:t>Total change recognized in other comprehensive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77221906"/>
        </w:trPr>
        <w:tc>
          <w:tcPr>
            <w:tcW w:w="0" w:type="auto"/>
            <w:gridSpan w:val="3"/>
            <w:shd w:val="clear" w:color="auto" w:fill="FFFFFF"/>
            <w:tcMar>
              <w:top w:w="30" w:type="dxa"/>
              <w:left w:w="20" w:type="dxa"/>
              <w:bottom w:w="30" w:type="dxa"/>
              <w:right w:w="20" w:type="dxa"/>
            </w:tcMar>
            <w:hideMark/>
          </w:tcPr>
          <w:p w:rsidR="00000000" w:rsidRDefault="00AE54EE">
            <w:pPr>
              <w:spacing w:after="100"/>
              <w:ind w:hanging="270"/>
              <w:divId w:val="1325623262"/>
              <w:rPr>
                <w:rFonts w:eastAsia="Times New Roman"/>
              </w:rPr>
            </w:pPr>
            <w:r>
              <w:rPr>
                <w:rFonts w:eastAsia="Times New Roman"/>
                <w:color w:val="000000"/>
                <w:sz w:val="20"/>
                <w:szCs w:val="20"/>
              </w:rPr>
              <w:t>Total impact from net periodic benefit cost and changes in other comprehensive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897479591"/>
        <w:rPr>
          <w:rFonts w:eastAsia="Times New Roman"/>
        </w:rPr>
      </w:pPr>
      <w:r>
        <w:rPr>
          <w:rFonts w:eastAsia="Times New Roman"/>
          <w:b/>
          <w:bCs/>
          <w:color w:val="000000"/>
          <w:sz w:val="20"/>
          <w:szCs w:val="20"/>
        </w:rPr>
        <w:t>Defined Benefit Plan Assumptions</w:t>
      </w:r>
    </w:p>
    <w:p w:rsidR="00000000" w:rsidRDefault="00AE54EE">
      <w:pPr>
        <w:ind w:firstLine="450"/>
        <w:divId w:val="93676936"/>
        <w:rPr>
          <w:rFonts w:eastAsia="Times New Roman"/>
        </w:rPr>
      </w:pPr>
      <w:r>
        <w:rPr>
          <w:rFonts w:eastAsia="Times New Roman"/>
          <w:color w:val="000000"/>
          <w:sz w:val="20"/>
          <w:szCs w:val="20"/>
        </w:rPr>
        <w:t>The determination of the assumptions related to defined benefit plans are based on the provisions of the applicable accounting pronouncemen</w:t>
      </w:r>
      <w:r>
        <w:rPr>
          <w:rFonts w:eastAsia="Times New Roman"/>
          <w:color w:val="000000"/>
          <w:sz w:val="20"/>
          <w:szCs w:val="20"/>
        </w:rPr>
        <w:t>ts, review of various market data and discussions with our actuaries. We develop each assumption using relevant Company experience in conjunction with market-related data. Assumptions are reviewed annually and adjusted as appropriate.</w:t>
      </w:r>
    </w:p>
    <w:p w:rsidR="00000000" w:rsidRDefault="00AE54EE">
      <w:pPr>
        <w:ind w:firstLine="450"/>
        <w:divId w:val="1118646165"/>
        <w:rPr>
          <w:rFonts w:eastAsia="Times New Roman"/>
        </w:rPr>
      </w:pPr>
      <w:r>
        <w:rPr>
          <w:rFonts w:eastAsia="Times New Roman"/>
          <w:color w:val="000000"/>
          <w:sz w:val="20"/>
          <w:szCs w:val="20"/>
        </w:rPr>
        <w:t xml:space="preserve">The following tables </w:t>
      </w:r>
      <w:r>
        <w:rPr>
          <w:rFonts w:eastAsia="Times New Roman"/>
          <w:color w:val="000000"/>
          <w:sz w:val="20"/>
          <w:szCs w:val="20"/>
        </w:rPr>
        <w:t>provide the weighted-average assumptions used to determine projected benefit obligations and net periodic benefit cost, as they pertain to our defined benefit pension plans:</w:t>
      </w:r>
    </w:p>
    <w:tbl>
      <w:tblPr>
        <w:tblW w:w="5000" w:type="pct"/>
        <w:tblCellMar>
          <w:top w:w="15" w:type="dxa"/>
          <w:left w:w="15" w:type="dxa"/>
          <w:bottom w:w="15" w:type="dxa"/>
          <w:right w:w="15" w:type="dxa"/>
        </w:tblCellMar>
        <w:tblLook w:val="04A0" w:firstRow="1" w:lastRow="0" w:firstColumn="1" w:lastColumn="0" w:noHBand="0" w:noVBand="1"/>
      </w:tblPr>
      <w:tblGrid>
        <w:gridCol w:w="38"/>
        <w:gridCol w:w="3694"/>
        <w:gridCol w:w="37"/>
        <w:gridCol w:w="54"/>
        <w:gridCol w:w="932"/>
        <w:gridCol w:w="187"/>
        <w:gridCol w:w="36"/>
        <w:gridCol w:w="36"/>
        <w:gridCol w:w="36"/>
        <w:gridCol w:w="49"/>
        <w:gridCol w:w="777"/>
        <w:gridCol w:w="187"/>
        <w:gridCol w:w="36"/>
        <w:gridCol w:w="36"/>
        <w:gridCol w:w="36"/>
        <w:gridCol w:w="49"/>
        <w:gridCol w:w="777"/>
        <w:gridCol w:w="187"/>
        <w:gridCol w:w="36"/>
        <w:gridCol w:w="36"/>
        <w:gridCol w:w="36"/>
        <w:gridCol w:w="38"/>
        <w:gridCol w:w="789"/>
        <w:gridCol w:w="187"/>
      </w:tblGrid>
      <w:tr w:rsidR="00000000">
        <w:trPr>
          <w:divId w:val="328142889"/>
        </w:trPr>
        <w:tc>
          <w:tcPr>
            <w:tcW w:w="50" w:type="pct"/>
            <w:vAlign w:val="center"/>
            <w:hideMark/>
          </w:tcPr>
          <w:p w:rsidR="00000000" w:rsidRDefault="00AE54EE">
            <w:pPr>
              <w:ind w:firstLine="450"/>
              <w:rPr>
                <w:rFonts w:eastAsia="Times New Roman"/>
              </w:rPr>
            </w:pPr>
          </w:p>
        </w:tc>
        <w:tc>
          <w:tcPr>
            <w:tcW w:w="227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328142889"/>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Obligation assumptions as of:</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328142889"/>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Discount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328142889"/>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Rate of future compensation increase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328142889"/>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Cash balance interest crediting rate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328142889"/>
          <w:trHeight w:val="280"/>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328142889"/>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Cost assumptions for fiscal periods ended:</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328142889"/>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 xml:space="preserve">Discount rate to determine service cost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328142889"/>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Discount rate to determine interest cost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328142889"/>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7.43 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328142889"/>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Rate of future compensation increase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328142889"/>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Cash balance interest crediting rate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bl>
    <w:p w:rsidR="00000000" w:rsidRDefault="00AE54EE">
      <w:pPr>
        <w:ind w:firstLine="450"/>
        <w:divId w:val="45956672"/>
        <w:rPr>
          <w:rFonts w:eastAsia="Times New Roman"/>
        </w:rPr>
      </w:pPr>
      <w:r>
        <w:rPr>
          <w:rFonts w:eastAsia="Times New Roman"/>
          <w:color w:val="000000"/>
          <w:sz w:val="20"/>
          <w:szCs w:val="20"/>
        </w:rPr>
        <w:t>Key assumptions for the SPP (our largest defined benefit pension plan with 86</w:t>
      </w:r>
      <w:r>
        <w:rPr>
          <w:rFonts w:eastAsia="Times New Roman"/>
          <w:color w:val="000000"/>
          <w:sz w:val="20"/>
          <w:szCs w:val="20"/>
        </w:rPr>
        <w:t>% of the total projected benefit obligation) included a discount rate for obligation assumptions of 2.75%, a cash balance interest crediting rate of 3.50% and expected return on plan assets of 7.50% for fiscal 2021, which is being maintained at 7.50% for f</w:t>
      </w:r>
      <w:r>
        <w:rPr>
          <w:rFonts w:eastAsia="Times New Roman"/>
          <w:color w:val="000000"/>
          <w:sz w:val="20"/>
          <w:szCs w:val="20"/>
        </w:rPr>
        <w:t>iscal 2022. There is also a frozen pension equity benefit that assumes a 3.25% interest crediting rate.</w:t>
      </w:r>
    </w:p>
    <w:p w:rsidR="00000000" w:rsidRDefault="00AE54EE">
      <w:pPr>
        <w:ind w:firstLine="450"/>
        <w:jc w:val="center"/>
        <w:divId w:val="1146555291"/>
        <w:rPr>
          <w:rFonts w:eastAsia="Times New Roman"/>
        </w:rPr>
      </w:pPr>
      <w:r>
        <w:rPr>
          <w:rFonts w:eastAsia="Times New Roman"/>
          <w:color w:val="000000"/>
          <w:sz w:val="20"/>
          <w:szCs w:val="20"/>
        </w:rPr>
        <w:t>101</w:t>
      </w:r>
    </w:p>
    <w:p w:rsidR="00000000" w:rsidRDefault="00AE54EE">
      <w:pPr>
        <w:rPr>
          <w:rFonts w:eastAsia="Times New Roman"/>
        </w:rPr>
      </w:pPr>
      <w:r>
        <w:rPr>
          <w:rFonts w:eastAsia="Times New Roman"/>
        </w:rPr>
        <w:pict>
          <v:rect id="_x0000_i1129" style="width:0;height:1.5pt" o:hralign="center" o:hrstd="t" o:hr="t" fillcolor="#a0a0a0" stroked="f"/>
        </w:pict>
      </w:r>
    </w:p>
    <w:p w:rsidR="00000000" w:rsidRDefault="00AE54EE">
      <w:pPr>
        <w:ind w:firstLine="450"/>
        <w:divId w:val="995842164"/>
        <w:rPr>
          <w:rFonts w:eastAsia="Times New Roman"/>
        </w:rPr>
      </w:pPr>
    </w:p>
    <w:p w:rsidR="00000000" w:rsidRDefault="00AE54EE">
      <w:pPr>
        <w:ind w:firstLine="450"/>
        <w:divId w:val="1029530944"/>
        <w:rPr>
          <w:rFonts w:eastAsia="Times New Roman"/>
        </w:rPr>
      </w:pPr>
      <w:r>
        <w:rPr>
          <w:rFonts w:eastAsia="Times New Roman"/>
          <w:color w:val="000000"/>
          <w:sz w:val="20"/>
          <w:szCs w:val="20"/>
        </w:rPr>
        <w:t xml:space="preserve">The following table provides the weighted-average assumptions used to determine projected benefit obligations </w:t>
      </w:r>
      <w:r>
        <w:rPr>
          <w:rFonts w:eastAsia="Times New Roman"/>
          <w:color w:val="000000"/>
          <w:sz w:val="20"/>
          <w:szCs w:val="20"/>
        </w:rPr>
        <w:t>and net periodic benefit cost, as they pertain to our other postretirement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38"/>
        <w:gridCol w:w="3646"/>
        <w:gridCol w:w="37"/>
        <w:gridCol w:w="54"/>
        <w:gridCol w:w="931"/>
        <w:gridCol w:w="187"/>
        <w:gridCol w:w="36"/>
        <w:gridCol w:w="36"/>
        <w:gridCol w:w="36"/>
        <w:gridCol w:w="49"/>
        <w:gridCol w:w="801"/>
        <w:gridCol w:w="187"/>
        <w:gridCol w:w="36"/>
        <w:gridCol w:w="36"/>
        <w:gridCol w:w="36"/>
        <w:gridCol w:w="49"/>
        <w:gridCol w:w="801"/>
        <w:gridCol w:w="187"/>
        <w:gridCol w:w="36"/>
        <w:gridCol w:w="36"/>
        <w:gridCol w:w="36"/>
        <w:gridCol w:w="38"/>
        <w:gridCol w:w="790"/>
        <w:gridCol w:w="187"/>
      </w:tblGrid>
      <w:tr w:rsidR="00000000">
        <w:trPr>
          <w:divId w:val="1333222922"/>
        </w:trPr>
        <w:tc>
          <w:tcPr>
            <w:tcW w:w="50" w:type="pct"/>
            <w:vAlign w:val="center"/>
            <w:hideMark/>
          </w:tcPr>
          <w:p w:rsidR="00000000" w:rsidRDefault="00AE54EE">
            <w:pPr>
              <w:ind w:firstLine="450"/>
              <w:rPr>
                <w:rFonts w:eastAsia="Times New Roman"/>
              </w:rPr>
            </w:pPr>
          </w:p>
        </w:tc>
        <w:tc>
          <w:tcPr>
            <w:tcW w:w="225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4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4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333222922"/>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Obligation assumptions as of:</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33222922"/>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Discount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33222922"/>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Rate of future compensation increase</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33222922"/>
          <w:trHeight w:val="28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3322292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Cost assumptions for fiscal periods ended:</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333222922"/>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 xml:space="preserve">Discount rate to determine service cost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333222922"/>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Discount rate to determine interest cost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333222922"/>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Rate of future compensation increase</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N/A</w:t>
            </w:r>
          </w:p>
        </w:tc>
      </w:tr>
    </w:tbl>
    <w:p w:rsidR="00000000" w:rsidRDefault="00AE54EE">
      <w:pPr>
        <w:ind w:firstLine="450"/>
        <w:divId w:val="1385643994"/>
        <w:rPr>
          <w:rFonts w:eastAsia="Times New Roman"/>
        </w:rPr>
      </w:pPr>
      <w:r>
        <w:rPr>
          <w:rFonts w:eastAsia="Times New Roman"/>
          <w:color w:val="000000"/>
          <w:sz w:val="20"/>
          <w:szCs w:val="20"/>
        </w:rPr>
        <w:t>The expected long-term rate of return on plan assets reflects the expected returns for each major asset class in which the plans invest, the weight of each asset class in the strategic allocation, the correlations among asset classes and their expected vol</w:t>
      </w:r>
      <w:r>
        <w:rPr>
          <w:rFonts w:eastAsia="Times New Roman"/>
          <w:color w:val="000000"/>
          <w:sz w:val="20"/>
          <w:szCs w:val="20"/>
        </w:rPr>
        <w:t>atilities. Our expected rate of return on plan assets is estimated by evaluating both historical returns and estimates of future returns. Specifically, the determination of the expected long-term rate of return takes into consideration: (1) the plan’s actu</w:t>
      </w:r>
      <w:r>
        <w:rPr>
          <w:rFonts w:eastAsia="Times New Roman"/>
          <w:color w:val="000000"/>
          <w:sz w:val="20"/>
          <w:szCs w:val="20"/>
        </w:rPr>
        <w:t>al historical annual return on assets over the past 15-, 20- and 25-year time periods, (2) historical broad market returns over long-term timeframes weighted by the plan’s strategic allocation and (3) independent estimates of future long-term asset class r</w:t>
      </w:r>
      <w:r>
        <w:rPr>
          <w:rFonts w:eastAsia="Times New Roman"/>
          <w:color w:val="000000"/>
          <w:sz w:val="20"/>
          <w:szCs w:val="20"/>
        </w:rPr>
        <w:t>eturns, weighted by the plan’s strategic allocation. Based on this approach, the long-term expected annual rate of return on assets is estimated at 7.50% for fiscal 2022 for the U.S. defined benefit pension plans. The weighted average long-term expected an</w:t>
      </w:r>
      <w:r>
        <w:rPr>
          <w:rFonts w:eastAsia="Times New Roman"/>
          <w:color w:val="000000"/>
          <w:sz w:val="20"/>
          <w:szCs w:val="20"/>
        </w:rPr>
        <w:t>nual rate of return on assets for all defined benefit pension plans is estimated to be 7.43% for fiscal 2022. In fiscal 2021, we adopted updated mortality tables, which resulted in an increase in the defined benefit plans’ projected benefit obligation as o</w:t>
      </w:r>
      <w:r>
        <w:rPr>
          <w:rFonts w:eastAsia="Times New Roman"/>
          <w:color w:val="000000"/>
          <w:sz w:val="20"/>
          <w:szCs w:val="20"/>
        </w:rPr>
        <w:t xml:space="preserve">f December 31, 2021 and estimated net periodic benefit cost beginning with fiscal 2022. </w:t>
      </w:r>
    </w:p>
    <w:p w:rsidR="00000000" w:rsidRDefault="00AE54EE">
      <w:pPr>
        <w:ind w:firstLine="450"/>
        <w:divId w:val="880745714"/>
        <w:rPr>
          <w:rFonts w:eastAsia="Times New Roman"/>
        </w:rPr>
      </w:pPr>
      <w:r>
        <w:rPr>
          <w:rFonts w:eastAsia="Times New Roman"/>
          <w:color w:val="000000"/>
          <w:sz w:val="20"/>
          <w:szCs w:val="20"/>
        </w:rPr>
        <w:t xml:space="preserve">The assumed composite rate of future increases in the per capita healthcare costs (the healthcare trend rate) is 6.70% for fiscal 2022, decreasing ratably to 4.70% by </w:t>
      </w:r>
      <w:r>
        <w:rPr>
          <w:rFonts w:eastAsia="Times New Roman"/>
          <w:color w:val="000000"/>
          <w:sz w:val="20"/>
          <w:szCs w:val="20"/>
        </w:rPr>
        <w:t>fiscal 2032. To the extent that actual experience differs from these assumptions, the effect will be accumulated and generally amortized for each plan to the extent required over the estimated future life expectancy or, if applicable, the future working li</w:t>
      </w:r>
      <w:r>
        <w:rPr>
          <w:rFonts w:eastAsia="Times New Roman"/>
          <w:color w:val="000000"/>
          <w:sz w:val="20"/>
          <w:szCs w:val="20"/>
        </w:rPr>
        <w:t>fetime of the plan’s active participants.</w:t>
      </w:r>
    </w:p>
    <w:p w:rsidR="00000000" w:rsidRDefault="00AE54EE">
      <w:pPr>
        <w:divId w:val="34282361"/>
        <w:rPr>
          <w:rFonts w:eastAsia="Times New Roman"/>
        </w:rPr>
      </w:pPr>
      <w:r>
        <w:rPr>
          <w:rFonts w:eastAsia="Times New Roman"/>
          <w:b/>
          <w:bCs/>
          <w:color w:val="000000"/>
          <w:sz w:val="20"/>
          <w:szCs w:val="20"/>
        </w:rPr>
        <w:t>Investment Policy</w:t>
      </w:r>
    </w:p>
    <w:p w:rsidR="00000000" w:rsidRDefault="00AE54EE">
      <w:pPr>
        <w:ind w:firstLine="450"/>
        <w:divId w:val="251203482"/>
        <w:rPr>
          <w:rFonts w:eastAsia="Times New Roman"/>
        </w:rPr>
      </w:pPr>
      <w:r>
        <w:rPr>
          <w:rFonts w:eastAsia="Times New Roman"/>
          <w:color w:val="000000"/>
          <w:sz w:val="20"/>
          <w:szCs w:val="20"/>
        </w:rPr>
        <w:t>The investment strategy for managing defined benefit plan assets is to seek an optimal rate of return relative to an appropriate level of risk. We manage substantially all defined benefit plan ass</w:t>
      </w:r>
      <w:r>
        <w:rPr>
          <w:rFonts w:eastAsia="Times New Roman"/>
          <w:color w:val="000000"/>
          <w:sz w:val="20"/>
          <w:szCs w:val="20"/>
        </w:rPr>
        <w:t>ets on a commingled basis in a master investment trust. In making these asset allocation decisions, we take into account recent and expected returns and volatility of returns for each asset class, the expected correlation of returns among the different inv</w:t>
      </w:r>
      <w:r>
        <w:rPr>
          <w:rFonts w:eastAsia="Times New Roman"/>
          <w:color w:val="000000"/>
          <w:sz w:val="20"/>
          <w:szCs w:val="20"/>
        </w:rPr>
        <w:t>estments, as well as anticipated funding and cash flows. To enhance returns and mitigate risk, we diversify our investments by strategy, asset class, geography and sector and engage a large number of managers to gain broad exposure to the markets.</w:t>
      </w:r>
    </w:p>
    <w:p w:rsidR="00000000" w:rsidRDefault="00AE54EE">
      <w:pPr>
        <w:ind w:firstLine="450"/>
        <w:divId w:val="273175218"/>
        <w:rPr>
          <w:rFonts w:eastAsia="Times New Roman"/>
        </w:rPr>
      </w:pPr>
      <w:r>
        <w:rPr>
          <w:rFonts w:eastAsia="Times New Roman"/>
          <w:color w:val="000000"/>
          <w:sz w:val="20"/>
          <w:szCs w:val="20"/>
        </w:rPr>
        <w:t>The foll</w:t>
      </w:r>
      <w:r>
        <w:rPr>
          <w:rFonts w:eastAsia="Times New Roman"/>
          <w:color w:val="000000"/>
          <w:sz w:val="20"/>
          <w:szCs w:val="20"/>
        </w:rPr>
        <w:t>owing table provides the current strategic target asset allocation ranges by asset category:</w:t>
      </w:r>
    </w:p>
    <w:tbl>
      <w:tblPr>
        <w:tblW w:w="4820" w:type="pct"/>
        <w:tblCellMar>
          <w:top w:w="15" w:type="dxa"/>
          <w:left w:w="15" w:type="dxa"/>
          <w:bottom w:w="15" w:type="dxa"/>
          <w:right w:w="15" w:type="dxa"/>
        </w:tblCellMar>
        <w:tblLook w:val="04A0" w:firstRow="1" w:lastRow="0" w:firstColumn="1" w:lastColumn="0" w:noHBand="0" w:noVBand="1"/>
      </w:tblPr>
      <w:tblGrid>
        <w:gridCol w:w="47"/>
        <w:gridCol w:w="6288"/>
        <w:gridCol w:w="36"/>
        <w:gridCol w:w="47"/>
        <w:gridCol w:w="439"/>
        <w:gridCol w:w="188"/>
        <w:gridCol w:w="47"/>
        <w:gridCol w:w="356"/>
        <w:gridCol w:w="36"/>
        <w:gridCol w:w="59"/>
        <w:gridCol w:w="428"/>
        <w:gridCol w:w="36"/>
      </w:tblGrid>
      <w:tr w:rsidR="00000000">
        <w:trPr>
          <w:divId w:val="1088575284"/>
        </w:trPr>
        <w:tc>
          <w:tcPr>
            <w:tcW w:w="50" w:type="pct"/>
            <w:vAlign w:val="center"/>
            <w:hideMark/>
          </w:tcPr>
          <w:p w:rsidR="00000000" w:rsidRDefault="00AE54EE">
            <w:pPr>
              <w:ind w:firstLine="450"/>
              <w:rPr>
                <w:rFonts w:eastAsia="Times New Roman"/>
              </w:rPr>
            </w:pPr>
          </w:p>
        </w:tc>
        <w:tc>
          <w:tcPr>
            <w:tcW w:w="394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9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4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29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08857528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Target Asset</w:t>
            </w:r>
            <w:r>
              <w:rPr>
                <w:rFonts w:eastAsia="Times New Roman"/>
                <w:b/>
                <w:bCs/>
                <w:color w:val="000000"/>
                <w:sz w:val="16"/>
                <w:szCs w:val="16"/>
              </w:rPr>
              <w:br/>
              <w:t>Allocation</w:t>
            </w:r>
          </w:p>
        </w:tc>
      </w:tr>
      <w:tr w:rsidR="00000000">
        <w:trPr>
          <w:divId w:val="108857528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Equity investments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60%</w:t>
            </w:r>
          </w:p>
        </w:tc>
      </w:tr>
      <w:tr w:rsidR="00000000">
        <w:trPr>
          <w:divId w:val="108857528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Fixed income investments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35%</w:t>
            </w:r>
          </w:p>
        </w:tc>
      </w:tr>
      <w:tr w:rsidR="00000000">
        <w:trPr>
          <w:divId w:val="108857528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Alternative investments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25%</w:t>
            </w:r>
          </w:p>
        </w:tc>
      </w:tr>
      <w:tr w:rsidR="00000000">
        <w:trPr>
          <w:divId w:val="108857528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10%</w:t>
            </w:r>
          </w:p>
        </w:tc>
      </w:tr>
    </w:tbl>
    <w:p w:rsidR="00000000" w:rsidRDefault="00AE54EE">
      <w:pPr>
        <w:divId w:val="420835412"/>
        <w:rPr>
          <w:rFonts w:eastAsia="Times New Roman"/>
        </w:rPr>
      </w:pPr>
      <w:r>
        <w:rPr>
          <w:rFonts w:eastAsia="Times New Roman"/>
          <w:b/>
          <w:bCs/>
          <w:color w:val="000000"/>
          <w:sz w:val="20"/>
          <w:szCs w:val="20"/>
        </w:rPr>
        <w:t>Fair Value of Plan Assets</w:t>
      </w:r>
    </w:p>
    <w:p w:rsidR="00000000" w:rsidRDefault="00AE54EE">
      <w:pPr>
        <w:ind w:firstLine="450"/>
        <w:divId w:val="2047294867"/>
        <w:rPr>
          <w:rFonts w:eastAsia="Times New Roman"/>
        </w:rPr>
      </w:pPr>
      <w:r>
        <w:rPr>
          <w:rFonts w:eastAsia="Times New Roman"/>
          <w:color w:val="000000"/>
          <w:sz w:val="20"/>
          <w:szCs w:val="20"/>
        </w:rPr>
        <w:t>The following is a description of the valuation techniques and inputs used to measure fair value for major categories of investments as reflected in the table that follows such description:</w:t>
      </w:r>
    </w:p>
    <w:p w:rsidR="00000000" w:rsidRDefault="00AE54EE">
      <w:pPr>
        <w:ind w:hanging="360"/>
        <w:divId w:val="1264142392"/>
        <w:rPr>
          <w:rFonts w:eastAsia="Times New Roman"/>
        </w:rPr>
      </w:pPr>
      <w:r>
        <w:rPr>
          <w:rFonts w:eastAsia="Times New Roman"/>
          <w:color w:val="000000"/>
          <w:sz w:val="20"/>
          <w:szCs w:val="20"/>
        </w:rPr>
        <w:t>•Domestic and international equities, which include common and pre</w:t>
      </w:r>
      <w:r>
        <w:rPr>
          <w:rFonts w:eastAsia="Times New Roman"/>
          <w:color w:val="000000"/>
          <w:sz w:val="20"/>
          <w:szCs w:val="20"/>
        </w:rPr>
        <w:t>ferred shares, domestic listed and foreign listed equity securities, open-ended and closed-ended mutual funds, real estate investment trusts and exchange traded funds, are generally valued at the closing price reported on the major market exchanges on whic</w:t>
      </w:r>
      <w:r>
        <w:rPr>
          <w:rFonts w:eastAsia="Times New Roman"/>
          <w:color w:val="000000"/>
          <w:sz w:val="20"/>
          <w:szCs w:val="20"/>
        </w:rPr>
        <w:t>h the individual securities are traded at the measurement date. Because these assets are traded predominantly on liquid, widely traded public exchanges, equity securities are categorized as Level 1 assets.</w:t>
      </w:r>
    </w:p>
    <w:p w:rsidR="00000000" w:rsidRDefault="00AE54EE">
      <w:pPr>
        <w:ind w:hanging="360"/>
        <w:divId w:val="752510825"/>
        <w:rPr>
          <w:rFonts w:eastAsia="Times New Roman"/>
        </w:rPr>
      </w:pPr>
      <w:r>
        <w:rPr>
          <w:rFonts w:eastAsia="Times New Roman"/>
          <w:color w:val="000000"/>
          <w:sz w:val="20"/>
          <w:szCs w:val="20"/>
        </w:rPr>
        <w:t>•Private equity funds, which include buy-out, mezz</w:t>
      </w:r>
      <w:r>
        <w:rPr>
          <w:rFonts w:eastAsia="Times New Roman"/>
          <w:color w:val="000000"/>
          <w:sz w:val="20"/>
          <w:szCs w:val="20"/>
        </w:rPr>
        <w:t>anine, venture capital, distressed asset and secondary funds, are typically limited partnership investment structures. Private equity funds are valued using a market approach based on NAV calculated by the funds and are not publicly available. Private equi</w:t>
      </w:r>
      <w:r>
        <w:rPr>
          <w:rFonts w:eastAsia="Times New Roman"/>
          <w:color w:val="000000"/>
          <w:sz w:val="20"/>
          <w:szCs w:val="20"/>
        </w:rPr>
        <w:t xml:space="preserve">ty funds generally have liquidity restrictions that extend for ten or more years. At December 31, 2021 and January 1, 2021, our defined benefit plans had future </w:t>
      </w:r>
    </w:p>
    <w:p w:rsidR="00000000" w:rsidRDefault="00AE54EE">
      <w:pPr>
        <w:ind w:firstLine="450"/>
        <w:jc w:val="center"/>
        <w:divId w:val="1416436955"/>
        <w:rPr>
          <w:rFonts w:eastAsia="Times New Roman"/>
        </w:rPr>
      </w:pPr>
      <w:r>
        <w:rPr>
          <w:rFonts w:eastAsia="Times New Roman"/>
          <w:color w:val="000000"/>
          <w:sz w:val="20"/>
          <w:szCs w:val="20"/>
        </w:rPr>
        <w:t>102</w:t>
      </w:r>
    </w:p>
    <w:p w:rsidR="00000000" w:rsidRDefault="00AE54EE">
      <w:pPr>
        <w:rPr>
          <w:rFonts w:eastAsia="Times New Roman"/>
        </w:rPr>
      </w:pPr>
      <w:r>
        <w:rPr>
          <w:rFonts w:eastAsia="Times New Roman"/>
        </w:rPr>
        <w:pict>
          <v:rect id="_x0000_i1130" style="width:0;height:1.5pt" o:hralign="center" o:hrstd="t" o:hr="t" fillcolor="#a0a0a0" stroked="f"/>
        </w:pict>
      </w:r>
    </w:p>
    <w:p w:rsidR="00000000" w:rsidRDefault="00AE54EE">
      <w:pPr>
        <w:ind w:firstLine="450"/>
        <w:divId w:val="682633663"/>
        <w:rPr>
          <w:rFonts w:eastAsia="Times New Roman"/>
        </w:rPr>
      </w:pPr>
    </w:p>
    <w:p w:rsidR="00000000" w:rsidRDefault="00AE54EE">
      <w:pPr>
        <w:divId w:val="723480624"/>
        <w:rPr>
          <w:rFonts w:eastAsia="Times New Roman"/>
        </w:rPr>
      </w:pPr>
      <w:r>
        <w:rPr>
          <w:rFonts w:eastAsia="Times New Roman"/>
          <w:color w:val="000000"/>
          <w:sz w:val="20"/>
          <w:szCs w:val="20"/>
        </w:rPr>
        <w:t xml:space="preserve">unfunded commitments totaling $504 million and $518 </w:t>
      </w:r>
      <w:r>
        <w:rPr>
          <w:rFonts w:eastAsia="Times New Roman"/>
          <w:color w:val="000000"/>
          <w:sz w:val="20"/>
          <w:szCs w:val="20"/>
        </w:rPr>
        <w:t>million, respectively, related to private equity fund investments.</w:t>
      </w:r>
    </w:p>
    <w:p w:rsidR="00000000" w:rsidRDefault="00AE54EE">
      <w:pPr>
        <w:ind w:hanging="360"/>
        <w:divId w:val="456876124"/>
        <w:rPr>
          <w:rFonts w:eastAsia="Times New Roman"/>
        </w:rPr>
      </w:pPr>
      <w:r>
        <w:rPr>
          <w:rFonts w:eastAsia="Times New Roman"/>
          <w:color w:val="000000"/>
          <w:sz w:val="20"/>
          <w:szCs w:val="20"/>
        </w:rPr>
        <w:t>•Real estate funds, which include core, core plus, value-add and opportunistic funds, are typically limited partnership investment structures. Real estate funds are valued using a market ap</w:t>
      </w:r>
      <w:r>
        <w:rPr>
          <w:rFonts w:eastAsia="Times New Roman"/>
          <w:color w:val="000000"/>
          <w:sz w:val="20"/>
          <w:szCs w:val="20"/>
        </w:rPr>
        <w:t>proach based on NAV calculated by the funds and are not publicly available. Real estate funds generally permit redemption on a quarterly basis with 90 or fewer days-notice. At December 31, 2021, our defined benefit plans had future unfunded commitments tot</w:t>
      </w:r>
      <w:r>
        <w:rPr>
          <w:rFonts w:eastAsia="Times New Roman"/>
          <w:color w:val="000000"/>
          <w:sz w:val="20"/>
          <w:szCs w:val="20"/>
        </w:rPr>
        <w:t>aling $100 million related to real estate fund investments. At January 1, 2021, we had no future unfunded commitments related to real estate fund investments.</w:t>
      </w:r>
    </w:p>
    <w:p w:rsidR="00000000" w:rsidRDefault="00AE54EE">
      <w:pPr>
        <w:ind w:hanging="360"/>
        <w:divId w:val="1561205125"/>
        <w:rPr>
          <w:rFonts w:eastAsia="Times New Roman"/>
        </w:rPr>
      </w:pPr>
      <w:r>
        <w:rPr>
          <w:rFonts w:eastAsia="Times New Roman"/>
          <w:color w:val="000000"/>
          <w:sz w:val="20"/>
          <w:szCs w:val="20"/>
        </w:rPr>
        <w:t>•Hedge funds, which include equity long/short, event-driven, fixed-income arbitrage and global ma</w:t>
      </w:r>
      <w:r>
        <w:rPr>
          <w:rFonts w:eastAsia="Times New Roman"/>
          <w:color w:val="000000"/>
          <w:sz w:val="20"/>
          <w:szCs w:val="20"/>
        </w:rPr>
        <w:t>cro strategies, are typically limited partnership investment structures. Limited partnership interests in hedge funds are valued using a market approach based on NAV calculated by the funds and are not publicly available. Hedge funds generally permit redem</w:t>
      </w:r>
      <w:r>
        <w:rPr>
          <w:rFonts w:eastAsia="Times New Roman"/>
          <w:color w:val="000000"/>
          <w:sz w:val="20"/>
          <w:szCs w:val="20"/>
        </w:rPr>
        <w:t xml:space="preserve">ption on a quarterly or more frequent basis with 90 or fewer days-notice. At each of December 31, 2021 and January 1, 2021, our defined benefit plans had no future unfunded commitments related to hedge fund investments. </w:t>
      </w:r>
    </w:p>
    <w:p w:rsidR="00000000" w:rsidRDefault="00AE54EE">
      <w:pPr>
        <w:ind w:hanging="360"/>
        <w:divId w:val="363016174"/>
        <w:rPr>
          <w:rFonts w:eastAsia="Times New Roman"/>
        </w:rPr>
      </w:pPr>
      <w:r>
        <w:rPr>
          <w:rFonts w:eastAsia="Times New Roman"/>
          <w:color w:val="000000"/>
          <w:sz w:val="20"/>
          <w:szCs w:val="20"/>
        </w:rPr>
        <w:t>•Fixed income investments, which in</w:t>
      </w:r>
      <w:r>
        <w:rPr>
          <w:rFonts w:eastAsia="Times New Roman"/>
          <w:color w:val="000000"/>
          <w:sz w:val="20"/>
          <w:szCs w:val="20"/>
        </w:rPr>
        <w:t>clude U.S. Government securities, investment and non-investment grade corporate bonds and securitized bonds are generally valued using pricing models that use verifiable, observable market data such as interest rates, benchmark yield curves and credit spre</w:t>
      </w:r>
      <w:r>
        <w:rPr>
          <w:rFonts w:eastAsia="Times New Roman"/>
          <w:color w:val="000000"/>
          <w:sz w:val="20"/>
          <w:szCs w:val="20"/>
        </w:rPr>
        <w:t>ads, bids provided by brokers or dealers, or quoted prices of securities with similar characteristics. Fixed income investments are generally categorized as Level 2 assets. Fixed income funds valued at the closing price reported on the major market exchang</w:t>
      </w:r>
      <w:r>
        <w:rPr>
          <w:rFonts w:eastAsia="Times New Roman"/>
          <w:color w:val="000000"/>
          <w:sz w:val="20"/>
          <w:szCs w:val="20"/>
        </w:rPr>
        <w:t>es on which the individual fund is traded are categorized as Level 1 assets.</w:t>
      </w:r>
    </w:p>
    <w:p w:rsidR="00000000" w:rsidRDefault="00AE54EE">
      <w:pPr>
        <w:ind w:hanging="360"/>
        <w:divId w:val="1348217699"/>
        <w:rPr>
          <w:rFonts w:eastAsia="Times New Roman"/>
        </w:rPr>
      </w:pPr>
      <w:r>
        <w:rPr>
          <w:rFonts w:eastAsia="Times New Roman"/>
          <w:color w:val="000000"/>
          <w:sz w:val="20"/>
          <w:szCs w:val="20"/>
        </w:rPr>
        <w:t xml:space="preserve">•Other is comprised of guaranteed insurance contracts valued at book value, which approximates fair value, calculated using the prior-year balance adjusted for investment returns </w:t>
      </w:r>
      <w:r>
        <w:rPr>
          <w:rFonts w:eastAsia="Times New Roman"/>
          <w:color w:val="000000"/>
          <w:sz w:val="20"/>
          <w:szCs w:val="20"/>
        </w:rPr>
        <w:t>and changes in cash flows and corporate owned life insurance policies valued at the accumulated benefit.</w:t>
      </w:r>
    </w:p>
    <w:p w:rsidR="00000000" w:rsidRDefault="00AE54EE">
      <w:pPr>
        <w:ind w:hanging="360"/>
        <w:divId w:val="216861897"/>
        <w:rPr>
          <w:rFonts w:eastAsia="Times New Roman"/>
        </w:rPr>
      </w:pPr>
      <w:r>
        <w:rPr>
          <w:rFonts w:eastAsia="Times New Roman"/>
          <w:color w:val="000000"/>
          <w:sz w:val="20"/>
          <w:szCs w:val="20"/>
        </w:rPr>
        <w:t>•</w:t>
      </w:r>
      <w:r>
        <w:rPr>
          <w:rFonts w:eastAsia="Times New Roman"/>
          <w:color w:val="000000"/>
          <w:sz w:val="20"/>
          <w:szCs w:val="20"/>
        </w:rPr>
        <w:t>Cash and cash equivalents are primarily comprised of short-term money market funds valued at cost, which approximates fair value, or valued at quoted market prices of identical instruments. Cash and currency are categorized as Level 1 assets; cash equivale</w:t>
      </w:r>
      <w:r>
        <w:rPr>
          <w:rFonts w:eastAsia="Times New Roman"/>
          <w:color w:val="000000"/>
          <w:sz w:val="20"/>
          <w:szCs w:val="20"/>
        </w:rPr>
        <w:t>nts, such as money market funds or short-term commingled funds, are categorized as Level 2 assets.</w:t>
      </w:r>
    </w:p>
    <w:p w:rsidR="00000000" w:rsidRDefault="00AE54EE">
      <w:pPr>
        <w:ind w:hanging="360"/>
        <w:divId w:val="20665971"/>
        <w:rPr>
          <w:rFonts w:eastAsia="Times New Roman"/>
        </w:rPr>
      </w:pPr>
      <w:r>
        <w:rPr>
          <w:rFonts w:eastAsia="Times New Roman"/>
          <w:color w:val="000000"/>
          <w:sz w:val="20"/>
          <w:szCs w:val="20"/>
        </w:rPr>
        <w:t>•Certain investments that are valued using the NAV per share (or its equivalent) as a practical expedient are not categorized in the fair value hierarchy and</w:t>
      </w:r>
      <w:r>
        <w:rPr>
          <w:rFonts w:eastAsia="Times New Roman"/>
          <w:color w:val="000000"/>
          <w:sz w:val="20"/>
          <w:szCs w:val="20"/>
        </w:rPr>
        <w:t xml:space="preserve"> are included in the table to permit reconciliation of the fair value hierarchy to the aggregate postretirement benefit plan assets.</w:t>
      </w:r>
    </w:p>
    <w:p w:rsidR="00000000" w:rsidRDefault="00AE54EE">
      <w:pPr>
        <w:ind w:firstLine="450"/>
        <w:jc w:val="center"/>
        <w:divId w:val="741676587"/>
        <w:rPr>
          <w:rFonts w:eastAsia="Times New Roman"/>
        </w:rPr>
      </w:pPr>
      <w:r>
        <w:rPr>
          <w:rFonts w:eastAsia="Times New Roman"/>
          <w:color w:val="000000"/>
          <w:sz w:val="20"/>
          <w:szCs w:val="20"/>
        </w:rPr>
        <w:t>103</w:t>
      </w:r>
    </w:p>
    <w:p w:rsidR="00000000" w:rsidRDefault="00AE54EE">
      <w:pPr>
        <w:rPr>
          <w:rFonts w:eastAsia="Times New Roman"/>
        </w:rPr>
      </w:pPr>
      <w:r>
        <w:rPr>
          <w:rFonts w:eastAsia="Times New Roman"/>
        </w:rPr>
        <w:pict>
          <v:rect id="_x0000_i1131" style="width:0;height:1.5pt" o:hralign="center" o:hrstd="t" o:hr="t" fillcolor="#a0a0a0" stroked="f"/>
        </w:pict>
      </w:r>
    </w:p>
    <w:p w:rsidR="00000000" w:rsidRDefault="00AE54EE">
      <w:pPr>
        <w:ind w:firstLine="450"/>
        <w:divId w:val="1052774952"/>
        <w:rPr>
          <w:rFonts w:eastAsia="Times New Roman"/>
        </w:rPr>
      </w:pPr>
    </w:p>
    <w:p w:rsidR="00000000" w:rsidRDefault="00AE54EE">
      <w:pPr>
        <w:ind w:firstLine="450"/>
        <w:divId w:val="1850371726"/>
        <w:rPr>
          <w:rFonts w:eastAsia="Times New Roman"/>
        </w:rPr>
      </w:pPr>
      <w:r>
        <w:rPr>
          <w:rFonts w:eastAsia="Times New Roman"/>
          <w:color w:val="000000"/>
          <w:sz w:val="20"/>
          <w:szCs w:val="20"/>
        </w:rPr>
        <w:t>The following tables provide the fair value of plan assets held by our defined b</w:t>
      </w:r>
      <w:r>
        <w:rPr>
          <w:rFonts w:eastAsia="Times New Roman"/>
          <w:color w:val="000000"/>
          <w:sz w:val="20"/>
          <w:szCs w:val="20"/>
        </w:rPr>
        <w:t>enefit plans by asset category and by fair value hierarchy level:</w:t>
      </w:r>
    </w:p>
    <w:tbl>
      <w:tblPr>
        <w:tblW w:w="4899" w:type="pct"/>
        <w:tblCellMar>
          <w:top w:w="15" w:type="dxa"/>
          <w:left w:w="15" w:type="dxa"/>
          <w:bottom w:w="15" w:type="dxa"/>
          <w:right w:w="15" w:type="dxa"/>
        </w:tblCellMar>
        <w:tblLook w:val="04A0" w:firstRow="1" w:lastRow="0" w:firstColumn="1" w:lastColumn="0" w:noHBand="0" w:noVBand="1"/>
      </w:tblPr>
      <w:tblGrid>
        <w:gridCol w:w="41"/>
        <w:gridCol w:w="3620"/>
        <w:gridCol w:w="40"/>
        <w:gridCol w:w="120"/>
        <w:gridCol w:w="909"/>
        <w:gridCol w:w="36"/>
        <w:gridCol w:w="36"/>
        <w:gridCol w:w="36"/>
        <w:gridCol w:w="36"/>
        <w:gridCol w:w="120"/>
        <w:gridCol w:w="851"/>
        <w:gridCol w:w="36"/>
        <w:gridCol w:w="36"/>
        <w:gridCol w:w="36"/>
        <w:gridCol w:w="36"/>
        <w:gridCol w:w="120"/>
        <w:gridCol w:w="864"/>
        <w:gridCol w:w="36"/>
        <w:gridCol w:w="36"/>
        <w:gridCol w:w="36"/>
        <w:gridCol w:w="36"/>
        <w:gridCol w:w="121"/>
        <w:gridCol w:w="864"/>
        <w:gridCol w:w="36"/>
      </w:tblGrid>
      <w:tr w:rsidR="00000000">
        <w:trPr>
          <w:divId w:val="1319917763"/>
        </w:trPr>
        <w:tc>
          <w:tcPr>
            <w:tcW w:w="50" w:type="pct"/>
            <w:vAlign w:val="center"/>
            <w:hideMark/>
          </w:tcPr>
          <w:p w:rsidR="00000000" w:rsidRDefault="00AE54EE">
            <w:pPr>
              <w:ind w:firstLine="450"/>
              <w:rPr>
                <w:rFonts w:eastAsia="Times New Roman"/>
              </w:rPr>
            </w:pPr>
          </w:p>
        </w:tc>
        <w:tc>
          <w:tcPr>
            <w:tcW w:w="226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9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8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9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9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21"/>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r>
      <w:tr w:rsidR="00000000">
        <w:trPr>
          <w:divId w:val="131991776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Level 3</w:t>
            </w:r>
          </w:p>
        </w:tc>
      </w:tr>
      <w:tr w:rsidR="00000000">
        <w:trPr>
          <w:divId w:val="1319917763"/>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Asset Category</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Equities: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Domestic equities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1,684 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1,684 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9917763"/>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International equities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1,367 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1,278 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9917763"/>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Real Estate Investment Trusts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9917763"/>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Fixed income:</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Corporate bonds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1,335 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9917763"/>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Government securities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9917763"/>
        </w:trPr>
        <w:tc>
          <w:tcPr>
            <w:tcW w:w="0" w:type="auto"/>
            <w:gridSpan w:val="3"/>
            <w:shd w:val="clear" w:color="auto" w:fill="CCEE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Securitized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9917763"/>
        </w:trPr>
        <w:tc>
          <w:tcPr>
            <w:tcW w:w="0" w:type="auto"/>
            <w:gridSpan w:val="3"/>
            <w:shd w:val="clear" w:color="auto" w:fill="FFFFFF"/>
            <w:tcMar>
              <w:top w:w="30" w:type="dxa"/>
              <w:left w:w="38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Fixed income funds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9917763"/>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9917763"/>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991776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Investments Measured at NAV</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FFFF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Equity 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2,667 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CCEE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Fixed income fund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FFFF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Hedge fund</w:t>
            </w:r>
            <w:r>
              <w:rPr>
                <w:rFonts w:eastAsia="Times New Roman"/>
                <w:color w:val="000000"/>
                <w:sz w:val="20"/>
                <w:szCs w:val="20"/>
              </w:rPr>
              <w:t>s</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CCEE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Private equity fund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FFFF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Real estate 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CCEE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Investments Measured at NAV</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Payables, net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9917763"/>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fair value of plan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bl>
    <w:p w:rsidR="00000000" w:rsidRDefault="00AE54EE">
      <w:pPr>
        <w:ind w:firstLine="450"/>
        <w:divId w:val="1190875664"/>
        <w:rPr>
          <w:rFonts w:eastAsia="Times New Roman"/>
        </w:rPr>
      </w:pPr>
    </w:p>
    <w:tbl>
      <w:tblPr>
        <w:tblW w:w="4899" w:type="pct"/>
        <w:tblCellMar>
          <w:top w:w="15" w:type="dxa"/>
          <w:left w:w="15" w:type="dxa"/>
          <w:bottom w:w="15" w:type="dxa"/>
          <w:right w:w="15" w:type="dxa"/>
        </w:tblCellMar>
        <w:tblLook w:val="04A0" w:firstRow="1" w:lastRow="0" w:firstColumn="1" w:lastColumn="0" w:noHBand="0" w:noVBand="1"/>
      </w:tblPr>
      <w:tblGrid>
        <w:gridCol w:w="41"/>
        <w:gridCol w:w="3621"/>
        <w:gridCol w:w="39"/>
        <w:gridCol w:w="120"/>
        <w:gridCol w:w="909"/>
        <w:gridCol w:w="36"/>
        <w:gridCol w:w="36"/>
        <w:gridCol w:w="36"/>
        <w:gridCol w:w="36"/>
        <w:gridCol w:w="120"/>
        <w:gridCol w:w="851"/>
        <w:gridCol w:w="36"/>
        <w:gridCol w:w="36"/>
        <w:gridCol w:w="36"/>
        <w:gridCol w:w="36"/>
        <w:gridCol w:w="120"/>
        <w:gridCol w:w="864"/>
        <w:gridCol w:w="36"/>
        <w:gridCol w:w="36"/>
        <w:gridCol w:w="36"/>
        <w:gridCol w:w="36"/>
        <w:gridCol w:w="121"/>
        <w:gridCol w:w="864"/>
        <w:gridCol w:w="36"/>
      </w:tblGrid>
      <w:tr w:rsidR="00000000">
        <w:trPr>
          <w:divId w:val="1529755458"/>
        </w:trPr>
        <w:tc>
          <w:tcPr>
            <w:tcW w:w="50" w:type="pct"/>
            <w:vAlign w:val="center"/>
            <w:hideMark/>
          </w:tcPr>
          <w:p w:rsidR="00000000" w:rsidRDefault="00AE54EE">
            <w:pPr>
              <w:ind w:firstLine="450"/>
              <w:rPr>
                <w:rFonts w:eastAsia="Times New Roman"/>
              </w:rPr>
            </w:pPr>
          </w:p>
        </w:tc>
        <w:tc>
          <w:tcPr>
            <w:tcW w:w="226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9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8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9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9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r>
      <w:tr w:rsidR="00000000">
        <w:trPr>
          <w:divId w:val="152975545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Level 3</w:t>
            </w:r>
          </w:p>
        </w:tc>
      </w:tr>
      <w:tr w:rsidR="00000000">
        <w:trPr>
          <w:divId w:val="1529755458"/>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Asset Category</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FFFF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Equities: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CCEEFF"/>
            <w:tcMar>
              <w:top w:w="30" w:type="dxa"/>
              <w:left w:w="50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Domestic equities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1,513 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1,513 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755458"/>
        </w:trPr>
        <w:tc>
          <w:tcPr>
            <w:tcW w:w="0" w:type="auto"/>
            <w:gridSpan w:val="3"/>
            <w:shd w:val="clear" w:color="auto" w:fill="FFFFFF"/>
            <w:tcMar>
              <w:top w:w="30" w:type="dxa"/>
              <w:left w:w="50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International equities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755458"/>
        </w:trPr>
        <w:tc>
          <w:tcPr>
            <w:tcW w:w="0" w:type="auto"/>
            <w:gridSpan w:val="3"/>
            <w:shd w:val="clear" w:color="auto" w:fill="CCEEFF"/>
            <w:tcMar>
              <w:top w:w="30" w:type="dxa"/>
              <w:left w:w="50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Real Estate Investment Trusts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755458"/>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FFFF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Fixed income:</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CCEEFF"/>
            <w:tcMar>
              <w:top w:w="30" w:type="dxa"/>
              <w:left w:w="50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Corporate bonds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1,447 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1,422 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755458"/>
        </w:trPr>
        <w:tc>
          <w:tcPr>
            <w:tcW w:w="0" w:type="auto"/>
            <w:gridSpan w:val="3"/>
            <w:shd w:val="clear" w:color="auto" w:fill="FFFFFF"/>
            <w:tcMar>
              <w:top w:w="30" w:type="dxa"/>
              <w:left w:w="500" w:type="dxa"/>
              <w:bottom w:w="30" w:type="dxa"/>
              <w:right w:w="20" w:type="dxa"/>
            </w:tcMar>
            <w:hideMark/>
          </w:tcPr>
          <w:p w:rsidR="00000000" w:rsidRDefault="00AE54EE">
            <w:pPr>
              <w:spacing w:after="100"/>
              <w:rPr>
                <w:rFonts w:eastAsia="Times New Roman"/>
              </w:rPr>
            </w:pPr>
            <w:r>
              <w:rPr>
                <w:rFonts w:eastAsia="Times New Roman"/>
                <w:color w:val="000000"/>
                <w:sz w:val="20"/>
                <w:szCs w:val="20"/>
              </w:rPr>
              <w:t>Government securities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755458"/>
        </w:trPr>
        <w:tc>
          <w:tcPr>
            <w:tcW w:w="0" w:type="auto"/>
            <w:gridSpan w:val="3"/>
            <w:shd w:val="clear" w:color="auto" w:fill="CCEEFF"/>
            <w:tcMar>
              <w:top w:w="30" w:type="dxa"/>
              <w:left w:w="50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Securitized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755458"/>
        </w:trPr>
        <w:tc>
          <w:tcPr>
            <w:tcW w:w="0" w:type="auto"/>
            <w:gridSpan w:val="3"/>
            <w:shd w:val="clear" w:color="auto" w:fill="FFFFFF"/>
            <w:tcMar>
              <w:top w:w="30" w:type="dxa"/>
              <w:left w:w="50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Fixed income funds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755458"/>
        </w:trPr>
        <w:tc>
          <w:tcPr>
            <w:tcW w:w="0" w:type="auto"/>
            <w:gridSpan w:val="3"/>
            <w:shd w:val="clear" w:color="auto" w:fill="CCEE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755458"/>
        </w:trPr>
        <w:tc>
          <w:tcPr>
            <w:tcW w:w="0" w:type="auto"/>
            <w:gridSpan w:val="3"/>
            <w:shd w:val="clear" w:color="auto" w:fill="FFFF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75545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2975545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CCEEFF"/>
            <w:tcMar>
              <w:top w:w="30" w:type="dxa"/>
              <w:left w:w="2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Equity fund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3,088 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FFFFFF"/>
            <w:tcMar>
              <w:top w:w="30" w:type="dxa"/>
              <w:left w:w="2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Fixed income 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CCEEFF"/>
            <w:tcMar>
              <w:top w:w="30" w:type="dxa"/>
              <w:left w:w="2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Hedge fund</w:t>
            </w:r>
            <w:r>
              <w:rPr>
                <w:rFonts w:eastAsia="Times New Roman"/>
                <w:color w:val="000000"/>
                <w:sz w:val="20"/>
                <w:szCs w:val="20"/>
              </w:rPr>
              <w:t>s</w:t>
            </w:r>
            <w:r>
              <w:rPr>
                <w:rFonts w:eastAsia="Times New Roman"/>
                <w:color w:val="000000"/>
                <w:sz w:val="20"/>
                <w:szCs w:val="20"/>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FFFFFF"/>
            <w:tcMar>
              <w:top w:w="30" w:type="dxa"/>
              <w:left w:w="2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Private equity 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CCEEFF"/>
            <w:tcMar>
              <w:top w:w="30" w:type="dxa"/>
              <w:left w:w="2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Investments Measured at NAV</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Payables, net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2975545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fair value of plan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bl>
    <w:p w:rsidR="00000000" w:rsidRDefault="00AE54EE">
      <w:pPr>
        <w:ind w:firstLine="450"/>
        <w:jc w:val="center"/>
        <w:divId w:val="109210597"/>
        <w:rPr>
          <w:rFonts w:eastAsia="Times New Roman"/>
        </w:rPr>
      </w:pPr>
      <w:r>
        <w:rPr>
          <w:rFonts w:eastAsia="Times New Roman"/>
          <w:color w:val="000000"/>
          <w:sz w:val="20"/>
          <w:szCs w:val="20"/>
        </w:rPr>
        <w:t>104</w:t>
      </w:r>
    </w:p>
    <w:p w:rsidR="00000000" w:rsidRDefault="00AE54EE">
      <w:pPr>
        <w:rPr>
          <w:rFonts w:eastAsia="Times New Roman"/>
        </w:rPr>
      </w:pPr>
      <w:r>
        <w:rPr>
          <w:rFonts w:eastAsia="Times New Roman"/>
        </w:rPr>
        <w:pict>
          <v:rect id="_x0000_i1132" style="width:0;height:1.5pt" o:hralign="center" o:hrstd="t" o:hr="t" fillcolor="#a0a0a0" stroked="f"/>
        </w:pict>
      </w:r>
    </w:p>
    <w:p w:rsidR="00000000" w:rsidRDefault="00AE54EE">
      <w:pPr>
        <w:ind w:firstLine="450"/>
        <w:divId w:val="210851005"/>
        <w:rPr>
          <w:rFonts w:eastAsia="Times New Roman"/>
        </w:rPr>
      </w:pPr>
    </w:p>
    <w:p w:rsidR="00000000" w:rsidRDefault="00AE54EE">
      <w:pPr>
        <w:divId w:val="2091609993"/>
        <w:rPr>
          <w:rFonts w:eastAsia="Times New Roman"/>
        </w:rPr>
      </w:pPr>
      <w:r>
        <w:rPr>
          <w:rFonts w:eastAsia="Times New Roman"/>
          <w:b/>
          <w:bCs/>
          <w:color w:val="000000"/>
          <w:sz w:val="20"/>
          <w:szCs w:val="20"/>
        </w:rPr>
        <w:t>Contributions</w:t>
      </w:r>
    </w:p>
    <w:p w:rsidR="00000000" w:rsidRDefault="00AE54EE">
      <w:pPr>
        <w:ind w:firstLine="450"/>
        <w:divId w:val="214122019"/>
        <w:rPr>
          <w:rFonts w:eastAsia="Times New Roman"/>
        </w:rPr>
      </w:pPr>
      <w:r>
        <w:rPr>
          <w:rFonts w:eastAsia="Times New Roman"/>
          <w:color w:val="000000"/>
          <w:sz w:val="20"/>
          <w:szCs w:val="20"/>
        </w:rPr>
        <w:t>Funding requirements under Internal Revenue Service (“IRS”) rules are a major consideration in making contributions to our postretirement benefit plans. With respect to U.S. qualified pension plans, we in</w:t>
      </w:r>
      <w:r>
        <w:rPr>
          <w:rFonts w:eastAsia="Times New Roman"/>
          <w:color w:val="000000"/>
          <w:sz w:val="20"/>
          <w:szCs w:val="20"/>
        </w:rPr>
        <w:t>tend to contribute annually not less than the required minimum funding thresholds.</w:t>
      </w:r>
    </w:p>
    <w:p w:rsidR="00000000" w:rsidRDefault="00AE54EE">
      <w:pPr>
        <w:ind w:firstLine="450"/>
        <w:divId w:val="1736465717"/>
        <w:rPr>
          <w:rFonts w:eastAsia="Times New Roman"/>
        </w:rPr>
      </w:pPr>
      <w:r>
        <w:rPr>
          <w:rFonts w:eastAsia="Times New Roman"/>
          <w:color w:val="000000"/>
          <w:sz w:val="20"/>
          <w:szCs w:val="20"/>
        </w:rPr>
        <w:t>The Employee Retirement Income Security Act of 1974, as amended by the Pension Protection Act of 2006 and further amended by the Worker, Retiree, and Employer Recovery Act of 2008, the Moving Ahead for Progress in the 21st Century Act (“MAP-21”) and applic</w:t>
      </w:r>
      <w:r>
        <w:rPr>
          <w:rFonts w:eastAsia="Times New Roman"/>
          <w:color w:val="000000"/>
          <w:sz w:val="20"/>
          <w:szCs w:val="20"/>
        </w:rPr>
        <w:t>able Internal Revenue Code regulations mandate minimum funding thresholds. The Highway and Transportation Funding Act of 2014, the Bipartisan Budget Act of 2015, the American Rescue Plan Act of 2021 and the Infrastructure Investment and Jobs Act further ex</w:t>
      </w:r>
      <w:r>
        <w:rPr>
          <w:rFonts w:eastAsia="Times New Roman"/>
          <w:color w:val="000000"/>
          <w:sz w:val="20"/>
          <w:szCs w:val="20"/>
        </w:rPr>
        <w:t>tended the interest rate stabilization provision of MAP-21. We made a $302 million voluntary contribution to our U.S. qualified defined benefit pension plans during the two quarters ended January 3, 2020. As a result of this and prior voluntary contributio</w:t>
      </w:r>
      <w:r>
        <w:rPr>
          <w:rFonts w:eastAsia="Times New Roman"/>
          <w:color w:val="000000"/>
          <w:sz w:val="20"/>
          <w:szCs w:val="20"/>
        </w:rPr>
        <w:t xml:space="preserve">ns, as well as $700 million of voluntary contributions made in fiscal 2018 and 2017, we made no material contributions to our U.S. qualified defined benefit pension plans in fiscal 2021 or 2020 and are not required to make any contributions to these plans </w:t>
      </w:r>
      <w:r>
        <w:rPr>
          <w:rFonts w:eastAsia="Times New Roman"/>
          <w:color w:val="000000"/>
          <w:sz w:val="20"/>
          <w:szCs w:val="20"/>
        </w:rPr>
        <w:t>during fiscal 2022 and beyond.</w:t>
      </w:r>
    </w:p>
    <w:p w:rsidR="00000000" w:rsidRDefault="00AE54EE">
      <w:pPr>
        <w:divId w:val="1712992987"/>
        <w:rPr>
          <w:rFonts w:eastAsia="Times New Roman"/>
        </w:rPr>
      </w:pPr>
      <w:r>
        <w:rPr>
          <w:rFonts w:eastAsia="Times New Roman"/>
          <w:b/>
          <w:bCs/>
          <w:color w:val="000000"/>
          <w:sz w:val="20"/>
          <w:szCs w:val="20"/>
        </w:rPr>
        <w:t>Estimated Future Benefit Payments</w:t>
      </w:r>
    </w:p>
    <w:p w:rsidR="00000000" w:rsidRDefault="00AE54EE">
      <w:pPr>
        <w:ind w:firstLine="450"/>
        <w:divId w:val="425735775"/>
        <w:rPr>
          <w:rFonts w:eastAsia="Times New Roman"/>
        </w:rPr>
      </w:pPr>
      <w:r>
        <w:rPr>
          <w:rFonts w:eastAsia="Times New Roman"/>
          <w:color w:val="000000"/>
          <w:sz w:val="20"/>
          <w:szCs w:val="20"/>
        </w:rPr>
        <w:t>The following table provides the projected timing of payments for benefits earned to date and benefits expected to be earned for future service by current active employees under our defined b</w:t>
      </w:r>
      <w:r>
        <w:rPr>
          <w:rFonts w:eastAsia="Times New Roman"/>
          <w:color w:val="000000"/>
          <w:sz w:val="20"/>
          <w:szCs w:val="20"/>
        </w:rPr>
        <w:t xml:space="preserve">enefit plans. </w:t>
      </w:r>
    </w:p>
    <w:tbl>
      <w:tblPr>
        <w:tblW w:w="4849" w:type="pct"/>
        <w:tblCellMar>
          <w:top w:w="15" w:type="dxa"/>
          <w:left w:w="15" w:type="dxa"/>
          <w:bottom w:w="15" w:type="dxa"/>
          <w:right w:w="15" w:type="dxa"/>
        </w:tblCellMar>
        <w:tblLook w:val="04A0" w:firstRow="1" w:lastRow="0" w:firstColumn="1" w:lastColumn="0" w:noHBand="0" w:noVBand="1"/>
      </w:tblPr>
      <w:tblGrid>
        <w:gridCol w:w="37"/>
        <w:gridCol w:w="4478"/>
        <w:gridCol w:w="36"/>
        <w:gridCol w:w="121"/>
        <w:gridCol w:w="948"/>
        <w:gridCol w:w="36"/>
        <w:gridCol w:w="36"/>
        <w:gridCol w:w="36"/>
        <w:gridCol w:w="36"/>
        <w:gridCol w:w="121"/>
        <w:gridCol w:w="940"/>
        <w:gridCol w:w="36"/>
        <w:gridCol w:w="36"/>
        <w:gridCol w:w="36"/>
        <w:gridCol w:w="36"/>
        <w:gridCol w:w="121"/>
        <w:gridCol w:w="929"/>
        <w:gridCol w:w="36"/>
      </w:tblGrid>
      <w:tr w:rsidR="00000000">
        <w:trPr>
          <w:divId w:val="2006012562"/>
        </w:trPr>
        <w:tc>
          <w:tcPr>
            <w:tcW w:w="50" w:type="pct"/>
            <w:vAlign w:val="center"/>
            <w:hideMark/>
          </w:tcPr>
          <w:p w:rsidR="00000000" w:rsidRDefault="00AE54EE">
            <w:pPr>
              <w:ind w:firstLine="450"/>
              <w:rPr>
                <w:rFonts w:eastAsia="Times New Roman"/>
              </w:rPr>
            </w:pPr>
          </w:p>
        </w:tc>
        <w:tc>
          <w:tcPr>
            <w:tcW w:w="281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4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4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1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2006012562"/>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Pension</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Other</w:t>
            </w:r>
          </w:p>
          <w:p w:rsidR="00000000" w:rsidRDefault="00AE54EE">
            <w:pPr>
              <w:spacing w:after="100"/>
              <w:jc w:val="center"/>
              <w:rPr>
                <w:rFonts w:eastAsia="Times New Roman"/>
              </w:rPr>
            </w:pPr>
            <w:r>
              <w:rPr>
                <w:rFonts w:eastAsia="Times New Roman"/>
                <w:b/>
                <w:bCs/>
                <w:color w:val="000000"/>
                <w:sz w:val="16"/>
                <w:szCs w:val="16"/>
              </w:rPr>
              <w:t>    Benefit</w:t>
            </w:r>
            <w:r>
              <w:rPr>
                <w:rFonts w:eastAsia="Times New Roman"/>
                <w:b/>
                <w:bCs/>
                <w:color w:val="000000"/>
                <w:sz w:val="16"/>
                <w:szCs w:val="16"/>
              </w:rPr>
              <w:t>s</w:t>
            </w:r>
            <w:r>
              <w:rPr>
                <w:rFonts w:eastAsia="Times New Roman"/>
                <w:color w:val="000000"/>
                <w:sz w:val="13"/>
                <w:szCs w:val="13"/>
              </w:rPr>
              <w:t>(1</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w:t>
            </w:r>
          </w:p>
        </w:tc>
      </w:tr>
      <w:tr w:rsidR="00000000">
        <w:trPr>
          <w:divId w:val="2006012562"/>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00601256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Fiscal Years: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006012562"/>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2022</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0601256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598 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06012562"/>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598 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0601256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599 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06012562"/>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2026</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596 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0601256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2027 — 2031</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2,780 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2,884 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1383482872"/>
        <w:rPr>
          <w:rFonts w:eastAsia="Times New Roman"/>
        </w:rPr>
      </w:pPr>
      <w:r>
        <w:rPr>
          <w:rFonts w:eastAsia="Times New Roman"/>
          <w:color w:val="000000"/>
          <w:sz w:val="16"/>
          <w:szCs w:val="16"/>
        </w:rPr>
        <w:t>_______________</w:t>
      </w:r>
    </w:p>
    <w:p w:rsidR="00000000" w:rsidRDefault="00AE54EE">
      <w:pPr>
        <w:ind w:hanging="360"/>
        <w:divId w:val="1209610202"/>
        <w:rPr>
          <w:rFonts w:eastAsia="Times New Roman"/>
        </w:rPr>
      </w:pPr>
      <w:r>
        <w:rPr>
          <w:rFonts w:eastAsia="Times New Roman"/>
          <w:color w:val="000000"/>
          <w:sz w:val="16"/>
          <w:szCs w:val="16"/>
        </w:rPr>
        <w:t>(1)</w:t>
      </w:r>
      <w:r>
        <w:rPr>
          <w:rFonts w:eastAsia="Times New Roman"/>
          <w:color w:val="000000"/>
          <w:sz w:val="16"/>
          <w:szCs w:val="16"/>
        </w:rPr>
        <w:t>Projected payments for Other Benefits reflect net payments from the Company, which include subsidies that reduce the gross payments by less than 10 percent.</w:t>
      </w:r>
    </w:p>
    <w:p w:rsidR="00000000" w:rsidRDefault="00AE54EE">
      <w:pPr>
        <w:divId w:val="1165902014"/>
        <w:rPr>
          <w:rFonts w:eastAsia="Times New Roman"/>
        </w:rPr>
      </w:pPr>
      <w:r>
        <w:rPr>
          <w:rFonts w:eastAsia="Times New Roman"/>
          <w:b/>
          <w:bCs/>
          <w:color w:val="000000"/>
          <w:sz w:val="20"/>
          <w:szCs w:val="20"/>
        </w:rPr>
        <w:t>Multi-employer Benefit Plans</w:t>
      </w:r>
    </w:p>
    <w:p w:rsidR="00000000" w:rsidRDefault="00AE54EE">
      <w:pPr>
        <w:ind w:firstLine="450"/>
        <w:divId w:val="1204757124"/>
        <w:rPr>
          <w:rFonts w:eastAsia="Times New Roman"/>
        </w:rPr>
      </w:pPr>
      <w:r>
        <w:rPr>
          <w:rFonts w:eastAsia="Times New Roman"/>
          <w:color w:val="000000"/>
          <w:sz w:val="20"/>
          <w:szCs w:val="20"/>
        </w:rPr>
        <w:t xml:space="preserve">Certain of our businesses acquired in connection with the L3Harris Merger participate in multi-employer defined benefit pension plans. We make cash contributions to these plans under the terms of collective-bargaining agreements that cover union employees </w:t>
      </w:r>
      <w:r>
        <w:rPr>
          <w:rFonts w:eastAsia="Times New Roman"/>
          <w:color w:val="000000"/>
          <w:sz w:val="20"/>
          <w:szCs w:val="20"/>
        </w:rPr>
        <w:t xml:space="preserve">based on a fixed rate per hour of service worked by the covered employees. The risks of participating in these multi-employer plans are different from single-employer plans in the following aspects: (1) assets contributed to the multi-employer plan by one </w:t>
      </w:r>
      <w:r>
        <w:rPr>
          <w:rFonts w:eastAsia="Times New Roman"/>
          <w:color w:val="000000"/>
          <w:sz w:val="20"/>
          <w:szCs w:val="20"/>
        </w:rPr>
        <w:t>employer may be used to provide benefits to employees of other participating employers, (2) if a participating employer stops contributing to the plan, the unfunded obligations of the plan may be borne by the remaining participating employers and (3) if we</w:t>
      </w:r>
      <w:r>
        <w:rPr>
          <w:rFonts w:eastAsia="Times New Roman"/>
          <w:color w:val="000000"/>
          <w:sz w:val="20"/>
          <w:szCs w:val="20"/>
        </w:rPr>
        <w:t xml:space="preserve"> choose to stop participating in some of our multi-employer plans, we may be required to pay those plans an amount based on the underfunded status of the plan, referred to as a withdrawal liability. Cash contributed and expenses recorded for our multi-empl</w:t>
      </w:r>
      <w:r>
        <w:rPr>
          <w:rFonts w:eastAsia="Times New Roman"/>
          <w:color w:val="000000"/>
          <w:sz w:val="20"/>
          <w:szCs w:val="20"/>
        </w:rPr>
        <w:t>oyer plans were not material in fiscal 2021 or 2020.</w:t>
      </w:r>
    </w:p>
    <w:p w:rsidR="00000000" w:rsidRDefault="00AE54EE">
      <w:pPr>
        <w:ind w:firstLine="450"/>
        <w:divId w:val="702823618"/>
        <w:rPr>
          <w:rFonts w:eastAsia="Times New Roman"/>
        </w:rPr>
      </w:pPr>
      <w:r>
        <w:rPr>
          <w:rFonts w:eastAsia="Times New Roman"/>
          <w:color w:val="000000"/>
          <w:sz w:val="20"/>
          <w:szCs w:val="20"/>
        </w:rPr>
        <w:t xml:space="preserve">See </w:t>
      </w:r>
      <w:r>
        <w:rPr>
          <w:rFonts w:eastAsia="Times New Roman"/>
          <w:i/>
          <w:iCs/>
          <w:color w:val="000000"/>
          <w:sz w:val="20"/>
          <w:szCs w:val="20"/>
        </w:rPr>
        <w:t>Note 4: Business Combination</w:t>
      </w:r>
      <w:r>
        <w:rPr>
          <w:rFonts w:eastAsia="Times New Roman"/>
          <w:color w:val="000000"/>
          <w:sz w:val="20"/>
          <w:szCs w:val="20"/>
        </w:rPr>
        <w:t xml:space="preserve"> in these Notes for information regarding postretirement benefit plan liabilities assumed in connection with the L3Harris Merger. </w:t>
      </w:r>
    </w:p>
    <w:p w:rsidR="00000000" w:rsidRDefault="00AE54EE">
      <w:pPr>
        <w:divId w:val="1783724956"/>
        <w:rPr>
          <w:rFonts w:eastAsia="Times New Roman"/>
        </w:rPr>
      </w:pPr>
      <w:r>
        <w:rPr>
          <w:rFonts w:eastAsia="Times New Roman"/>
          <w:b/>
          <w:bCs/>
          <w:color w:val="000000"/>
          <w:sz w:val="20"/>
          <w:szCs w:val="20"/>
        </w:rPr>
        <w:t>NOTE 15: STOCK OPTIONS AND OTHER SHARE-B</w:t>
      </w:r>
      <w:r>
        <w:rPr>
          <w:rFonts w:eastAsia="Times New Roman"/>
          <w:b/>
          <w:bCs/>
          <w:color w:val="000000"/>
          <w:sz w:val="20"/>
          <w:szCs w:val="20"/>
        </w:rPr>
        <w:t>ASED COMPENSATION</w:t>
      </w:r>
      <w:r>
        <w:rPr>
          <w:rFonts w:eastAsia="Times New Roman"/>
          <w:b/>
          <w:bCs/>
          <w:i/>
          <w:iCs/>
          <w:color w:val="000000"/>
          <w:sz w:val="20"/>
          <w:szCs w:val="20"/>
        </w:rPr>
        <w:t xml:space="preserve"> </w:t>
      </w:r>
    </w:p>
    <w:p w:rsidR="00000000" w:rsidRDefault="00AE54EE">
      <w:pPr>
        <w:ind w:firstLine="450"/>
        <w:divId w:val="863594876"/>
        <w:rPr>
          <w:rFonts w:eastAsia="Times New Roman"/>
        </w:rPr>
      </w:pPr>
      <w:r>
        <w:rPr>
          <w:rFonts w:eastAsia="Times New Roman"/>
          <w:color w:val="000000"/>
          <w:sz w:val="20"/>
          <w:szCs w:val="20"/>
        </w:rPr>
        <w:t>At December 31, 2021, we had options or other share-based compensation outstanding under two Harris shareholder-approved employee stock incentive plans (“SIPs”</w:t>
      </w:r>
      <w:r>
        <w:rPr>
          <w:rFonts w:eastAsia="Times New Roman"/>
          <w:color w:val="000000"/>
          <w:sz w:val="20"/>
          <w:szCs w:val="20"/>
        </w:rPr>
        <w:t>), the Harris Corporation 2005 Equity Incentive Plan (As Amended and Restated Effective August 27, 2010) and the L3Harris Technologies, Inc. 2015 Equity Incentive Plan (As Amended and Restated Effective August 28, 2020) (the “2015 EIP”), as well as under e</w:t>
      </w:r>
      <w:r>
        <w:rPr>
          <w:rFonts w:eastAsia="Times New Roman"/>
          <w:color w:val="000000"/>
          <w:sz w:val="20"/>
          <w:szCs w:val="20"/>
        </w:rPr>
        <w:t xml:space="preserve">mployee stock incentive plans of L3 assumed by L3Harris (collectively, “L3Harris SIPs”). We believe that share-based awards more closely align the interests of participants with those of shareholders. </w:t>
      </w:r>
    </w:p>
    <w:p w:rsidR="00000000" w:rsidRDefault="00AE54EE">
      <w:pPr>
        <w:ind w:firstLine="450"/>
        <w:divId w:val="1876505724"/>
        <w:rPr>
          <w:rFonts w:eastAsia="Times New Roman"/>
        </w:rPr>
      </w:pPr>
      <w:r>
        <w:rPr>
          <w:rFonts w:eastAsia="Times New Roman"/>
          <w:color w:val="000000"/>
          <w:sz w:val="20"/>
          <w:szCs w:val="20"/>
        </w:rPr>
        <w:t>Harris equity awards granted prior to October 12, 2018</w:t>
      </w:r>
      <w:r>
        <w:rPr>
          <w:rFonts w:eastAsia="Times New Roman"/>
          <w:color w:val="000000"/>
          <w:sz w:val="20"/>
          <w:szCs w:val="20"/>
        </w:rPr>
        <w:t>, in accordance with the terms and conditions that were applicable to such awards prior to the L3Harris Merger, generally automatically vested upon closing of the L3Harris Merger and settled in L3Harris Common Stock, except stock options which automaticall</w:t>
      </w:r>
      <w:r>
        <w:rPr>
          <w:rFonts w:eastAsia="Times New Roman"/>
          <w:color w:val="000000"/>
          <w:sz w:val="20"/>
          <w:szCs w:val="20"/>
        </w:rPr>
        <w:t>y vested and remained outstanding. Harris equity awards granted on or after October 12, 2018 did not automatically vest upon closing of the L3Harris Merger, and instead remained outstanding as an award with respect to L3Harris common stock in accordance wi</w:t>
      </w:r>
      <w:r>
        <w:rPr>
          <w:rFonts w:eastAsia="Times New Roman"/>
          <w:color w:val="000000"/>
          <w:sz w:val="20"/>
          <w:szCs w:val="20"/>
        </w:rPr>
        <w:t xml:space="preserve">th the terms that were applicable to such award prior to the L3Harris Merger. </w:t>
      </w:r>
    </w:p>
    <w:p w:rsidR="00000000" w:rsidRDefault="00AE54EE">
      <w:pPr>
        <w:ind w:firstLine="450"/>
        <w:jc w:val="center"/>
        <w:divId w:val="446824980"/>
        <w:rPr>
          <w:rFonts w:eastAsia="Times New Roman"/>
        </w:rPr>
      </w:pPr>
      <w:r>
        <w:rPr>
          <w:rFonts w:eastAsia="Times New Roman"/>
          <w:color w:val="000000"/>
          <w:sz w:val="20"/>
          <w:szCs w:val="20"/>
        </w:rPr>
        <w:t>105</w:t>
      </w:r>
    </w:p>
    <w:p w:rsidR="00000000" w:rsidRDefault="00AE54EE">
      <w:pPr>
        <w:rPr>
          <w:rFonts w:eastAsia="Times New Roman"/>
        </w:rPr>
      </w:pPr>
      <w:r>
        <w:rPr>
          <w:rFonts w:eastAsia="Times New Roman"/>
        </w:rPr>
        <w:pict>
          <v:rect id="_x0000_i1133" style="width:0;height:1.5pt" o:hralign="center" o:hrstd="t" o:hr="t" fillcolor="#a0a0a0" stroked="f"/>
        </w:pict>
      </w:r>
    </w:p>
    <w:p w:rsidR="00000000" w:rsidRDefault="00AE54EE">
      <w:pPr>
        <w:ind w:firstLine="450"/>
        <w:divId w:val="114494881"/>
        <w:rPr>
          <w:rFonts w:eastAsia="Times New Roman"/>
        </w:rPr>
      </w:pPr>
    </w:p>
    <w:p w:rsidR="00000000" w:rsidRDefault="00AE54EE">
      <w:pPr>
        <w:ind w:firstLine="450"/>
        <w:divId w:val="866522497"/>
        <w:rPr>
          <w:rFonts w:eastAsia="Times New Roman"/>
        </w:rPr>
      </w:pPr>
      <w:r>
        <w:rPr>
          <w:rFonts w:eastAsia="Times New Roman"/>
          <w:color w:val="000000"/>
          <w:sz w:val="20"/>
          <w:szCs w:val="20"/>
        </w:rPr>
        <w:t xml:space="preserve">L3’s equity awards granted prior to October 12, 2018, in accordance with the terms and conditions that were applicable to such awards </w:t>
      </w:r>
      <w:r>
        <w:rPr>
          <w:rFonts w:eastAsia="Times New Roman"/>
          <w:color w:val="000000"/>
          <w:sz w:val="20"/>
          <w:szCs w:val="20"/>
        </w:rPr>
        <w:t>prior to the L3Harris Merger, generally automatically vested upon closing of the L3Harris Merger and settled in L3Harris common stock (except stock options automatically converted into stock options with respect to L3Harris common stock and remained outsta</w:t>
      </w:r>
      <w:r>
        <w:rPr>
          <w:rFonts w:eastAsia="Times New Roman"/>
          <w:color w:val="000000"/>
          <w:sz w:val="20"/>
          <w:szCs w:val="20"/>
        </w:rPr>
        <w:t>nding), in each case, after giving effect to the Exchange Ratio and appropriate adjustments to reflect the consummation of the L3Harris Merger and the terms and conditions applicable to such awards prior to the L3Harris Merger. Any L3 restricted stock unit</w:t>
      </w:r>
      <w:r>
        <w:rPr>
          <w:rFonts w:eastAsia="Times New Roman"/>
          <w:color w:val="000000"/>
          <w:sz w:val="20"/>
          <w:szCs w:val="20"/>
        </w:rPr>
        <w:t xml:space="preserve"> or L3 restricted stock award granted on or after October 12, 2018 was converted into a corresponding award with respect to L3Harris common stock, with the number of shares underlying such award adjusted based on the Exchange Ratio, and remained outstandin</w:t>
      </w:r>
      <w:r>
        <w:rPr>
          <w:rFonts w:eastAsia="Times New Roman"/>
          <w:color w:val="000000"/>
          <w:sz w:val="20"/>
          <w:szCs w:val="20"/>
        </w:rPr>
        <w:t>g in accordance with the terms that were applicable to such award prior to the L3Harris Merger. Pursuant to the Merger Agreement, L3Harris assumed the converted L3 equity awards.</w:t>
      </w:r>
    </w:p>
    <w:p w:rsidR="00000000" w:rsidRDefault="00AE54EE">
      <w:pPr>
        <w:divId w:val="2019502489"/>
        <w:rPr>
          <w:rFonts w:eastAsia="Times New Roman"/>
        </w:rPr>
      </w:pPr>
      <w:r>
        <w:rPr>
          <w:rFonts w:eastAsia="Times New Roman"/>
          <w:b/>
          <w:bCs/>
          <w:color w:val="000000"/>
          <w:sz w:val="20"/>
          <w:szCs w:val="20"/>
        </w:rPr>
        <w:t>Summary of Share-Based Compensation Expense</w:t>
      </w:r>
    </w:p>
    <w:p w:rsidR="00000000" w:rsidRDefault="00AE54EE">
      <w:pPr>
        <w:ind w:firstLine="450"/>
        <w:divId w:val="1955362282"/>
        <w:rPr>
          <w:rFonts w:eastAsia="Times New Roman"/>
        </w:rPr>
      </w:pPr>
      <w:r>
        <w:rPr>
          <w:rFonts w:eastAsia="Times New Roman"/>
          <w:color w:val="000000"/>
          <w:sz w:val="20"/>
          <w:szCs w:val="20"/>
        </w:rPr>
        <w:t>The following table summarizes th</w:t>
      </w:r>
      <w:r>
        <w:rPr>
          <w:rFonts w:eastAsia="Times New Roman"/>
          <w:color w:val="000000"/>
          <w:sz w:val="20"/>
          <w:szCs w:val="20"/>
        </w:rPr>
        <w:t>e amounts and classification of share-based compensation expense:</w:t>
      </w:r>
    </w:p>
    <w:tbl>
      <w:tblPr>
        <w:tblW w:w="4992" w:type="pct"/>
        <w:tblCellMar>
          <w:top w:w="15" w:type="dxa"/>
          <w:left w:w="15" w:type="dxa"/>
          <w:bottom w:w="15" w:type="dxa"/>
          <w:right w:w="15" w:type="dxa"/>
        </w:tblCellMar>
        <w:tblLook w:val="04A0" w:firstRow="1" w:lastRow="0" w:firstColumn="1" w:lastColumn="0" w:noHBand="0" w:noVBand="1"/>
      </w:tblPr>
      <w:tblGrid>
        <w:gridCol w:w="40"/>
        <w:gridCol w:w="3336"/>
        <w:gridCol w:w="39"/>
        <w:gridCol w:w="121"/>
        <w:gridCol w:w="1015"/>
        <w:gridCol w:w="36"/>
        <w:gridCol w:w="36"/>
        <w:gridCol w:w="36"/>
        <w:gridCol w:w="36"/>
        <w:gridCol w:w="121"/>
        <w:gridCol w:w="969"/>
        <w:gridCol w:w="36"/>
        <w:gridCol w:w="36"/>
        <w:gridCol w:w="36"/>
        <w:gridCol w:w="36"/>
        <w:gridCol w:w="121"/>
        <w:gridCol w:w="969"/>
        <w:gridCol w:w="36"/>
        <w:gridCol w:w="36"/>
        <w:gridCol w:w="36"/>
        <w:gridCol w:w="36"/>
        <w:gridCol w:w="121"/>
        <w:gridCol w:w="973"/>
        <w:gridCol w:w="36"/>
      </w:tblGrid>
      <w:tr w:rsidR="00000000">
        <w:trPr>
          <w:divId w:val="189295736"/>
        </w:trPr>
        <w:tc>
          <w:tcPr>
            <w:tcW w:w="50" w:type="pct"/>
            <w:vAlign w:val="center"/>
            <w:hideMark/>
          </w:tcPr>
          <w:p w:rsidR="00000000" w:rsidRDefault="00AE54EE">
            <w:pPr>
              <w:ind w:firstLine="450"/>
              <w:rPr>
                <w:rFonts w:eastAsia="Times New Roman"/>
              </w:rPr>
            </w:pPr>
          </w:p>
        </w:tc>
        <w:tc>
          <w:tcPr>
            <w:tcW w:w="204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4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4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4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4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89295736"/>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8929573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89295736"/>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929573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expense</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929573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Included in: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9295736"/>
        </w:trPr>
        <w:tc>
          <w:tcPr>
            <w:tcW w:w="0" w:type="auto"/>
            <w:gridSpan w:val="3"/>
            <w:shd w:val="clear" w:color="auto" w:fill="CCEE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Cost of product sales and services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9295736"/>
        </w:trPr>
        <w:tc>
          <w:tcPr>
            <w:tcW w:w="0" w:type="auto"/>
            <w:gridSpan w:val="3"/>
            <w:shd w:val="clear" w:color="auto" w:fill="FFFF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9295736"/>
        </w:trPr>
        <w:tc>
          <w:tcPr>
            <w:tcW w:w="0" w:type="auto"/>
            <w:gridSpan w:val="3"/>
            <w:shd w:val="clear" w:color="auto" w:fill="CCEEFF"/>
            <w:tcMar>
              <w:top w:w="30" w:type="dxa"/>
              <w:left w:w="245"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929573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Tax effect on 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929573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share-based compensation expense after-tax</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1777171497"/>
        <w:rPr>
          <w:rFonts w:eastAsia="Times New Roman"/>
        </w:rPr>
      </w:pPr>
      <w:r>
        <w:rPr>
          <w:rFonts w:eastAsia="Times New Roman"/>
          <w:color w:val="000000"/>
          <w:sz w:val="16"/>
          <w:szCs w:val="16"/>
        </w:rPr>
        <w:t>_______________</w:t>
      </w:r>
    </w:p>
    <w:p w:rsidR="00000000" w:rsidRDefault="00AE54EE">
      <w:pPr>
        <w:ind w:hanging="360"/>
        <w:divId w:val="1699505750"/>
        <w:rPr>
          <w:rFonts w:eastAsia="Times New Roman"/>
        </w:rPr>
      </w:pPr>
      <w:r>
        <w:rPr>
          <w:rFonts w:eastAsia="Times New Roman"/>
          <w:color w:val="000000"/>
          <w:sz w:val="16"/>
          <w:szCs w:val="16"/>
        </w:rPr>
        <w:t>(1)</w:t>
      </w:r>
      <w:r>
        <w:rPr>
          <w:rFonts w:eastAsia="Times New Roman"/>
          <w:color w:val="000000"/>
          <w:sz w:val="16"/>
          <w:szCs w:val="16"/>
        </w:rPr>
        <w:t>Includes acceleration expense recognized in connection with the L3Harris Merger.</w:t>
      </w:r>
    </w:p>
    <w:p w:rsidR="00000000" w:rsidRDefault="00AE54EE">
      <w:pPr>
        <w:ind w:firstLine="450"/>
        <w:divId w:val="250622297"/>
        <w:rPr>
          <w:rFonts w:eastAsia="Times New Roman"/>
        </w:rPr>
      </w:pPr>
      <w:r>
        <w:rPr>
          <w:rFonts w:eastAsia="Times New Roman"/>
          <w:color w:val="000000"/>
          <w:sz w:val="20"/>
          <w:szCs w:val="20"/>
        </w:rPr>
        <w:t xml:space="preserve">As of December 31, 2021, a total of 16.3 million shares of common stock remained available under our 2015 EIP for future issuance (excluding shares to be issued in respect of </w:t>
      </w:r>
      <w:r>
        <w:rPr>
          <w:rFonts w:eastAsia="Times New Roman"/>
          <w:color w:val="000000"/>
          <w:sz w:val="20"/>
          <w:szCs w:val="20"/>
        </w:rPr>
        <w:t>outstanding options and other share-based awards, and with each full-value award (e.g., restricted stock and restricted stock unit awards and performance share and performances share unit awards) counting as 4.6 shares against the total remaining for futur</w:t>
      </w:r>
      <w:r>
        <w:rPr>
          <w:rFonts w:eastAsia="Times New Roman"/>
          <w:color w:val="000000"/>
          <w:sz w:val="20"/>
          <w:szCs w:val="20"/>
        </w:rPr>
        <w:t>e issuance). During fiscal 2021, we issued an aggregate of 1.3 million shares of common stock under the terms of our L3Harris SIPs, which is net of shares withheld for tax purposes.</w:t>
      </w:r>
    </w:p>
    <w:p w:rsidR="00000000" w:rsidRDefault="00AE54EE">
      <w:pPr>
        <w:divId w:val="936642219"/>
        <w:rPr>
          <w:rFonts w:eastAsia="Times New Roman"/>
        </w:rPr>
      </w:pPr>
      <w:r>
        <w:rPr>
          <w:rFonts w:eastAsia="Times New Roman"/>
          <w:b/>
          <w:bCs/>
          <w:color w:val="000000"/>
          <w:sz w:val="20"/>
          <w:szCs w:val="20"/>
        </w:rPr>
        <w:t>Stock Options</w:t>
      </w:r>
    </w:p>
    <w:p w:rsidR="00000000" w:rsidRDefault="00AE54EE">
      <w:pPr>
        <w:ind w:firstLine="450"/>
        <w:divId w:val="1601183727"/>
        <w:rPr>
          <w:rFonts w:eastAsia="Times New Roman"/>
        </w:rPr>
      </w:pPr>
      <w:r>
        <w:rPr>
          <w:rFonts w:eastAsia="Times New Roman"/>
          <w:color w:val="000000"/>
          <w:sz w:val="20"/>
          <w:szCs w:val="20"/>
        </w:rPr>
        <w:t>The following information relates to stock options, including performance stock options, that have been granted under shareholder-approved L3Harris SIPs. Option exercise prices are equal to or greater than the fair market value of our common stock on the d</w:t>
      </w:r>
      <w:r>
        <w:rPr>
          <w:rFonts w:eastAsia="Times New Roman"/>
          <w:color w:val="000000"/>
          <w:sz w:val="20"/>
          <w:szCs w:val="20"/>
        </w:rPr>
        <w:t>ate the options are granted, using the closing stock price of our common stock. Options may be exercised for a period of ten years after the date of grant, and options, other than performance stock options, generally become exercisable in installments, whi</w:t>
      </w:r>
      <w:r>
        <w:rPr>
          <w:rFonts w:eastAsia="Times New Roman"/>
          <w:color w:val="000000"/>
          <w:sz w:val="20"/>
          <w:szCs w:val="20"/>
        </w:rPr>
        <w:t>ch are typically 33.3 percent one year from the grant date, 33.3 percent two years from the grant date and 33.3 percent three years from the grant date. In certain instances, vesting and exercisability are also subject to performance criteria.</w:t>
      </w:r>
    </w:p>
    <w:p w:rsidR="00000000" w:rsidRDefault="00AE54EE">
      <w:pPr>
        <w:ind w:firstLine="450"/>
        <w:divId w:val="686636656"/>
        <w:rPr>
          <w:rFonts w:eastAsia="Times New Roman"/>
        </w:rPr>
      </w:pPr>
      <w:r>
        <w:rPr>
          <w:rFonts w:eastAsia="Times New Roman"/>
          <w:color w:val="000000"/>
          <w:sz w:val="20"/>
          <w:szCs w:val="20"/>
        </w:rPr>
        <w:t>The fair val</w:t>
      </w:r>
      <w:r>
        <w:rPr>
          <w:rFonts w:eastAsia="Times New Roman"/>
          <w:color w:val="000000"/>
          <w:sz w:val="20"/>
          <w:szCs w:val="20"/>
        </w:rPr>
        <w:t>ue as of the grant date of each option award was determined using the Black-Scholes-Merton option-pricing model which uses assumptions noted in the following table. Expected volatility over the expected term of the options is based on implied volatility fr</w:t>
      </w:r>
      <w:r>
        <w:rPr>
          <w:rFonts w:eastAsia="Times New Roman"/>
          <w:color w:val="000000"/>
          <w:sz w:val="20"/>
          <w:szCs w:val="20"/>
        </w:rPr>
        <w:t>om traded options on our common stock and the historical volatility of our stock price. The expected term of the options is based on historical observations of our common stock, considering average years to exercise for all options exercised and average ye</w:t>
      </w:r>
      <w:r>
        <w:rPr>
          <w:rFonts w:eastAsia="Times New Roman"/>
          <w:color w:val="000000"/>
          <w:sz w:val="20"/>
          <w:szCs w:val="20"/>
        </w:rPr>
        <w:t>ars to cancellation for all options canceled, as well as average years remaining for vested outstanding options, which is calculated based on the weighted-average of these three inputs. The risk-free interest rate for periods within the contractual life of</w:t>
      </w:r>
      <w:r>
        <w:rPr>
          <w:rFonts w:eastAsia="Times New Roman"/>
          <w:color w:val="000000"/>
          <w:sz w:val="20"/>
          <w:szCs w:val="20"/>
        </w:rPr>
        <w:t xml:space="preserve"> the option is based on the U.S. Treasury yield curve in effect at the time of grant.</w:t>
      </w:r>
    </w:p>
    <w:p w:rsidR="00000000" w:rsidRDefault="00AE54EE">
      <w:pPr>
        <w:ind w:firstLine="450"/>
        <w:jc w:val="center"/>
        <w:divId w:val="1536429110"/>
        <w:rPr>
          <w:rFonts w:eastAsia="Times New Roman"/>
        </w:rPr>
      </w:pPr>
      <w:r>
        <w:rPr>
          <w:rFonts w:eastAsia="Times New Roman"/>
          <w:color w:val="000000"/>
          <w:sz w:val="20"/>
          <w:szCs w:val="20"/>
        </w:rPr>
        <w:t>106</w:t>
      </w:r>
    </w:p>
    <w:p w:rsidR="00000000" w:rsidRDefault="00AE54EE">
      <w:pPr>
        <w:rPr>
          <w:rFonts w:eastAsia="Times New Roman"/>
        </w:rPr>
      </w:pPr>
      <w:r>
        <w:rPr>
          <w:rFonts w:eastAsia="Times New Roman"/>
        </w:rPr>
        <w:pict>
          <v:rect id="_x0000_i1134" style="width:0;height:1.5pt" o:hralign="center" o:hrstd="t" o:hr="t" fillcolor="#a0a0a0" stroked="f"/>
        </w:pict>
      </w:r>
    </w:p>
    <w:p w:rsidR="00000000" w:rsidRDefault="00AE54EE">
      <w:pPr>
        <w:ind w:firstLine="450"/>
        <w:divId w:val="1710299125"/>
        <w:rPr>
          <w:rFonts w:eastAsia="Times New Roman"/>
        </w:rPr>
      </w:pPr>
    </w:p>
    <w:p w:rsidR="00000000" w:rsidRDefault="00AE54EE">
      <w:pPr>
        <w:ind w:firstLine="450"/>
        <w:divId w:val="32581108"/>
        <w:rPr>
          <w:rFonts w:eastAsia="Times New Roman"/>
        </w:rPr>
      </w:pPr>
      <w:r>
        <w:rPr>
          <w:rFonts w:eastAsia="Times New Roman"/>
          <w:color w:val="000000"/>
          <w:sz w:val="20"/>
          <w:szCs w:val="20"/>
        </w:rPr>
        <w:t>A summary of the significant assumptions used in determining the fair value of stock option grants under our L3Harris SIPs is as</w:t>
      </w:r>
      <w:r>
        <w:rPr>
          <w:rFonts w:eastAsia="Times New Roman"/>
          <w:color w:val="000000"/>
          <w:sz w:val="20"/>
          <w:szCs w:val="20"/>
        </w:rPr>
        <w:t xml:space="preserve"> follows:</w:t>
      </w:r>
    </w:p>
    <w:tbl>
      <w:tblPr>
        <w:tblW w:w="4956" w:type="pct"/>
        <w:tblCellMar>
          <w:top w:w="15" w:type="dxa"/>
          <w:left w:w="15" w:type="dxa"/>
          <w:bottom w:w="15" w:type="dxa"/>
          <w:right w:w="15" w:type="dxa"/>
        </w:tblCellMar>
        <w:tblLook w:val="04A0" w:firstRow="1" w:lastRow="0" w:firstColumn="1" w:lastColumn="0" w:noHBand="0" w:noVBand="1"/>
      </w:tblPr>
      <w:tblGrid>
        <w:gridCol w:w="37"/>
        <w:gridCol w:w="3730"/>
        <w:gridCol w:w="36"/>
        <w:gridCol w:w="54"/>
        <w:gridCol w:w="932"/>
        <w:gridCol w:w="187"/>
        <w:gridCol w:w="36"/>
        <w:gridCol w:w="36"/>
        <w:gridCol w:w="36"/>
        <w:gridCol w:w="51"/>
        <w:gridCol w:w="739"/>
        <w:gridCol w:w="187"/>
        <w:gridCol w:w="36"/>
        <w:gridCol w:w="36"/>
        <w:gridCol w:w="36"/>
        <w:gridCol w:w="55"/>
        <w:gridCol w:w="735"/>
        <w:gridCol w:w="187"/>
        <w:gridCol w:w="36"/>
        <w:gridCol w:w="36"/>
        <w:gridCol w:w="36"/>
        <w:gridCol w:w="44"/>
        <w:gridCol w:w="748"/>
        <w:gridCol w:w="187"/>
      </w:tblGrid>
      <w:tr w:rsidR="00000000">
        <w:trPr>
          <w:divId w:val="1915434047"/>
        </w:trPr>
        <w:tc>
          <w:tcPr>
            <w:tcW w:w="50" w:type="pct"/>
            <w:vAlign w:val="center"/>
            <w:hideMark/>
          </w:tcPr>
          <w:p w:rsidR="00000000" w:rsidRDefault="00AE54EE">
            <w:pPr>
              <w:ind w:firstLine="450"/>
              <w:rPr>
                <w:rFonts w:eastAsia="Times New Roman"/>
              </w:rPr>
            </w:pPr>
          </w:p>
        </w:tc>
        <w:tc>
          <w:tcPr>
            <w:tcW w:w="232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3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915434047"/>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915434047"/>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915434047"/>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15434047"/>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Expected dividends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915434047"/>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Expected volatility</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31.71 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22.74 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19.87 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915434047"/>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Risk-free interest rates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0.75 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0.89 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915434047"/>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Expected term (years)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5.05</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5.04</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5.65</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5.03</w:t>
            </w:r>
          </w:p>
        </w:tc>
      </w:tr>
    </w:tbl>
    <w:p w:rsidR="00000000" w:rsidRDefault="00AE54EE">
      <w:pPr>
        <w:ind w:firstLine="450"/>
        <w:divId w:val="2014408570"/>
        <w:rPr>
          <w:rFonts w:eastAsia="Times New Roman"/>
        </w:rPr>
      </w:pPr>
      <w:r>
        <w:rPr>
          <w:rFonts w:eastAsia="Times New Roman"/>
          <w:color w:val="000000"/>
          <w:sz w:val="20"/>
          <w:szCs w:val="20"/>
        </w:rPr>
        <w:t>A summary of stock option activity under our L3Harris SIPs as of December 31, 2021 and changes during fiscal 2021 is as follows:</w:t>
      </w:r>
    </w:p>
    <w:tbl>
      <w:tblPr>
        <w:tblW w:w="4906" w:type="pct"/>
        <w:tblCellMar>
          <w:top w:w="15" w:type="dxa"/>
          <w:left w:w="15" w:type="dxa"/>
          <w:bottom w:w="15" w:type="dxa"/>
          <w:right w:w="15" w:type="dxa"/>
        </w:tblCellMar>
        <w:tblLook w:val="04A0" w:firstRow="1" w:lastRow="0" w:firstColumn="1" w:lastColumn="0" w:noHBand="0" w:noVBand="1"/>
      </w:tblPr>
      <w:tblGrid>
        <w:gridCol w:w="37"/>
        <w:gridCol w:w="3815"/>
        <w:gridCol w:w="36"/>
        <w:gridCol w:w="79"/>
        <w:gridCol w:w="875"/>
        <w:gridCol w:w="36"/>
        <w:gridCol w:w="36"/>
        <w:gridCol w:w="36"/>
        <w:gridCol w:w="36"/>
        <w:gridCol w:w="120"/>
        <w:gridCol w:w="767"/>
        <w:gridCol w:w="36"/>
        <w:gridCol w:w="36"/>
        <w:gridCol w:w="36"/>
        <w:gridCol w:w="36"/>
        <w:gridCol w:w="71"/>
        <w:gridCol w:w="789"/>
        <w:gridCol w:w="36"/>
        <w:gridCol w:w="36"/>
        <w:gridCol w:w="36"/>
        <w:gridCol w:w="36"/>
        <w:gridCol w:w="121"/>
        <w:gridCol w:w="972"/>
        <w:gridCol w:w="36"/>
      </w:tblGrid>
      <w:tr w:rsidR="00000000">
        <w:trPr>
          <w:divId w:val="1314022792"/>
        </w:trPr>
        <w:tc>
          <w:tcPr>
            <w:tcW w:w="50" w:type="pct"/>
            <w:vAlign w:val="center"/>
            <w:hideMark/>
          </w:tcPr>
          <w:p w:rsidR="00000000" w:rsidRDefault="00AE54EE">
            <w:pPr>
              <w:ind w:firstLine="450"/>
              <w:rPr>
                <w:rFonts w:eastAsia="Times New Roman"/>
              </w:rPr>
            </w:pPr>
          </w:p>
        </w:tc>
        <w:tc>
          <w:tcPr>
            <w:tcW w:w="237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6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314022792"/>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Shares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r>
            <w:r>
              <w:rPr>
                <w:rFonts w:eastAsia="Times New Roman"/>
                <w:b/>
                <w:bCs/>
                <w:color w:val="000000"/>
                <w:sz w:val="16"/>
                <w:szCs w:val="16"/>
              </w:rPr>
              <w:t>Contractual</w:t>
            </w:r>
            <w:r>
              <w:rPr>
                <w:rFonts w:eastAsia="Times New Roman"/>
                <w:b/>
                <w:bCs/>
                <w:color w:val="000000"/>
                <w:sz w:val="16"/>
                <w:szCs w:val="16"/>
              </w:rPr>
              <w:br/>
              <w:t>Term</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 Value</w:t>
            </w:r>
          </w:p>
        </w:tc>
      </w:tr>
      <w:tr w:rsidR="00000000">
        <w:trPr>
          <w:divId w:val="1314022792"/>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4022792"/>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(In years)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(In millions)</w:t>
            </w:r>
          </w:p>
        </w:tc>
      </w:tr>
      <w:tr w:rsidR="00000000">
        <w:trPr>
          <w:divId w:val="131402279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Stock options outstanding January 1, 2021</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4,321,636 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127.93 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402279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500,489 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181.91 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402279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Exercised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(1,207,071)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79.20 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402279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Forfeited or expired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(85,966)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190.28 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4022792"/>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31402279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Stock options outstanding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3,529,088 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150.68 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6.35</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220.78 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402279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Stock options exercisable December 31, 2021</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2,009,767 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116.25 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4.96</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194.93 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055079078"/>
        <w:rPr>
          <w:rFonts w:eastAsia="Times New Roman"/>
        </w:rPr>
      </w:pPr>
      <w:r>
        <w:rPr>
          <w:rFonts w:eastAsia="Times New Roman"/>
          <w:color w:val="000000"/>
          <w:sz w:val="20"/>
          <w:szCs w:val="20"/>
        </w:rPr>
        <w:t>The weighted-average grant-date fair value per share was $42.16, $34.49, $38.61 and $30.05 for options granted in fiscal 2021 and 2020, t</w:t>
      </w:r>
      <w:r>
        <w:rPr>
          <w:rFonts w:eastAsia="Times New Roman"/>
          <w:color w:val="000000"/>
          <w:sz w:val="20"/>
          <w:szCs w:val="20"/>
        </w:rPr>
        <w:t>he two quarters ended January 3, 2020 and fiscal 2019, respectively. The total intrinsic value of options at the time of exercise was $173 million, $103 million, $212 million and $75 million for options exercised in fiscal 2021 and 2020, the two quarters e</w:t>
      </w:r>
      <w:r>
        <w:rPr>
          <w:rFonts w:eastAsia="Times New Roman"/>
          <w:color w:val="000000"/>
          <w:sz w:val="20"/>
          <w:szCs w:val="20"/>
        </w:rPr>
        <w:t>nded January 3, 2020 and fiscal 2019, respectively.</w:t>
      </w:r>
    </w:p>
    <w:p w:rsidR="00000000" w:rsidRDefault="00AE54EE">
      <w:pPr>
        <w:ind w:firstLine="450"/>
        <w:divId w:val="2063213649"/>
        <w:rPr>
          <w:rFonts w:eastAsia="Times New Roman"/>
        </w:rPr>
      </w:pPr>
      <w:r>
        <w:rPr>
          <w:rFonts w:eastAsia="Times New Roman"/>
          <w:color w:val="000000"/>
          <w:sz w:val="20"/>
          <w:szCs w:val="20"/>
        </w:rPr>
        <w:t>A summary of the status of our nonvested stock options at December 31, 2021 and changes during fiscal 2021 is as follows:</w:t>
      </w:r>
    </w:p>
    <w:tbl>
      <w:tblPr>
        <w:tblW w:w="5000" w:type="pct"/>
        <w:tblCellMar>
          <w:top w:w="15" w:type="dxa"/>
          <w:left w:w="15" w:type="dxa"/>
          <w:bottom w:w="15" w:type="dxa"/>
          <w:right w:w="15" w:type="dxa"/>
        </w:tblCellMar>
        <w:tblLook w:val="04A0" w:firstRow="1" w:lastRow="0" w:firstColumn="1" w:lastColumn="0" w:noHBand="0" w:noVBand="1"/>
      </w:tblPr>
      <w:tblGrid>
        <w:gridCol w:w="53"/>
        <w:gridCol w:w="5466"/>
        <w:gridCol w:w="36"/>
        <w:gridCol w:w="55"/>
        <w:gridCol w:w="1203"/>
        <w:gridCol w:w="36"/>
        <w:gridCol w:w="36"/>
        <w:gridCol w:w="36"/>
        <w:gridCol w:w="36"/>
        <w:gridCol w:w="121"/>
        <w:gridCol w:w="1192"/>
        <w:gridCol w:w="36"/>
      </w:tblGrid>
      <w:tr w:rsidR="00000000">
        <w:trPr>
          <w:divId w:val="1883906439"/>
        </w:trPr>
        <w:tc>
          <w:tcPr>
            <w:tcW w:w="50" w:type="pct"/>
            <w:vAlign w:val="center"/>
            <w:hideMark/>
          </w:tcPr>
          <w:p w:rsidR="00000000" w:rsidRDefault="00AE54EE">
            <w:pPr>
              <w:ind w:firstLine="450"/>
              <w:rPr>
                <w:rFonts w:eastAsia="Times New Roman"/>
              </w:rPr>
            </w:pPr>
          </w:p>
        </w:tc>
        <w:tc>
          <w:tcPr>
            <w:tcW w:w="330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4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4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883906439"/>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Shares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r>
            <w:r>
              <w:rPr>
                <w:rFonts w:eastAsia="Times New Roman"/>
                <w:b/>
                <w:bCs/>
                <w:color w:val="000000"/>
                <w:sz w:val="16"/>
                <w:szCs w:val="16"/>
              </w:rPr>
              <w:t>Grant-Date Fair Value</w:t>
            </w:r>
            <w:r>
              <w:rPr>
                <w:rFonts w:eastAsia="Times New Roman"/>
                <w:b/>
                <w:bCs/>
                <w:color w:val="000000"/>
                <w:sz w:val="16"/>
                <w:szCs w:val="16"/>
              </w:rPr>
              <w:br/>
              <w:t>Per Share</w:t>
            </w:r>
          </w:p>
        </w:tc>
      </w:tr>
      <w:tr w:rsidR="00000000">
        <w:trPr>
          <w:divId w:val="1883906439"/>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8390643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Nonvested stock options January 1, 2021</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1,289,631 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36.81 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8390643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500,489 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8390643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(270,799)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34.49 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8390643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Nonvested stock options December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1,519,321 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38.79 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070611923"/>
        <w:rPr>
          <w:rFonts w:eastAsia="Times New Roman"/>
        </w:rPr>
      </w:pPr>
      <w:r>
        <w:rPr>
          <w:rFonts w:eastAsia="Times New Roman"/>
          <w:color w:val="000000"/>
          <w:sz w:val="20"/>
          <w:szCs w:val="20"/>
        </w:rPr>
        <w:t xml:space="preserve">As of December 31, 2021, there was $24 </w:t>
      </w:r>
      <w:r>
        <w:rPr>
          <w:rFonts w:eastAsia="Times New Roman"/>
          <w:color w:val="000000"/>
          <w:sz w:val="20"/>
          <w:szCs w:val="20"/>
        </w:rPr>
        <w:t>million of total unrecognized compensation expense related to nonvested stock options granted under our L3Harris SIPs. This expense is expected to be recognized over a weighted-average period of 1.57 years. The total fair value of stock options that vested</w:t>
      </w:r>
      <w:r>
        <w:rPr>
          <w:rFonts w:eastAsia="Times New Roman"/>
          <w:color w:val="000000"/>
          <w:sz w:val="20"/>
          <w:szCs w:val="20"/>
        </w:rPr>
        <w:t xml:space="preserve"> in fiscal 2021 and 2020 was not material and the total fair value of stock options that vested in the two quarters ended January 3, 2020 and in fiscal 2019 was $17 million and $14 million, respectively.</w:t>
      </w:r>
    </w:p>
    <w:p w:rsidR="00000000" w:rsidRDefault="00AE54EE">
      <w:pPr>
        <w:divId w:val="1634293549"/>
        <w:rPr>
          <w:rFonts w:eastAsia="Times New Roman"/>
        </w:rPr>
      </w:pPr>
      <w:r>
        <w:rPr>
          <w:rFonts w:eastAsia="Times New Roman"/>
          <w:b/>
          <w:bCs/>
          <w:color w:val="000000"/>
          <w:sz w:val="20"/>
          <w:szCs w:val="20"/>
        </w:rPr>
        <w:t>Restricted Stock and Restricted Stock Unit Awards</w:t>
      </w:r>
    </w:p>
    <w:p w:rsidR="00000000" w:rsidRDefault="00AE54EE">
      <w:pPr>
        <w:ind w:firstLine="450"/>
        <w:divId w:val="65226198"/>
        <w:rPr>
          <w:rFonts w:eastAsia="Times New Roman"/>
        </w:rPr>
      </w:pPr>
      <w:r>
        <w:rPr>
          <w:rFonts w:eastAsia="Times New Roman"/>
          <w:color w:val="000000"/>
          <w:sz w:val="20"/>
          <w:szCs w:val="20"/>
        </w:rPr>
        <w:t>Th</w:t>
      </w:r>
      <w:r>
        <w:rPr>
          <w:rFonts w:eastAsia="Times New Roman"/>
          <w:color w:val="000000"/>
          <w:sz w:val="20"/>
          <w:szCs w:val="20"/>
        </w:rPr>
        <w:t>e following information relates to awards of restricted stock and restricted stock units that have been granted to employees and non-employee directors under our L3Harris SIPs. These awards are not transferable until vested and the restrictions generally l</w:t>
      </w:r>
      <w:r>
        <w:rPr>
          <w:rFonts w:eastAsia="Times New Roman"/>
          <w:color w:val="000000"/>
          <w:sz w:val="20"/>
          <w:szCs w:val="20"/>
        </w:rPr>
        <w:t>apse upon the achievement of continued employment (or board membership) over a specified time period.</w:t>
      </w:r>
    </w:p>
    <w:p w:rsidR="00000000" w:rsidRDefault="00AE54EE">
      <w:pPr>
        <w:ind w:firstLine="450"/>
        <w:divId w:val="780685810"/>
        <w:rPr>
          <w:rFonts w:eastAsia="Times New Roman"/>
        </w:rPr>
      </w:pPr>
      <w:r>
        <w:rPr>
          <w:rFonts w:eastAsia="Times New Roman"/>
          <w:color w:val="000000"/>
          <w:sz w:val="20"/>
          <w:szCs w:val="20"/>
        </w:rPr>
        <w:t xml:space="preserve">The fair value as of the grant date of these awards was based on the closing price of our common stock on the grant date and is amortized to compensation </w:t>
      </w:r>
      <w:r>
        <w:rPr>
          <w:rFonts w:eastAsia="Times New Roman"/>
          <w:color w:val="000000"/>
          <w:sz w:val="20"/>
          <w:szCs w:val="20"/>
        </w:rPr>
        <w:t>expense over the vesting period. At December 31, 2021, there were 26,302 shares of restricted stock and 776,924 restricted stock units outstanding which were payable in shares.</w:t>
      </w:r>
    </w:p>
    <w:p w:rsidR="00000000" w:rsidRDefault="00AE54EE">
      <w:pPr>
        <w:ind w:firstLine="450"/>
        <w:jc w:val="center"/>
        <w:divId w:val="1055616650"/>
        <w:rPr>
          <w:rFonts w:eastAsia="Times New Roman"/>
        </w:rPr>
      </w:pPr>
      <w:r>
        <w:rPr>
          <w:rFonts w:eastAsia="Times New Roman"/>
          <w:color w:val="000000"/>
          <w:sz w:val="20"/>
          <w:szCs w:val="20"/>
        </w:rPr>
        <w:t>107</w:t>
      </w:r>
    </w:p>
    <w:p w:rsidR="00000000" w:rsidRDefault="00AE54EE">
      <w:pPr>
        <w:rPr>
          <w:rFonts w:eastAsia="Times New Roman"/>
        </w:rPr>
      </w:pPr>
      <w:r>
        <w:rPr>
          <w:rFonts w:eastAsia="Times New Roman"/>
        </w:rPr>
        <w:pict>
          <v:rect id="_x0000_i1135" style="width:0;height:1.5pt" o:hralign="center" o:hrstd="t" o:hr="t" fillcolor="#a0a0a0" stroked="f"/>
        </w:pict>
      </w:r>
    </w:p>
    <w:p w:rsidR="00000000" w:rsidRDefault="00AE54EE">
      <w:pPr>
        <w:ind w:firstLine="450"/>
        <w:divId w:val="551238598"/>
        <w:rPr>
          <w:rFonts w:eastAsia="Times New Roman"/>
        </w:rPr>
      </w:pPr>
    </w:p>
    <w:p w:rsidR="00000000" w:rsidRDefault="00AE54EE">
      <w:pPr>
        <w:ind w:firstLine="450"/>
        <w:divId w:val="144663625"/>
        <w:rPr>
          <w:rFonts w:eastAsia="Times New Roman"/>
        </w:rPr>
      </w:pPr>
      <w:r>
        <w:rPr>
          <w:rFonts w:eastAsia="Times New Roman"/>
          <w:color w:val="000000"/>
          <w:sz w:val="20"/>
          <w:szCs w:val="20"/>
        </w:rPr>
        <w:t>A summary of the status of these awards at December 31, 2021 and changes during fiscal 2021 is as follows:</w:t>
      </w:r>
    </w:p>
    <w:tbl>
      <w:tblPr>
        <w:tblW w:w="4992" w:type="pct"/>
        <w:tblCellMar>
          <w:top w:w="15" w:type="dxa"/>
          <w:left w:w="15" w:type="dxa"/>
          <w:bottom w:w="15" w:type="dxa"/>
          <w:right w:w="15" w:type="dxa"/>
        </w:tblCellMar>
        <w:tblLook w:val="04A0" w:firstRow="1" w:lastRow="0" w:firstColumn="1" w:lastColumn="0" w:noHBand="0" w:noVBand="1"/>
      </w:tblPr>
      <w:tblGrid>
        <w:gridCol w:w="54"/>
        <w:gridCol w:w="5512"/>
        <w:gridCol w:w="36"/>
        <w:gridCol w:w="54"/>
        <w:gridCol w:w="1180"/>
        <w:gridCol w:w="36"/>
        <w:gridCol w:w="36"/>
        <w:gridCol w:w="36"/>
        <w:gridCol w:w="36"/>
        <w:gridCol w:w="120"/>
        <w:gridCol w:w="1157"/>
        <w:gridCol w:w="36"/>
      </w:tblGrid>
      <w:tr w:rsidR="00000000">
        <w:trPr>
          <w:divId w:val="1185441856"/>
        </w:trPr>
        <w:tc>
          <w:tcPr>
            <w:tcW w:w="50" w:type="pct"/>
            <w:vAlign w:val="center"/>
            <w:hideMark/>
          </w:tcPr>
          <w:p w:rsidR="00000000" w:rsidRDefault="00AE54EE">
            <w:pPr>
              <w:ind w:firstLine="450"/>
              <w:rPr>
                <w:rFonts w:eastAsia="Times New Roman"/>
              </w:rPr>
            </w:pPr>
          </w:p>
        </w:tc>
        <w:tc>
          <w:tcPr>
            <w:tcW w:w="334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2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2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185441856"/>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Shares or Units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Grant Price Per Share or Unit</w:t>
            </w:r>
          </w:p>
        </w:tc>
      </w:tr>
      <w:tr w:rsidR="00000000">
        <w:trPr>
          <w:divId w:val="1185441856"/>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18544185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Restricted stock and restricted stock units outstanding at January 1, 2021</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698,920 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196.26 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8544185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279,704 </w:t>
            </w:r>
          </w:p>
        </w:tc>
        <w:tc>
          <w:tcPr>
            <w:tcW w:w="0" w:type="auto"/>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202.10 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8544185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(107,542)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187.02 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8544185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(67,856)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191.47 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18544185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Restricted stock and restricted stock units outstanding at December 31,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803,226 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192.33 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06584181"/>
        <w:rPr>
          <w:rFonts w:eastAsia="Times New Roman"/>
        </w:rPr>
      </w:pPr>
      <w:r>
        <w:rPr>
          <w:rFonts w:eastAsia="Times New Roman"/>
          <w:color w:val="000000"/>
          <w:sz w:val="20"/>
          <w:szCs w:val="20"/>
        </w:rPr>
        <w:t xml:space="preserve">As of December 31, 2021, there was $63 </w:t>
      </w:r>
      <w:r>
        <w:rPr>
          <w:rFonts w:eastAsia="Times New Roman"/>
          <w:color w:val="000000"/>
          <w:sz w:val="20"/>
          <w:szCs w:val="20"/>
        </w:rPr>
        <w:t>million of total unrecognized compensation expense related to these awards under our L3Harris SIPs. This expense is expected to be recognized over a weighted-average period of 1.19 years. The weighted-average grant date price per share or per unit was $202</w:t>
      </w:r>
      <w:r>
        <w:rPr>
          <w:rFonts w:eastAsia="Times New Roman"/>
          <w:color w:val="000000"/>
          <w:sz w:val="20"/>
          <w:szCs w:val="20"/>
        </w:rPr>
        <w:t>.10, $195.66, $204.62 and $160.05 for awards granted in fiscal 2021 and 2020, the two quarters ended January 3, 2020 and fiscal 2019, respectively. The total fair value of these awards was $19 million, $9 million, $75 million and $16 million for awards tha</w:t>
      </w:r>
      <w:r>
        <w:rPr>
          <w:rFonts w:eastAsia="Times New Roman"/>
          <w:color w:val="000000"/>
          <w:sz w:val="20"/>
          <w:szCs w:val="20"/>
        </w:rPr>
        <w:t>t vested in fiscal 2021 and 2020, the two quarters ended January 3, 2020 and fiscal 2019, respectively.</w:t>
      </w:r>
    </w:p>
    <w:p w:rsidR="00000000" w:rsidRDefault="00AE54EE">
      <w:pPr>
        <w:divId w:val="832573761"/>
        <w:rPr>
          <w:rFonts w:eastAsia="Times New Roman"/>
        </w:rPr>
      </w:pPr>
      <w:r>
        <w:rPr>
          <w:rFonts w:eastAsia="Times New Roman"/>
          <w:b/>
          <w:bCs/>
          <w:color w:val="000000"/>
          <w:sz w:val="20"/>
          <w:szCs w:val="20"/>
        </w:rPr>
        <w:t>Performance Share Unit Awards</w:t>
      </w:r>
    </w:p>
    <w:p w:rsidR="00000000" w:rsidRDefault="00AE54EE">
      <w:pPr>
        <w:ind w:firstLine="450"/>
        <w:divId w:val="12221229"/>
        <w:rPr>
          <w:rFonts w:eastAsia="Times New Roman"/>
        </w:rPr>
      </w:pPr>
      <w:r>
        <w:rPr>
          <w:rFonts w:eastAsia="Times New Roman"/>
          <w:color w:val="000000"/>
          <w:sz w:val="20"/>
          <w:szCs w:val="20"/>
        </w:rPr>
        <w:t>The following information relates to awards of performance share units that have been granted to employees under our L3Har</w:t>
      </w:r>
      <w:r>
        <w:rPr>
          <w:rFonts w:eastAsia="Times New Roman"/>
          <w:color w:val="000000"/>
          <w:sz w:val="20"/>
          <w:szCs w:val="20"/>
        </w:rPr>
        <w:t>ris SIPs. Generally, these awards are subject to performance criteria, such as meeting predetermined operating income or earnings per share and return on invested capital targets (and market conditions, such as total shareholder return) for a 3-year perfor</w:t>
      </w:r>
      <w:r>
        <w:rPr>
          <w:rFonts w:eastAsia="Times New Roman"/>
          <w:color w:val="000000"/>
          <w:sz w:val="20"/>
          <w:szCs w:val="20"/>
        </w:rPr>
        <w:t>mance period. These awards also generally vest at the expiration of the same 3-year period. The final determination of the number of shares to be issued in respect of an award is made by our Board of Directors or a committee thereof.</w:t>
      </w:r>
    </w:p>
    <w:p w:rsidR="00000000" w:rsidRDefault="00AE54EE">
      <w:pPr>
        <w:ind w:firstLine="450"/>
        <w:divId w:val="299192097"/>
        <w:rPr>
          <w:rFonts w:eastAsia="Times New Roman"/>
        </w:rPr>
      </w:pPr>
      <w:r>
        <w:rPr>
          <w:rFonts w:eastAsia="Times New Roman"/>
          <w:color w:val="000000"/>
          <w:sz w:val="20"/>
          <w:szCs w:val="20"/>
        </w:rPr>
        <w:t>The fair value as of t</w:t>
      </w:r>
      <w:r>
        <w:rPr>
          <w:rFonts w:eastAsia="Times New Roman"/>
          <w:color w:val="000000"/>
          <w:sz w:val="20"/>
          <w:szCs w:val="20"/>
        </w:rPr>
        <w:t>he grant date of these awards was determined based on a multifactor Monte Carlo valuation model that simulates our stock price and total shareholder return (“TSR”) relative to other companies in the S&amp;P 500, less a discount to reflect the delay in payments</w:t>
      </w:r>
      <w:r>
        <w:rPr>
          <w:rFonts w:eastAsia="Times New Roman"/>
          <w:color w:val="000000"/>
          <w:sz w:val="20"/>
          <w:szCs w:val="20"/>
        </w:rPr>
        <w:t xml:space="preserve"> of cash dividend-equivalents that are made only upon vesting. The fair value of these awards is amortized to compensation expense over the performance period if achievement of the performance measures is considered probable. </w:t>
      </w:r>
    </w:p>
    <w:p w:rsidR="00000000" w:rsidRDefault="00AE54EE">
      <w:pPr>
        <w:ind w:firstLine="450"/>
        <w:divId w:val="999308375"/>
        <w:rPr>
          <w:rFonts w:eastAsia="Times New Roman"/>
        </w:rPr>
      </w:pPr>
      <w:r>
        <w:rPr>
          <w:rFonts w:eastAsia="Times New Roman"/>
          <w:color w:val="000000"/>
          <w:sz w:val="20"/>
          <w:szCs w:val="20"/>
        </w:rPr>
        <w:t>A summary of the status of th</w:t>
      </w:r>
      <w:r>
        <w:rPr>
          <w:rFonts w:eastAsia="Times New Roman"/>
          <w:color w:val="000000"/>
          <w:sz w:val="20"/>
          <w:szCs w:val="20"/>
        </w:rPr>
        <w:t>ese awards at December 31, 2021 and changes during fiscal 2021 is as follows:</w:t>
      </w:r>
    </w:p>
    <w:tbl>
      <w:tblPr>
        <w:tblW w:w="4906" w:type="pct"/>
        <w:tblCellMar>
          <w:top w:w="15" w:type="dxa"/>
          <w:left w:w="15" w:type="dxa"/>
          <w:bottom w:w="15" w:type="dxa"/>
          <w:right w:w="15" w:type="dxa"/>
        </w:tblCellMar>
        <w:tblLook w:val="04A0" w:firstRow="1" w:lastRow="0" w:firstColumn="1" w:lastColumn="0" w:noHBand="0" w:noVBand="1"/>
      </w:tblPr>
      <w:tblGrid>
        <w:gridCol w:w="52"/>
        <w:gridCol w:w="5370"/>
        <w:gridCol w:w="36"/>
        <w:gridCol w:w="53"/>
        <w:gridCol w:w="1180"/>
        <w:gridCol w:w="36"/>
        <w:gridCol w:w="36"/>
        <w:gridCol w:w="36"/>
        <w:gridCol w:w="36"/>
        <w:gridCol w:w="120"/>
        <w:gridCol w:w="1159"/>
        <w:gridCol w:w="36"/>
      </w:tblGrid>
      <w:tr w:rsidR="00000000">
        <w:trPr>
          <w:divId w:val="1884169599"/>
        </w:trPr>
        <w:tc>
          <w:tcPr>
            <w:tcW w:w="50" w:type="pct"/>
            <w:vAlign w:val="center"/>
            <w:hideMark/>
          </w:tcPr>
          <w:p w:rsidR="00000000" w:rsidRDefault="00AE54EE">
            <w:pPr>
              <w:ind w:firstLine="450"/>
              <w:rPr>
                <w:rFonts w:eastAsia="Times New Roman"/>
              </w:rPr>
            </w:pPr>
          </w:p>
        </w:tc>
        <w:tc>
          <w:tcPr>
            <w:tcW w:w="331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4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4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884169599"/>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Shares or Units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Weighted-Average</w:t>
            </w:r>
          </w:p>
          <w:p w:rsidR="00000000" w:rsidRDefault="00AE54EE">
            <w:pPr>
              <w:spacing w:after="100"/>
              <w:jc w:val="center"/>
              <w:rPr>
                <w:rFonts w:eastAsia="Times New Roman"/>
              </w:rPr>
            </w:pPr>
            <w:r>
              <w:rPr>
                <w:rFonts w:eastAsia="Times New Roman"/>
                <w:b/>
                <w:bCs/>
                <w:color w:val="000000"/>
                <w:sz w:val="16"/>
                <w:szCs w:val="16"/>
              </w:rPr>
              <w:t>Grant Price</w:t>
            </w:r>
          </w:p>
          <w:p w:rsidR="00000000" w:rsidRDefault="00AE54EE">
            <w:pPr>
              <w:spacing w:after="100"/>
              <w:jc w:val="center"/>
              <w:rPr>
                <w:rFonts w:eastAsia="Times New Roman"/>
              </w:rPr>
            </w:pPr>
            <w:r>
              <w:rPr>
                <w:rFonts w:eastAsia="Times New Roman"/>
                <w:b/>
                <w:bCs/>
                <w:color w:val="000000"/>
                <w:sz w:val="16"/>
                <w:szCs w:val="16"/>
              </w:rPr>
              <w:t>Per Share or Uni</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r>
      <w:tr w:rsidR="00000000">
        <w:trPr>
          <w:divId w:val="1884169599"/>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88416959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Performance share units outstanding at January 1, 2021</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249,695 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223.28 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8416959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239,590 </w:t>
            </w:r>
          </w:p>
        </w:tc>
        <w:tc>
          <w:tcPr>
            <w:tcW w:w="0" w:type="auto"/>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201.32 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84169599"/>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884169599"/>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(31,114)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204.24 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884169599"/>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Performance share units outstanding at December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458,171 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248269"/>
        <w:rPr>
          <w:rFonts w:eastAsia="Times New Roman"/>
        </w:rPr>
      </w:pPr>
      <w:r>
        <w:rPr>
          <w:rFonts w:eastAsia="Times New Roman"/>
          <w:color w:val="000000"/>
          <w:sz w:val="20"/>
          <w:szCs w:val="20"/>
        </w:rPr>
        <w:t xml:space="preserve">As of December 31, 2021, there was $51 </w:t>
      </w:r>
      <w:r>
        <w:rPr>
          <w:rFonts w:eastAsia="Times New Roman"/>
          <w:color w:val="000000"/>
          <w:sz w:val="20"/>
          <w:szCs w:val="20"/>
        </w:rPr>
        <w:t>million of total unrecognized compensation expense related to these awards under our L3Harris SIPs. This expense is expected to be recognized over a weighted-average period of 1.44 years. The weighted-average grant date price per unit was $201.32, $228.29,</w:t>
      </w:r>
      <w:r>
        <w:rPr>
          <w:rFonts w:eastAsia="Times New Roman"/>
          <w:color w:val="000000"/>
          <w:sz w:val="20"/>
          <w:szCs w:val="20"/>
        </w:rPr>
        <w:t xml:space="preserve"> $204.85 and $155.12 for awards granted in fiscal 2021 and 2020, the two quarters ended January 3, 2020 and fiscal 2019, respectively. The total fair value of these awards was not material for awards that vested in fiscal 2021 and 2020, and was $107 millio</w:t>
      </w:r>
      <w:r>
        <w:rPr>
          <w:rFonts w:eastAsia="Times New Roman"/>
          <w:color w:val="000000"/>
          <w:sz w:val="20"/>
          <w:szCs w:val="20"/>
        </w:rPr>
        <w:t>n and $21 million for awards that vested in the two quarters ended January 3, 2020 and fiscal 2019, respectively.</w:t>
      </w:r>
    </w:p>
    <w:p w:rsidR="00000000" w:rsidRDefault="00AE54EE">
      <w:pPr>
        <w:ind w:firstLine="450"/>
        <w:jc w:val="center"/>
        <w:divId w:val="1245921424"/>
        <w:rPr>
          <w:rFonts w:eastAsia="Times New Roman"/>
        </w:rPr>
      </w:pPr>
      <w:r>
        <w:rPr>
          <w:rFonts w:eastAsia="Times New Roman"/>
          <w:color w:val="000000"/>
          <w:sz w:val="20"/>
          <w:szCs w:val="20"/>
        </w:rPr>
        <w:t>108</w:t>
      </w:r>
    </w:p>
    <w:p w:rsidR="00000000" w:rsidRDefault="00AE54EE">
      <w:pPr>
        <w:rPr>
          <w:rFonts w:eastAsia="Times New Roman"/>
        </w:rPr>
      </w:pPr>
      <w:r>
        <w:rPr>
          <w:rFonts w:eastAsia="Times New Roman"/>
        </w:rPr>
        <w:pict>
          <v:rect id="_x0000_i1136" style="width:0;height:1.5pt" o:hralign="center" o:hrstd="t" o:hr="t" fillcolor="#a0a0a0" stroked="f"/>
        </w:pict>
      </w:r>
    </w:p>
    <w:p w:rsidR="00000000" w:rsidRDefault="00AE54EE">
      <w:pPr>
        <w:ind w:firstLine="450"/>
        <w:divId w:val="35282201"/>
        <w:rPr>
          <w:rFonts w:eastAsia="Times New Roman"/>
        </w:rPr>
      </w:pPr>
    </w:p>
    <w:p w:rsidR="00000000" w:rsidRDefault="00AE54EE">
      <w:pPr>
        <w:divId w:val="887188287"/>
        <w:rPr>
          <w:rFonts w:eastAsia="Times New Roman"/>
        </w:rPr>
      </w:pPr>
      <w:r>
        <w:rPr>
          <w:rFonts w:eastAsia="Times New Roman"/>
          <w:b/>
          <w:bCs/>
          <w:color w:val="000000"/>
          <w:sz w:val="20"/>
          <w:szCs w:val="20"/>
        </w:rPr>
        <w:t>NOTE 16: INCOME FROM CONTINUING OPERATIONS PER SHARE</w:t>
      </w:r>
      <w:r>
        <w:rPr>
          <w:rFonts w:eastAsia="Times New Roman"/>
          <w:b/>
          <w:bCs/>
          <w:i/>
          <w:iCs/>
          <w:color w:val="000000"/>
          <w:sz w:val="20"/>
          <w:szCs w:val="20"/>
        </w:rPr>
        <w:t xml:space="preserve"> </w:t>
      </w:r>
    </w:p>
    <w:p w:rsidR="00000000" w:rsidRDefault="00AE54EE">
      <w:pPr>
        <w:ind w:firstLine="450"/>
        <w:divId w:val="1715038914"/>
        <w:rPr>
          <w:rFonts w:eastAsia="Times New Roman"/>
        </w:rPr>
      </w:pPr>
      <w:r>
        <w:rPr>
          <w:rFonts w:eastAsia="Times New Roman"/>
          <w:color w:val="000000"/>
          <w:sz w:val="20"/>
          <w:szCs w:val="20"/>
        </w:rPr>
        <w:t>The computations of income from continuing operations per common share attributable to L3Harris common shareholders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8"/>
        <w:gridCol w:w="121"/>
        <w:gridCol w:w="896"/>
        <w:gridCol w:w="36"/>
        <w:gridCol w:w="36"/>
        <w:gridCol w:w="36"/>
        <w:gridCol w:w="36"/>
        <w:gridCol w:w="120"/>
        <w:gridCol w:w="851"/>
        <w:gridCol w:w="36"/>
        <w:gridCol w:w="36"/>
        <w:gridCol w:w="36"/>
        <w:gridCol w:w="36"/>
        <w:gridCol w:w="121"/>
        <w:gridCol w:w="853"/>
        <w:gridCol w:w="36"/>
        <w:gridCol w:w="36"/>
        <w:gridCol w:w="36"/>
        <w:gridCol w:w="36"/>
        <w:gridCol w:w="120"/>
        <w:gridCol w:w="853"/>
        <w:gridCol w:w="36"/>
      </w:tblGrid>
      <w:tr w:rsidR="00000000">
        <w:trPr>
          <w:divId w:val="758449204"/>
        </w:trPr>
        <w:tc>
          <w:tcPr>
            <w:tcW w:w="50" w:type="pct"/>
            <w:vAlign w:val="center"/>
            <w:hideMark/>
          </w:tcPr>
          <w:p w:rsidR="00000000" w:rsidRDefault="00AE54EE">
            <w:pPr>
              <w:ind w:firstLine="450"/>
              <w:rPr>
                <w:rFonts w:eastAsia="Times New Roman"/>
              </w:rPr>
            </w:pPr>
          </w:p>
        </w:tc>
        <w:tc>
          <w:tcPr>
            <w:tcW w:w="233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758449204"/>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75844920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758449204"/>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75844920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Income from continuing operations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953 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5844920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Adjustments for participating securities outstanding</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58449204"/>
        </w:trPr>
        <w:tc>
          <w:tcPr>
            <w:tcW w:w="0" w:type="auto"/>
            <w:gridSpan w:val="3"/>
            <w:shd w:val="clear" w:color="auto" w:fill="CCEEFF"/>
            <w:tcMar>
              <w:top w:w="30" w:type="dxa"/>
              <w:left w:w="20" w:type="dxa"/>
              <w:bottom w:w="30" w:type="dxa"/>
              <w:right w:w="20" w:type="dxa"/>
            </w:tcMar>
            <w:hideMark/>
          </w:tcPr>
          <w:p w:rsidR="00000000" w:rsidRDefault="00AE54EE">
            <w:pPr>
              <w:spacing w:after="100"/>
              <w:ind w:hanging="270"/>
              <w:divId w:val="823280147"/>
              <w:rPr>
                <w:rFonts w:eastAsia="Times New Roman"/>
              </w:rPr>
            </w:pPr>
            <w:r>
              <w:rPr>
                <w:rFonts w:eastAsia="Times New Roman"/>
                <w:color w:val="000000"/>
                <w:sz w:val="20"/>
                <w:szCs w:val="20"/>
              </w:rPr>
              <w:t>Income from continuing operations used in per basic and diluted common share calculations (A)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5844920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Basic weighted average common shares outstanding (B)</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201.3 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221.2 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118.0 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5844920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Impact of dilutive share-based awards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5844920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Diluted weighted average common shares outstanding (C)</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58449204"/>
        </w:trPr>
        <w:tc>
          <w:tcPr>
            <w:tcW w:w="0" w:type="auto"/>
            <w:gridSpan w:val="3"/>
            <w:shd w:val="clear" w:color="auto" w:fill="CCEEFF"/>
            <w:tcMar>
              <w:top w:w="30" w:type="dxa"/>
              <w:left w:w="20" w:type="dxa"/>
              <w:bottom w:w="30" w:type="dxa"/>
              <w:right w:w="20" w:type="dxa"/>
            </w:tcMar>
            <w:hideMark/>
          </w:tcPr>
          <w:p w:rsidR="00000000" w:rsidRDefault="00AE54EE">
            <w:pPr>
              <w:spacing w:after="100"/>
              <w:ind w:hanging="270"/>
              <w:divId w:val="1969043627"/>
              <w:rPr>
                <w:rFonts w:eastAsia="Times New Roman"/>
              </w:rPr>
            </w:pPr>
            <w:r>
              <w:rPr>
                <w:rFonts w:eastAsia="Times New Roman"/>
                <w:color w:val="000000"/>
                <w:sz w:val="20"/>
                <w:szCs w:val="20"/>
              </w:rPr>
              <w:t>Income from continuing operations per basic common share (A)/(B)</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9.17 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58449204"/>
        </w:trPr>
        <w:tc>
          <w:tcPr>
            <w:tcW w:w="0" w:type="auto"/>
            <w:gridSpan w:val="3"/>
            <w:shd w:val="clear" w:color="auto" w:fill="FFFFFF"/>
            <w:tcMar>
              <w:top w:w="30" w:type="dxa"/>
              <w:left w:w="20" w:type="dxa"/>
              <w:bottom w:w="30" w:type="dxa"/>
              <w:right w:w="20" w:type="dxa"/>
            </w:tcMar>
            <w:hideMark/>
          </w:tcPr>
          <w:p w:rsidR="00000000" w:rsidRDefault="00AE54EE">
            <w:pPr>
              <w:spacing w:after="100"/>
              <w:ind w:hanging="270"/>
              <w:divId w:val="487481456"/>
              <w:rPr>
                <w:rFonts w:eastAsia="Times New Roman"/>
              </w:rPr>
            </w:pPr>
            <w:r>
              <w:rPr>
                <w:rFonts w:eastAsia="Times New Roman"/>
                <w:color w:val="000000"/>
                <w:sz w:val="20"/>
                <w:szCs w:val="20"/>
              </w:rPr>
              <w:t>Income from continuing operations per diluted common share (A)/(C)</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042510488"/>
        <w:rPr>
          <w:rFonts w:eastAsia="Times New Roman"/>
        </w:rPr>
      </w:pPr>
      <w:r>
        <w:rPr>
          <w:rFonts w:eastAsia="Times New Roman"/>
          <w:color w:val="000000"/>
          <w:sz w:val="20"/>
          <w:szCs w:val="20"/>
        </w:rPr>
        <w:t>Potential dilutive common</w:t>
      </w:r>
      <w:r>
        <w:rPr>
          <w:rFonts w:eastAsia="Times New Roman"/>
          <w:color w:val="000000"/>
          <w:sz w:val="20"/>
          <w:szCs w:val="20"/>
        </w:rPr>
        <w:t xml:space="preserve"> shares primarily consist of employee stock options and restricted and performance unit awards. Income from continuing operations per diluted common share excludes the antidilutive impact of 0.8 million, 1.3 million, 0.6 million and 0.3 million weighted av</w:t>
      </w:r>
      <w:r>
        <w:rPr>
          <w:rFonts w:eastAsia="Times New Roman"/>
          <w:color w:val="000000"/>
          <w:sz w:val="20"/>
          <w:szCs w:val="20"/>
        </w:rPr>
        <w:t>erage share-based awards outstanding in fiscal 2021, fiscal 2020, the two quarters ended January 3, 2020 and fiscal 2019, respectively.</w:t>
      </w:r>
    </w:p>
    <w:p w:rsidR="00000000" w:rsidRDefault="00AE54EE">
      <w:pPr>
        <w:divId w:val="1456825512"/>
        <w:rPr>
          <w:rFonts w:eastAsia="Times New Roman"/>
        </w:rPr>
      </w:pPr>
      <w:r>
        <w:rPr>
          <w:rFonts w:eastAsia="Times New Roman"/>
          <w:b/>
          <w:bCs/>
          <w:color w:val="000000"/>
          <w:sz w:val="20"/>
          <w:szCs w:val="20"/>
        </w:rPr>
        <w:t xml:space="preserve">NOTE 17: RESEARCH AND DEVELOPMENT </w:t>
      </w:r>
    </w:p>
    <w:p w:rsidR="00000000" w:rsidRDefault="00AE54EE">
      <w:pPr>
        <w:ind w:firstLine="450"/>
        <w:divId w:val="919824614"/>
        <w:rPr>
          <w:rFonts w:eastAsia="Times New Roman"/>
        </w:rPr>
      </w:pPr>
      <w:r>
        <w:rPr>
          <w:rFonts w:eastAsia="Times New Roman"/>
          <w:color w:val="000000"/>
          <w:sz w:val="20"/>
          <w:szCs w:val="20"/>
        </w:rPr>
        <w:t>Company-sponsored research and development (“R&amp;D”) costs are expensed as incurred and</w:t>
      </w:r>
      <w:r>
        <w:rPr>
          <w:rFonts w:eastAsia="Times New Roman"/>
          <w:color w:val="000000"/>
          <w:sz w:val="20"/>
          <w:szCs w:val="20"/>
        </w:rPr>
        <w:t xml:space="preserve"> are included in the “Engineering, selling and administrative expenses” line item in our Consolidated Statement of Income. These costs were $692 million, $684 million, $329 million and $331 million in fiscal 2021, fiscal 2020, the two quarters ended Januar</w:t>
      </w:r>
      <w:r>
        <w:rPr>
          <w:rFonts w:eastAsia="Times New Roman"/>
          <w:color w:val="000000"/>
          <w:sz w:val="20"/>
          <w:szCs w:val="20"/>
        </w:rPr>
        <w:t>y 3, 2020 and fiscal 2019, respectively. Customer-sponsored R&amp;D costs are incurred pursuant to contractual arrangements, principally U.S. Government-sponsored contracts requiring us to provide a product or service meeting certain defined performance or oth</w:t>
      </w:r>
      <w:r>
        <w:rPr>
          <w:rFonts w:eastAsia="Times New Roman"/>
          <w:color w:val="000000"/>
          <w:sz w:val="20"/>
          <w:szCs w:val="20"/>
        </w:rPr>
        <w:t>er specifications (such as designs), and are accounted for principally by the POC cost-to-cost revenue recognition method. Customer-sponsored R&amp;D is included in our revenue and cost of product sales and services.</w:t>
      </w:r>
    </w:p>
    <w:p w:rsidR="00000000" w:rsidRDefault="00AE54EE">
      <w:pPr>
        <w:divId w:val="2035036922"/>
        <w:rPr>
          <w:rFonts w:eastAsia="Times New Roman"/>
        </w:rPr>
      </w:pPr>
      <w:r>
        <w:rPr>
          <w:rFonts w:eastAsia="Times New Roman"/>
          <w:b/>
          <w:bCs/>
          <w:color w:val="000000"/>
          <w:sz w:val="20"/>
          <w:szCs w:val="20"/>
        </w:rPr>
        <w:t>NOTE 18: LEASE COMMITMENTS</w:t>
      </w:r>
      <w:r>
        <w:rPr>
          <w:rFonts w:eastAsia="Times New Roman"/>
          <w:b/>
          <w:bCs/>
          <w:i/>
          <w:iCs/>
          <w:color w:val="000000"/>
          <w:sz w:val="20"/>
          <w:szCs w:val="20"/>
        </w:rPr>
        <w:t xml:space="preserve"> </w:t>
      </w:r>
    </w:p>
    <w:p w:rsidR="00000000" w:rsidRDefault="00AE54EE">
      <w:pPr>
        <w:ind w:firstLine="450"/>
        <w:divId w:val="678850993"/>
        <w:rPr>
          <w:rFonts w:eastAsia="Times New Roman"/>
        </w:rPr>
      </w:pPr>
      <w:r>
        <w:rPr>
          <w:rFonts w:eastAsia="Times New Roman"/>
          <w:color w:val="000000"/>
          <w:sz w:val="20"/>
          <w:szCs w:val="20"/>
        </w:rPr>
        <w:t>Our operating and finance leases at December 31, 2021 and January 1, 2021 primarily consisted of real estate leases for office space, warehouses, manufacturing, research and development facilities, tower space and land and equip</w:t>
      </w:r>
      <w:r>
        <w:rPr>
          <w:rFonts w:eastAsia="Times New Roman"/>
          <w:color w:val="000000"/>
          <w:sz w:val="20"/>
          <w:szCs w:val="20"/>
        </w:rPr>
        <w:t xml:space="preserve">ment leases. </w:t>
      </w:r>
    </w:p>
    <w:p w:rsidR="00000000" w:rsidRDefault="00AE54EE">
      <w:pPr>
        <w:ind w:firstLine="450"/>
        <w:divId w:val="876745232"/>
        <w:rPr>
          <w:rFonts w:eastAsia="Times New Roman"/>
        </w:rPr>
      </w:pPr>
      <w:r>
        <w:rPr>
          <w:rFonts w:eastAsia="Times New Roman"/>
          <w:color w:val="000000"/>
          <w:sz w:val="20"/>
          <w:szCs w:val="20"/>
        </w:rPr>
        <w:t>Operating lease cost was $172 million, $176 million and $88 million for fiscal 2021, fiscal 2020 and the two quarters ended January 3, 2020, respectively. Finance lease costs, including amortization and interest, and other lease expenses, inc</w:t>
      </w:r>
      <w:r>
        <w:rPr>
          <w:rFonts w:eastAsia="Times New Roman"/>
          <w:color w:val="000000"/>
          <w:sz w:val="20"/>
          <w:szCs w:val="20"/>
        </w:rPr>
        <w:t xml:space="preserve">luding short-term and equipment lease cost, variable lease cost and sublease income, were not material for fiscal 2021, fiscal 2020 or the two quarters ended January 3, 2020. Rental expense during fiscal 2019 was $73 million. </w:t>
      </w:r>
    </w:p>
    <w:p w:rsidR="00000000" w:rsidRDefault="00AE54EE">
      <w:pPr>
        <w:ind w:firstLine="450"/>
        <w:divId w:val="209343909"/>
        <w:rPr>
          <w:rFonts w:eastAsia="Times New Roman"/>
        </w:rPr>
      </w:pPr>
      <w:r>
        <w:rPr>
          <w:rFonts w:eastAsia="Times New Roman"/>
          <w:color w:val="000000"/>
          <w:sz w:val="20"/>
          <w:szCs w:val="20"/>
        </w:rPr>
        <w:t>On November 24, 2020, we comp</w:t>
      </w:r>
      <w:r>
        <w:rPr>
          <w:rFonts w:eastAsia="Times New Roman"/>
          <w:color w:val="000000"/>
          <w:sz w:val="20"/>
          <w:szCs w:val="20"/>
        </w:rPr>
        <w:t>leted a sale and leaseback transaction of a parcel of land and manufacturing facility located in Los Angeles, California for $92 million (net cash proceeds of $66 million after $2 million of closing costs and $24 million for a residual value guarantee paym</w:t>
      </w:r>
      <w:r>
        <w:rPr>
          <w:rFonts w:eastAsia="Times New Roman"/>
          <w:color w:val="000000"/>
          <w:sz w:val="20"/>
          <w:szCs w:val="20"/>
        </w:rPr>
        <w:t>ent). The lease has a maximum term of sixteen months (including two options to extend the lease by one month). Due to its short term nature relative to the property’s remaining economic life, the lease will be accounted for as an operating lease. We recogn</w:t>
      </w:r>
      <w:r>
        <w:rPr>
          <w:rFonts w:eastAsia="Times New Roman"/>
          <w:color w:val="000000"/>
          <w:sz w:val="20"/>
          <w:szCs w:val="20"/>
        </w:rPr>
        <w:t>ized a pre-tax gain on this sale and leaseback transaction of $22 million, which is included in the “Engineering, selling and administrative expenses” line item in our Consolidated Statement of Income for fiscal 2020.</w:t>
      </w:r>
    </w:p>
    <w:p w:rsidR="00000000" w:rsidRDefault="00AE54EE">
      <w:pPr>
        <w:ind w:firstLine="450"/>
        <w:divId w:val="1002127140"/>
        <w:rPr>
          <w:rFonts w:eastAsia="Times New Roman"/>
        </w:rPr>
      </w:pPr>
      <w:r>
        <w:rPr>
          <w:rFonts w:eastAsia="Times New Roman"/>
          <w:color w:val="000000"/>
          <w:sz w:val="20"/>
          <w:szCs w:val="20"/>
        </w:rPr>
        <w:t xml:space="preserve">As discussed in more detail in </w:t>
      </w:r>
      <w:r>
        <w:rPr>
          <w:rFonts w:eastAsia="Times New Roman"/>
          <w:i/>
          <w:iCs/>
          <w:color w:val="000000"/>
          <w:sz w:val="20"/>
          <w:szCs w:val="20"/>
        </w:rPr>
        <w:t>Note 10</w:t>
      </w:r>
      <w:r>
        <w:rPr>
          <w:rFonts w:eastAsia="Times New Roman"/>
          <w:i/>
          <w:iCs/>
          <w:color w:val="000000"/>
          <w:sz w:val="20"/>
          <w:szCs w:val="20"/>
        </w:rPr>
        <w:t>: Intangible Assets</w:t>
      </w:r>
      <w:r>
        <w:rPr>
          <w:rFonts w:eastAsia="Times New Roman"/>
          <w:color w:val="000000"/>
          <w:sz w:val="20"/>
          <w:szCs w:val="20"/>
        </w:rPr>
        <w:t xml:space="preserve"> in these Notes, during the quarter ended July 2, 2021, we tested the CTS reporting unit for potential impairment of the long-lived assets, including identifiable assets and property, plant and equipment and recorded a $145 million non-c</w:t>
      </w:r>
      <w:r>
        <w:rPr>
          <w:rFonts w:eastAsia="Times New Roman"/>
          <w:color w:val="000000"/>
          <w:sz w:val="20"/>
          <w:szCs w:val="20"/>
        </w:rPr>
        <w:t>ash charge for the impairment of CTS long-lived assets, including $19 million for impairment of ROU assets, which is included in the “Impairment of goodwill and other assets” line item in our Consolidated Statement of Income for fiscal 2021.</w:t>
      </w:r>
    </w:p>
    <w:p w:rsidR="00000000" w:rsidRDefault="00AE54EE">
      <w:pPr>
        <w:ind w:firstLine="450"/>
        <w:jc w:val="center"/>
        <w:divId w:val="1746147575"/>
        <w:rPr>
          <w:rFonts w:eastAsia="Times New Roman"/>
        </w:rPr>
      </w:pPr>
      <w:r>
        <w:rPr>
          <w:rFonts w:eastAsia="Times New Roman"/>
          <w:color w:val="000000"/>
          <w:sz w:val="20"/>
          <w:szCs w:val="20"/>
        </w:rPr>
        <w:t>109</w:t>
      </w:r>
    </w:p>
    <w:p w:rsidR="00000000" w:rsidRDefault="00AE54EE">
      <w:pPr>
        <w:rPr>
          <w:rFonts w:eastAsia="Times New Roman"/>
        </w:rPr>
      </w:pPr>
      <w:r>
        <w:rPr>
          <w:rFonts w:eastAsia="Times New Roman"/>
        </w:rPr>
        <w:pict>
          <v:rect id="_x0000_i1137" style="width:0;height:1.5pt" o:hralign="center" o:hrstd="t" o:hr="t" fillcolor="#a0a0a0" stroked="f"/>
        </w:pict>
      </w:r>
    </w:p>
    <w:p w:rsidR="00000000" w:rsidRDefault="00AE54EE">
      <w:pPr>
        <w:ind w:firstLine="450"/>
        <w:divId w:val="1558541861"/>
        <w:rPr>
          <w:rFonts w:eastAsia="Times New Roman"/>
        </w:rPr>
      </w:pPr>
    </w:p>
    <w:p w:rsidR="00000000" w:rsidRDefault="00AE54EE">
      <w:pPr>
        <w:ind w:firstLine="450"/>
        <w:divId w:val="1101334314"/>
        <w:rPr>
          <w:rFonts w:eastAsia="Times New Roman"/>
        </w:rPr>
      </w:pPr>
      <w:r>
        <w:rPr>
          <w:rFonts w:eastAsia="Times New Roman"/>
          <w:color w:val="000000"/>
          <w:sz w:val="20"/>
          <w:szCs w:val="20"/>
        </w:rPr>
        <w:t>During fiscal 2020, in conjunction with, and in advance of, the tests of goodwill related to our Commercial Aviation Solutions reporting unit, we recorded a $257 million non-cash impairment charge for long lived assets, includin</w:t>
      </w:r>
      <w:r>
        <w:rPr>
          <w:rFonts w:eastAsia="Times New Roman"/>
          <w:color w:val="000000"/>
          <w:sz w:val="20"/>
          <w:szCs w:val="20"/>
        </w:rPr>
        <w:t xml:space="preserve">g $31 million for impairment of ROU assets. Additionally, in connection with COVID restructuring actions, we recognized $5 million of non-cash impairment charges for ROU assets associated with consolidated facilities. These impairments are included in the </w:t>
      </w:r>
      <w:r>
        <w:rPr>
          <w:rFonts w:eastAsia="Times New Roman"/>
          <w:color w:val="000000"/>
          <w:sz w:val="20"/>
          <w:szCs w:val="20"/>
        </w:rPr>
        <w:t>“Impairment of goodwill and other assets” line item in our Consolidated Statement of Income for fiscal 2020.</w:t>
      </w:r>
    </w:p>
    <w:p w:rsidR="00000000" w:rsidRDefault="00AE54EE">
      <w:pPr>
        <w:ind w:firstLine="450"/>
        <w:divId w:val="1520897224"/>
        <w:rPr>
          <w:rFonts w:eastAsia="Times New Roman"/>
        </w:rPr>
      </w:pPr>
      <w:r>
        <w:rPr>
          <w:rFonts w:eastAsia="Times New Roman"/>
          <w:color w:val="000000"/>
          <w:sz w:val="20"/>
          <w:szCs w:val="20"/>
        </w:rPr>
        <w:t>Supplemental operating and finance lease balance sheet information at December 31, 2021 and January 1, 2021 is as follows:</w:t>
      </w:r>
    </w:p>
    <w:tbl>
      <w:tblPr>
        <w:tblW w:w="4964" w:type="pct"/>
        <w:tblCellMar>
          <w:top w:w="15" w:type="dxa"/>
          <w:left w:w="15" w:type="dxa"/>
          <w:bottom w:w="15" w:type="dxa"/>
          <w:right w:w="15" w:type="dxa"/>
        </w:tblCellMar>
        <w:tblLook w:val="04A0" w:firstRow="1" w:lastRow="0" w:firstColumn="1" w:lastColumn="0" w:noHBand="0" w:noVBand="1"/>
      </w:tblPr>
      <w:tblGrid>
        <w:gridCol w:w="40"/>
        <w:gridCol w:w="5653"/>
        <w:gridCol w:w="38"/>
        <w:gridCol w:w="121"/>
        <w:gridCol w:w="1046"/>
        <w:gridCol w:w="36"/>
        <w:gridCol w:w="36"/>
        <w:gridCol w:w="36"/>
        <w:gridCol w:w="36"/>
        <w:gridCol w:w="121"/>
        <w:gridCol w:w="1047"/>
        <w:gridCol w:w="36"/>
      </w:tblGrid>
      <w:tr w:rsidR="00000000">
        <w:trPr>
          <w:divId w:val="107627052"/>
        </w:trPr>
        <w:tc>
          <w:tcPr>
            <w:tcW w:w="50" w:type="pct"/>
            <w:vAlign w:val="center"/>
            <w:hideMark/>
          </w:tcPr>
          <w:p w:rsidR="00000000" w:rsidRDefault="00AE54EE">
            <w:pPr>
              <w:ind w:firstLine="450"/>
              <w:rPr>
                <w:rFonts w:eastAsia="Times New Roman"/>
              </w:rPr>
            </w:pPr>
          </w:p>
        </w:tc>
        <w:tc>
          <w:tcPr>
            <w:tcW w:w="34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07627052"/>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r>
      <w:tr w:rsidR="00000000">
        <w:trPr>
          <w:divId w:val="107627052"/>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762705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762705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Operating lease ROU assets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7627052"/>
          <w:trHeight w:val="30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762705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accrued item</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762705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Operating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762705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operating lease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7627052"/>
          <w:trHeight w:val="30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762705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7627052"/>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0762705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Property, plant and equipment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762705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Accumulated amortization</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762705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Property, plant and equipment,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7627052"/>
          <w:trHeight w:val="300"/>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0762705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Current portion of long-term deb</w:t>
            </w:r>
            <w:r>
              <w:rPr>
                <w:rFonts w:eastAsia="Times New Roman"/>
                <w:color w:val="000000"/>
                <w:sz w:val="20"/>
                <w:szCs w:val="20"/>
              </w:rPr>
              <w:t>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762705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Long-term deb</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0762705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 finance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453600588"/>
        <w:rPr>
          <w:rFonts w:eastAsia="Times New Roman"/>
        </w:rPr>
      </w:pPr>
      <w:r>
        <w:rPr>
          <w:rFonts w:eastAsia="Times New Roman"/>
          <w:color w:val="000000"/>
          <w:sz w:val="20"/>
          <w:szCs w:val="20"/>
        </w:rPr>
        <w:t>Other supplemental lease information for fiscal 2021 and 2020 is as follows:</w:t>
      </w:r>
    </w:p>
    <w:tbl>
      <w:tblPr>
        <w:tblW w:w="4964" w:type="pct"/>
        <w:tblCellMar>
          <w:top w:w="15" w:type="dxa"/>
          <w:left w:w="15" w:type="dxa"/>
          <w:bottom w:w="15" w:type="dxa"/>
          <w:right w:w="15" w:type="dxa"/>
        </w:tblCellMar>
        <w:tblLook w:val="04A0" w:firstRow="1" w:lastRow="0" w:firstColumn="1" w:lastColumn="0" w:noHBand="0" w:noVBand="1"/>
      </w:tblPr>
      <w:tblGrid>
        <w:gridCol w:w="38"/>
        <w:gridCol w:w="5505"/>
        <w:gridCol w:w="37"/>
        <w:gridCol w:w="121"/>
        <w:gridCol w:w="971"/>
        <w:gridCol w:w="187"/>
        <w:gridCol w:w="36"/>
        <w:gridCol w:w="36"/>
        <w:gridCol w:w="36"/>
        <w:gridCol w:w="120"/>
        <w:gridCol w:w="972"/>
        <w:gridCol w:w="187"/>
      </w:tblGrid>
      <w:tr w:rsidR="00000000">
        <w:trPr>
          <w:divId w:val="1966890962"/>
        </w:trPr>
        <w:tc>
          <w:tcPr>
            <w:tcW w:w="50" w:type="pct"/>
            <w:vAlign w:val="center"/>
            <w:hideMark/>
          </w:tcPr>
          <w:p w:rsidR="00000000" w:rsidRDefault="00AE54EE">
            <w:pPr>
              <w:ind w:firstLine="450"/>
              <w:rPr>
                <w:rFonts w:eastAsia="Times New Roman"/>
              </w:rPr>
            </w:pPr>
          </w:p>
        </w:tc>
        <w:tc>
          <w:tcPr>
            <w:tcW w:w="34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966890962"/>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966890962"/>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 except lease term and discount rate)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r>
      <w:tr w:rsidR="00000000">
        <w:trPr>
          <w:divId w:val="1966890962"/>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6689096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Cash paid for amounts included in the measurement of lease liabilities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6689096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Net cash provided by operating activities - operating lease payments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689096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Net cash provided by operating activities - finance lease interest payments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689096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Net cash used in financing activities - finance lease obligation payments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6890962"/>
          <w:trHeight w:val="30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6689096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Assets obtained in exchange for new lease obligations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6689096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ROU assets obtained with operating leases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689096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Property, plant and equipment obtained with finance leases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966890962"/>
          <w:trHeight w:val="30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6689096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Weighted average remaining lease term (in years)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6689096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9.8</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8.7</w:t>
            </w:r>
          </w:p>
        </w:tc>
      </w:tr>
      <w:tr w:rsidR="00000000">
        <w:trPr>
          <w:divId w:val="196689096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23.8</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23.8</w:t>
            </w:r>
          </w:p>
        </w:tc>
      </w:tr>
      <w:tr w:rsidR="00000000">
        <w:trPr>
          <w:divId w:val="196689096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Weighted average discount rate</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96689096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Operating leases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196689096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Finance leases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bl>
    <w:p w:rsidR="00000000" w:rsidRDefault="00AE54EE">
      <w:pPr>
        <w:ind w:firstLine="450"/>
        <w:divId w:val="585306928"/>
        <w:rPr>
          <w:rFonts w:eastAsia="Times New Roman"/>
        </w:rPr>
      </w:pPr>
    </w:p>
    <w:p w:rsidR="00000000" w:rsidRDefault="00AE54EE">
      <w:pPr>
        <w:ind w:firstLine="450"/>
        <w:jc w:val="center"/>
        <w:divId w:val="902957497"/>
        <w:rPr>
          <w:rFonts w:eastAsia="Times New Roman"/>
        </w:rPr>
      </w:pPr>
      <w:r>
        <w:rPr>
          <w:rFonts w:eastAsia="Times New Roman"/>
          <w:color w:val="000000"/>
          <w:sz w:val="20"/>
          <w:szCs w:val="20"/>
        </w:rPr>
        <w:t>110</w:t>
      </w:r>
    </w:p>
    <w:p w:rsidR="00000000" w:rsidRDefault="00AE54EE">
      <w:pPr>
        <w:rPr>
          <w:rFonts w:eastAsia="Times New Roman"/>
        </w:rPr>
      </w:pPr>
      <w:r>
        <w:rPr>
          <w:rFonts w:eastAsia="Times New Roman"/>
        </w:rPr>
        <w:pict>
          <v:rect id="_x0000_i1138" style="width:0;height:1.5pt" o:hralign="center" o:hrstd="t" o:hr="t" fillcolor="#a0a0a0" stroked="f"/>
        </w:pict>
      </w:r>
    </w:p>
    <w:p w:rsidR="00000000" w:rsidRDefault="00AE54EE">
      <w:pPr>
        <w:ind w:firstLine="450"/>
        <w:divId w:val="1044451703"/>
        <w:rPr>
          <w:rFonts w:eastAsia="Times New Roman"/>
        </w:rPr>
      </w:pPr>
    </w:p>
    <w:p w:rsidR="00000000" w:rsidRDefault="00AE54EE">
      <w:pPr>
        <w:ind w:firstLine="450"/>
        <w:divId w:val="1187402428"/>
        <w:rPr>
          <w:rFonts w:eastAsia="Times New Roman"/>
        </w:rPr>
      </w:pPr>
      <w:r>
        <w:rPr>
          <w:rFonts w:eastAsia="Times New Roman"/>
          <w:color w:val="000000"/>
          <w:sz w:val="20"/>
          <w:szCs w:val="20"/>
        </w:rPr>
        <w:t>Future lease payments under non-cancelable operating and finance leases at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716"/>
        <w:gridCol w:w="36"/>
        <w:gridCol w:w="121"/>
        <w:gridCol w:w="1047"/>
        <w:gridCol w:w="36"/>
        <w:gridCol w:w="36"/>
        <w:gridCol w:w="36"/>
        <w:gridCol w:w="36"/>
        <w:gridCol w:w="121"/>
        <w:gridCol w:w="1047"/>
        <w:gridCol w:w="36"/>
      </w:tblGrid>
      <w:tr w:rsidR="00000000">
        <w:trPr>
          <w:divId w:val="1667435852"/>
        </w:trPr>
        <w:tc>
          <w:tcPr>
            <w:tcW w:w="50" w:type="pct"/>
            <w:vAlign w:val="center"/>
            <w:hideMark/>
          </w:tcPr>
          <w:p w:rsidR="00000000" w:rsidRDefault="00AE54EE">
            <w:pPr>
              <w:ind w:firstLine="450"/>
              <w:rPr>
                <w:rFonts w:eastAsia="Times New Roman"/>
              </w:rPr>
            </w:pPr>
          </w:p>
        </w:tc>
        <w:tc>
          <w:tcPr>
            <w:tcW w:w="347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667435852"/>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Operating Leases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Finance Leases</w:t>
            </w:r>
          </w:p>
        </w:tc>
      </w:tr>
      <w:tr w:rsidR="00000000">
        <w:trPr>
          <w:divId w:val="1667435852"/>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6743585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2022</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6743585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6743585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6743585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6743585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6743585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6743585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472023005"/>
              <w:rPr>
                <w:rFonts w:eastAsia="Times New Roman"/>
              </w:rPr>
            </w:pPr>
            <w:r>
              <w:rPr>
                <w:rFonts w:eastAsia="Times New Roman"/>
                <w:color w:val="000000"/>
                <w:sz w:val="20"/>
                <w:szCs w:val="20"/>
              </w:rPr>
              <w:t>Total future lease payments require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67435852"/>
        </w:trPr>
        <w:tc>
          <w:tcPr>
            <w:tcW w:w="0" w:type="auto"/>
            <w:gridSpan w:val="3"/>
            <w:shd w:val="clear" w:color="auto" w:fill="FFFF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Less: imputed interest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6743585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719208440"/>
        <w:rPr>
          <w:rFonts w:eastAsia="Times New Roman"/>
        </w:rPr>
      </w:pPr>
      <w:r>
        <w:rPr>
          <w:rFonts w:eastAsia="Times New Roman"/>
          <w:color w:val="000000"/>
          <w:sz w:val="16"/>
          <w:szCs w:val="16"/>
        </w:rPr>
        <w:t>_______________</w:t>
      </w:r>
    </w:p>
    <w:p w:rsidR="00000000" w:rsidRDefault="00AE54EE">
      <w:pPr>
        <w:ind w:hanging="360"/>
        <w:divId w:val="680357563"/>
        <w:rPr>
          <w:rFonts w:eastAsia="Times New Roman"/>
        </w:rPr>
      </w:pPr>
      <w:r>
        <w:rPr>
          <w:rFonts w:eastAsia="Times New Roman"/>
          <w:color w:val="000000"/>
          <w:sz w:val="16"/>
          <w:szCs w:val="16"/>
        </w:rPr>
        <w:t xml:space="preserve">(1)Total future lease payments exclude approximately $36 million of future lease payments with lease terms of 1 to 10 </w:t>
      </w:r>
      <w:r>
        <w:rPr>
          <w:rFonts w:eastAsia="Times New Roman"/>
          <w:color w:val="000000"/>
          <w:sz w:val="16"/>
          <w:szCs w:val="16"/>
        </w:rPr>
        <w:t>years that had not yet commenced as of December 31, 2021.</w:t>
      </w:r>
    </w:p>
    <w:p w:rsidR="00000000" w:rsidRDefault="00AE54EE">
      <w:pPr>
        <w:ind w:firstLine="450"/>
        <w:divId w:val="433327536"/>
        <w:rPr>
          <w:rFonts w:eastAsia="Times New Roman"/>
        </w:rPr>
      </w:pPr>
      <w:r>
        <w:rPr>
          <w:rFonts w:eastAsia="Times New Roman"/>
          <w:color w:val="000000"/>
          <w:sz w:val="20"/>
          <w:szCs w:val="20"/>
        </w:rPr>
        <w:t xml:space="preserve">These commitments do not contain any material rent escalations, rent holidays, contingent rent, rent concessions, leasehold improvement incentives or unusual provisions or conditions. We do not consider any individual lease material to our operations. </w:t>
      </w:r>
    </w:p>
    <w:p w:rsidR="00000000" w:rsidRDefault="00AE54EE">
      <w:pPr>
        <w:divId w:val="618727212"/>
        <w:rPr>
          <w:rFonts w:eastAsia="Times New Roman"/>
        </w:rPr>
      </w:pPr>
      <w:r>
        <w:rPr>
          <w:rFonts w:eastAsia="Times New Roman"/>
          <w:b/>
          <w:bCs/>
          <w:color w:val="000000"/>
          <w:sz w:val="20"/>
          <w:szCs w:val="20"/>
        </w:rPr>
        <w:t>NOT</w:t>
      </w:r>
      <w:r>
        <w:rPr>
          <w:rFonts w:eastAsia="Times New Roman"/>
          <w:b/>
          <w:bCs/>
          <w:color w:val="000000"/>
          <w:sz w:val="20"/>
          <w:szCs w:val="20"/>
        </w:rPr>
        <w:t>E 19: DERIVATIVE INSTRUMENTS AND HEDGING ACTIVITIES</w:t>
      </w:r>
      <w:r>
        <w:rPr>
          <w:rFonts w:eastAsia="Times New Roman"/>
          <w:b/>
          <w:bCs/>
          <w:i/>
          <w:iCs/>
          <w:color w:val="000000"/>
          <w:sz w:val="20"/>
          <w:szCs w:val="20"/>
        </w:rPr>
        <w:t xml:space="preserve"> </w:t>
      </w:r>
    </w:p>
    <w:p w:rsidR="00000000" w:rsidRDefault="00AE54EE">
      <w:pPr>
        <w:ind w:firstLine="450"/>
        <w:divId w:val="674528034"/>
        <w:rPr>
          <w:rFonts w:eastAsia="Times New Roman"/>
        </w:rPr>
      </w:pPr>
      <w:r>
        <w:rPr>
          <w:rFonts w:eastAsia="Times New Roman"/>
          <w:color w:val="000000"/>
          <w:sz w:val="20"/>
          <w:szCs w:val="20"/>
        </w:rPr>
        <w:t xml:space="preserve">In the normal course of business, we are exposed to global market risks, including the effect of changes in foreign currency exchange rates. We use derivative instruments to manage our exposure to such risks and formally document all relationships between </w:t>
      </w:r>
      <w:r>
        <w:rPr>
          <w:rFonts w:eastAsia="Times New Roman"/>
          <w:color w:val="000000"/>
          <w:sz w:val="20"/>
          <w:szCs w:val="20"/>
        </w:rPr>
        <w:t>hedging instruments and hedged items, as well as the risk-management objective and strategy for undertaking hedge transactions. We also may enter into derivative instruments that are not designated as hedges and do not qualify for hedge accounting. We reco</w:t>
      </w:r>
      <w:r>
        <w:rPr>
          <w:rFonts w:eastAsia="Times New Roman"/>
          <w:color w:val="000000"/>
          <w:sz w:val="20"/>
          <w:szCs w:val="20"/>
        </w:rPr>
        <w:t>gnize all derivatives in our Consolidated Balance Sheet at fair value. We do not hold or issue derivatives for speculative trading purposes.</w:t>
      </w:r>
    </w:p>
    <w:p w:rsidR="00000000" w:rsidRDefault="00AE54EE">
      <w:pPr>
        <w:divId w:val="1961179708"/>
        <w:rPr>
          <w:rFonts w:eastAsia="Times New Roman"/>
        </w:rPr>
      </w:pPr>
      <w:r>
        <w:rPr>
          <w:rFonts w:eastAsia="Times New Roman"/>
          <w:b/>
          <w:bCs/>
          <w:color w:val="000000"/>
          <w:sz w:val="20"/>
          <w:szCs w:val="20"/>
        </w:rPr>
        <w:t>Exchange Rate Risk — Cash Flow Hedges</w:t>
      </w:r>
    </w:p>
    <w:p w:rsidR="00000000" w:rsidRDefault="00AE54EE">
      <w:pPr>
        <w:ind w:firstLine="450"/>
        <w:divId w:val="388961832"/>
        <w:rPr>
          <w:rFonts w:eastAsia="Times New Roman"/>
        </w:rPr>
      </w:pPr>
      <w:r>
        <w:rPr>
          <w:rFonts w:eastAsia="Times New Roman"/>
          <w:color w:val="000000"/>
          <w:sz w:val="20"/>
          <w:szCs w:val="20"/>
        </w:rPr>
        <w:t>To manage our exposure to currency risk and market fluctuation risk associate</w:t>
      </w:r>
      <w:r>
        <w:rPr>
          <w:rFonts w:eastAsia="Times New Roman"/>
          <w:color w:val="000000"/>
          <w:sz w:val="20"/>
          <w:szCs w:val="20"/>
        </w:rPr>
        <w:t>d with anticipated cash flows that are probable of occurring in the future, we implement cash flow hedges. More specifically, we use foreign currency forward contracts and options to hedge off-balance sheet future foreign currency commitments, including pu</w:t>
      </w:r>
      <w:r>
        <w:rPr>
          <w:rFonts w:eastAsia="Times New Roman"/>
          <w:color w:val="000000"/>
          <w:sz w:val="20"/>
          <w:szCs w:val="20"/>
        </w:rPr>
        <w:t>rchase commitments to suppliers, future committed sales to customers and intersegment transactions. These derivatives are used to hedge currency exposures from cash flows anticipated across our business segments. We also hedge U.S. Dollar payments to suppl</w:t>
      </w:r>
      <w:r>
        <w:rPr>
          <w:rFonts w:eastAsia="Times New Roman"/>
          <w:color w:val="000000"/>
          <w:sz w:val="20"/>
          <w:szCs w:val="20"/>
        </w:rPr>
        <w:t>iers to maintain our anticipated profit margins in our international operations. These derivatives have only nominal intrinsic value at the time of purchase and have a high degree of correlation to the anticipated cash flows they are designated to hedge. H</w:t>
      </w:r>
      <w:r>
        <w:rPr>
          <w:rFonts w:eastAsia="Times New Roman"/>
          <w:color w:val="000000"/>
          <w:sz w:val="20"/>
          <w:szCs w:val="20"/>
        </w:rPr>
        <w:t>edge effectiveness is determined by the correlation of the anticipated cash flows from the hedging instruments and the anticipated cash flows from the future foreign currency commitments through the maturity dates of the derivatives used to hedge these cas</w:t>
      </w:r>
      <w:r>
        <w:rPr>
          <w:rFonts w:eastAsia="Times New Roman"/>
          <w:color w:val="000000"/>
          <w:sz w:val="20"/>
          <w:szCs w:val="20"/>
        </w:rPr>
        <w:t>h flows. These financial instruments are marked-to-market using forward prices and fair value quotes with the offset to other comprehensive income (loss) and are categorized in Level 2 of the fair value hierarchy. Gains and losses in accumulated other comp</w:t>
      </w:r>
      <w:r>
        <w:rPr>
          <w:rFonts w:eastAsia="Times New Roman"/>
          <w:color w:val="000000"/>
          <w:sz w:val="20"/>
          <w:szCs w:val="20"/>
        </w:rPr>
        <w:t>rehensive loss are reclassified to earnings when the related hedged item is recognized in earnings. The cash flow impact of our derivatives is included in the same category in our Consolidated Statement of Cash Flows as the cash flows of the related hedged</w:t>
      </w:r>
      <w:r>
        <w:rPr>
          <w:rFonts w:eastAsia="Times New Roman"/>
          <w:color w:val="000000"/>
          <w:sz w:val="20"/>
          <w:szCs w:val="20"/>
        </w:rPr>
        <w:t xml:space="preserve"> items. Notional amounts are used to measure the volume of foreign currency forward contracts and do not represent exposure to foreign currency losses. At December 31, 2021, we had open foreign currency forward contracts with an aggregate notional amount o</w:t>
      </w:r>
      <w:r>
        <w:rPr>
          <w:rFonts w:eastAsia="Times New Roman"/>
          <w:color w:val="000000"/>
          <w:sz w:val="20"/>
          <w:szCs w:val="20"/>
        </w:rPr>
        <w:t>f $328 million, hedging certain forecasted transactions denominated in U.S. Dollars, Canadian Dollars, British Pounds, Euros and Australian Dollars. At January 1, 2021, we had open foreign currency forward contracts with an aggregate notional amount of $48</w:t>
      </w:r>
      <w:r>
        <w:rPr>
          <w:rFonts w:eastAsia="Times New Roman"/>
          <w:color w:val="000000"/>
          <w:sz w:val="20"/>
          <w:szCs w:val="20"/>
        </w:rPr>
        <w:t xml:space="preserve">8 million, hedging certain forecasted transactions denominated in U.S. Dollars, Canadian Dollars, British Pounds, Euros, Australian Dollars and New Zealand Dollars. </w:t>
      </w:r>
    </w:p>
    <w:p w:rsidR="00000000" w:rsidRDefault="00AE54EE">
      <w:pPr>
        <w:ind w:firstLine="450"/>
        <w:divId w:val="2110005807"/>
        <w:rPr>
          <w:rFonts w:eastAsia="Times New Roman"/>
        </w:rPr>
      </w:pPr>
      <w:r>
        <w:rPr>
          <w:rFonts w:eastAsia="Times New Roman"/>
          <w:color w:val="000000"/>
          <w:sz w:val="20"/>
          <w:szCs w:val="20"/>
        </w:rPr>
        <w:t>At December 31, 2021, our foreign currency forward contracts had maturities through 2025.</w:t>
      </w:r>
    </w:p>
    <w:p w:rsidR="00000000" w:rsidRDefault="00AE54EE">
      <w:pPr>
        <w:ind w:firstLine="450"/>
        <w:jc w:val="center"/>
        <w:divId w:val="1914394421"/>
        <w:rPr>
          <w:rFonts w:eastAsia="Times New Roman"/>
        </w:rPr>
      </w:pPr>
      <w:r>
        <w:rPr>
          <w:rFonts w:eastAsia="Times New Roman"/>
          <w:color w:val="000000"/>
          <w:sz w:val="20"/>
          <w:szCs w:val="20"/>
        </w:rPr>
        <w:t>111</w:t>
      </w:r>
    </w:p>
    <w:p w:rsidR="00000000" w:rsidRDefault="00AE54EE">
      <w:pPr>
        <w:rPr>
          <w:rFonts w:eastAsia="Times New Roman"/>
        </w:rPr>
      </w:pPr>
      <w:r>
        <w:rPr>
          <w:rFonts w:eastAsia="Times New Roman"/>
        </w:rPr>
        <w:pict>
          <v:rect id="_x0000_i1139" style="width:0;height:1.5pt" o:hralign="center" o:hrstd="t" o:hr="t" fillcolor="#a0a0a0" stroked="f"/>
        </w:pict>
      </w:r>
    </w:p>
    <w:p w:rsidR="00000000" w:rsidRDefault="00AE54EE">
      <w:pPr>
        <w:ind w:firstLine="450"/>
        <w:divId w:val="252665068"/>
        <w:rPr>
          <w:rFonts w:eastAsia="Times New Roman"/>
        </w:rPr>
      </w:pPr>
    </w:p>
    <w:p w:rsidR="00000000" w:rsidRDefault="00AE54EE">
      <w:pPr>
        <w:ind w:firstLine="450"/>
        <w:divId w:val="70664615"/>
        <w:rPr>
          <w:rFonts w:eastAsia="Times New Roman"/>
        </w:rPr>
      </w:pPr>
      <w:r>
        <w:rPr>
          <w:rFonts w:eastAsia="Times New Roman"/>
          <w:color w:val="000000"/>
          <w:sz w:val="20"/>
          <w:szCs w:val="20"/>
        </w:rPr>
        <w:t xml:space="preserve">The table below presents the fair values of our derivatives designated as foreign currency hedging instruments in our Consolidated Balance Sheet at December 31, 2021 and January 1, 2021: </w:t>
      </w:r>
    </w:p>
    <w:tbl>
      <w:tblPr>
        <w:tblW w:w="5000" w:type="pct"/>
        <w:tblCellMar>
          <w:top w:w="15" w:type="dxa"/>
          <w:left w:w="15" w:type="dxa"/>
          <w:bottom w:w="15" w:type="dxa"/>
          <w:right w:w="15" w:type="dxa"/>
        </w:tblCellMar>
        <w:tblLook w:val="04A0" w:firstRow="1" w:lastRow="0" w:firstColumn="1" w:lastColumn="0" w:noHBand="0" w:noVBand="1"/>
      </w:tblPr>
      <w:tblGrid>
        <w:gridCol w:w="38"/>
        <w:gridCol w:w="4991"/>
        <w:gridCol w:w="36"/>
        <w:gridCol w:w="36"/>
        <w:gridCol w:w="36"/>
        <w:gridCol w:w="36"/>
        <w:gridCol w:w="121"/>
        <w:gridCol w:w="857"/>
        <w:gridCol w:w="36"/>
        <w:gridCol w:w="36"/>
        <w:gridCol w:w="36"/>
        <w:gridCol w:w="36"/>
        <w:gridCol w:w="121"/>
        <w:gridCol w:w="91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887178706"/>
        </w:trPr>
        <w:tc>
          <w:tcPr>
            <w:tcW w:w="50" w:type="pct"/>
            <w:vAlign w:val="center"/>
            <w:hideMark/>
          </w:tcPr>
          <w:p w:rsidR="00000000" w:rsidRDefault="00AE54EE">
            <w:pPr>
              <w:ind w:firstLine="450"/>
              <w:rPr>
                <w:rFonts w:eastAsia="Times New Roman"/>
              </w:rPr>
            </w:pPr>
          </w:p>
        </w:tc>
        <w:tc>
          <w:tcPr>
            <w:tcW w:w="344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88717870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887178706"/>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88717870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88717870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Foreign currency forward contracts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887178706"/>
        </w:trPr>
        <w:tc>
          <w:tcPr>
            <w:tcW w:w="0" w:type="auto"/>
            <w:gridSpan w:val="3"/>
            <w:shd w:val="clear" w:color="auto" w:fill="CCEEFF"/>
            <w:tcMar>
              <w:top w:w="30" w:type="dxa"/>
              <w:left w:w="38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887178706"/>
        </w:trPr>
        <w:tc>
          <w:tcPr>
            <w:tcW w:w="0" w:type="auto"/>
            <w:gridSpan w:val="3"/>
            <w:shd w:val="clear" w:color="auto" w:fill="FFFFFF"/>
            <w:tcMar>
              <w:top w:w="30" w:type="dxa"/>
              <w:left w:w="38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887178706"/>
        </w:trPr>
        <w:tc>
          <w:tcPr>
            <w:tcW w:w="0" w:type="auto"/>
            <w:gridSpan w:val="3"/>
            <w:shd w:val="clear" w:color="auto" w:fill="CCEEFF"/>
            <w:tcMar>
              <w:top w:w="30" w:type="dxa"/>
              <w:left w:w="38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accrued items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887178706"/>
        </w:trPr>
        <w:tc>
          <w:tcPr>
            <w:tcW w:w="0" w:type="auto"/>
            <w:gridSpan w:val="3"/>
            <w:shd w:val="clear" w:color="auto" w:fill="FFFFFF"/>
            <w:tcMar>
              <w:top w:w="30" w:type="dxa"/>
              <w:left w:w="38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887178706"/>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bl>
    <w:p w:rsidR="00000000" w:rsidRDefault="00AE54EE">
      <w:pPr>
        <w:ind w:firstLine="450"/>
        <w:divId w:val="1890993410"/>
        <w:rPr>
          <w:rFonts w:eastAsia="Times New Roman"/>
        </w:rPr>
      </w:pPr>
      <w:r>
        <w:rPr>
          <w:rFonts w:eastAsia="Times New Roman"/>
          <w:color w:val="000000"/>
          <w:sz w:val="20"/>
          <w:szCs w:val="20"/>
        </w:rPr>
        <w:t>Net unrealized gains recognized in other comprehensive income from foreign currency derivatives designated as cash flow hedges were not material in fiscal 2021, in the two quarters ended January 3, 2020 or in fiscal 2019, and were $12 million in fiscal 202</w:t>
      </w:r>
      <w:r>
        <w:rPr>
          <w:rFonts w:eastAsia="Times New Roman"/>
          <w:color w:val="000000"/>
          <w:sz w:val="20"/>
          <w:szCs w:val="20"/>
        </w:rPr>
        <w:t>0. Net gains reclassified from accumulated other comprehensive income in to earnings from foreign currency derivatives designated as cash flow hedges were $20 million in fiscal 2021 and were not material in fiscal 2020, the two quarters ended January 3, 20</w:t>
      </w:r>
      <w:r>
        <w:rPr>
          <w:rFonts w:eastAsia="Times New Roman"/>
          <w:color w:val="000000"/>
          <w:sz w:val="20"/>
          <w:szCs w:val="20"/>
        </w:rPr>
        <w:t xml:space="preserve">20 or fiscal 2019. </w:t>
      </w:r>
    </w:p>
    <w:p w:rsidR="00000000" w:rsidRDefault="00AE54EE">
      <w:pPr>
        <w:ind w:firstLine="450"/>
        <w:divId w:val="1940408816"/>
        <w:rPr>
          <w:rFonts w:eastAsia="Times New Roman"/>
        </w:rPr>
      </w:pPr>
      <w:r>
        <w:rPr>
          <w:rFonts w:eastAsia="Times New Roman"/>
          <w:color w:val="000000"/>
          <w:sz w:val="20"/>
          <w:szCs w:val="20"/>
        </w:rPr>
        <w:t>Gains and losses from foreign currency derivatives designated as cash flow hedges are included in the line item in our Consolidated Statement of Income associated with the hedged transaction, with the exception of the losses resulting f</w:t>
      </w:r>
      <w:r>
        <w:rPr>
          <w:rFonts w:eastAsia="Times New Roman"/>
          <w:color w:val="000000"/>
          <w:sz w:val="20"/>
          <w:szCs w:val="20"/>
        </w:rPr>
        <w:t xml:space="preserve">rom discontinued cash flow hedges, which are included in the “Engineering, selling and administrative expenses” line item in our Consolidated Statement of Income. </w:t>
      </w:r>
    </w:p>
    <w:p w:rsidR="00000000" w:rsidRDefault="00AE54EE">
      <w:pPr>
        <w:ind w:firstLine="450"/>
        <w:divId w:val="547377598"/>
        <w:rPr>
          <w:rFonts w:eastAsia="Times New Roman"/>
        </w:rPr>
      </w:pPr>
      <w:r>
        <w:rPr>
          <w:rFonts w:eastAsia="Times New Roman"/>
          <w:color w:val="000000"/>
          <w:sz w:val="20"/>
          <w:szCs w:val="20"/>
        </w:rPr>
        <w:t>At December 31, 2021, the estimated amount of existing losses to be reclassified into earnin</w:t>
      </w:r>
      <w:r>
        <w:rPr>
          <w:rFonts w:eastAsia="Times New Roman"/>
          <w:color w:val="000000"/>
          <w:sz w:val="20"/>
          <w:szCs w:val="20"/>
        </w:rPr>
        <w:t>gs within the next twelve months was $3 million.</w:t>
      </w:r>
    </w:p>
    <w:p w:rsidR="00000000" w:rsidRDefault="00AE54EE">
      <w:pPr>
        <w:divId w:val="2011563292"/>
        <w:rPr>
          <w:rFonts w:eastAsia="Times New Roman"/>
        </w:rPr>
      </w:pPr>
      <w:r>
        <w:rPr>
          <w:rFonts w:eastAsia="Times New Roman"/>
          <w:b/>
          <w:bCs/>
          <w:color w:val="000000"/>
          <w:sz w:val="20"/>
          <w:szCs w:val="20"/>
        </w:rPr>
        <w:t xml:space="preserve">Interest-Rate Risk — Cash Flow Hedges </w:t>
      </w:r>
    </w:p>
    <w:p w:rsidR="00000000" w:rsidRDefault="00AE54EE">
      <w:pPr>
        <w:ind w:firstLine="450"/>
        <w:divId w:val="10690882"/>
        <w:rPr>
          <w:rFonts w:eastAsia="Times New Roman"/>
        </w:rPr>
      </w:pPr>
      <w:r>
        <w:rPr>
          <w:rFonts w:eastAsia="Times New Roman"/>
          <w:color w:val="000000"/>
          <w:sz w:val="20"/>
          <w:szCs w:val="20"/>
        </w:rPr>
        <w:t>At December 31, 2021 and January 1, 2021, we had no treasury lock agreements (“treasury locks”) classified as cash flow hedges.</w:t>
      </w:r>
    </w:p>
    <w:p w:rsidR="00000000" w:rsidRDefault="00AE54EE">
      <w:pPr>
        <w:ind w:firstLine="450"/>
        <w:divId w:val="1872914877"/>
        <w:rPr>
          <w:rFonts w:eastAsia="Times New Roman"/>
        </w:rPr>
      </w:pPr>
      <w:r>
        <w:rPr>
          <w:rFonts w:eastAsia="Times New Roman"/>
          <w:color w:val="000000"/>
          <w:sz w:val="20"/>
          <w:szCs w:val="20"/>
        </w:rPr>
        <w:t>On November 25, 2020, in order to fund o</w:t>
      </w:r>
      <w:r>
        <w:rPr>
          <w:rFonts w:eastAsia="Times New Roman"/>
          <w:color w:val="000000"/>
          <w:sz w:val="20"/>
          <w:szCs w:val="20"/>
        </w:rPr>
        <w:t xml:space="preserve">ur optional redemption of the 4.95% 2021 Notes as described in </w:t>
      </w:r>
      <w:r>
        <w:rPr>
          <w:rFonts w:eastAsia="Times New Roman"/>
          <w:i/>
          <w:iCs/>
          <w:color w:val="000000"/>
          <w:sz w:val="20"/>
          <w:szCs w:val="20"/>
        </w:rPr>
        <w:t>Note 13: Debt</w:t>
      </w:r>
      <w:r>
        <w:rPr>
          <w:rFonts w:eastAsia="Times New Roman"/>
          <w:color w:val="000000"/>
          <w:sz w:val="20"/>
          <w:szCs w:val="20"/>
        </w:rPr>
        <w:t xml:space="preserve"> in these Notes, we completed the issuance of $650 million in aggregate principal amount of the 1.80% 2031 Notes. In connection with the L3Harris Merger, we assumed two treasury lo</w:t>
      </w:r>
      <w:r>
        <w:rPr>
          <w:rFonts w:eastAsia="Times New Roman"/>
          <w:color w:val="000000"/>
          <w:sz w:val="20"/>
          <w:szCs w:val="20"/>
        </w:rPr>
        <w:t xml:space="preserve">cks that were initiated in January 2019 to hedge against fluctuations in interest payments due to changes in the benchmark interest rate (10-year U.S. Treasury rate) associated with the anticipated issuance of debt to redeem or repay the 4.95% 2021 Notes. </w:t>
      </w:r>
      <w:r>
        <w:rPr>
          <w:rFonts w:eastAsia="Times New Roman"/>
          <w:color w:val="000000"/>
          <w:sz w:val="20"/>
          <w:szCs w:val="20"/>
        </w:rPr>
        <w:t>These treasury locks were terminated as planned in connection with our issuance of the 1.80% 2031 Notes during the quarter ended January 1, 2021, and because interest rates decreased during the period of the treasury locks, we made a cash payment to our co</w:t>
      </w:r>
      <w:r>
        <w:rPr>
          <w:rFonts w:eastAsia="Times New Roman"/>
          <w:color w:val="000000"/>
          <w:sz w:val="20"/>
          <w:szCs w:val="20"/>
        </w:rPr>
        <w:t xml:space="preserve">unterparty and recorded an after-tax loss of $58 million in the “Accumulated other comprehensive loss” line item of our Consolidated Balance Sheet. The accumulated other comprehensive loss balance will be amortized to interest expense over the life of the </w:t>
      </w:r>
      <w:r>
        <w:rPr>
          <w:rFonts w:eastAsia="Times New Roman"/>
          <w:color w:val="000000"/>
          <w:sz w:val="20"/>
          <w:szCs w:val="20"/>
        </w:rPr>
        <w:t xml:space="preserve">1.80% 2031 Notes. We classified the cash outflow from the termination of these treasury locks as cash used in financing activities in our Consolidated Statement of Cash Flows. </w:t>
      </w:r>
    </w:p>
    <w:p w:rsidR="00000000" w:rsidRDefault="00AE54EE">
      <w:pPr>
        <w:divId w:val="387149136"/>
        <w:rPr>
          <w:rFonts w:eastAsia="Times New Roman"/>
        </w:rPr>
      </w:pPr>
      <w:r>
        <w:rPr>
          <w:rFonts w:eastAsia="Times New Roman"/>
          <w:b/>
          <w:bCs/>
          <w:color w:val="000000"/>
          <w:sz w:val="20"/>
          <w:szCs w:val="20"/>
        </w:rPr>
        <w:t>Credit Risk</w:t>
      </w:r>
    </w:p>
    <w:p w:rsidR="00000000" w:rsidRDefault="00AE54EE">
      <w:pPr>
        <w:ind w:firstLine="450"/>
        <w:divId w:val="1345355564"/>
        <w:rPr>
          <w:rFonts w:eastAsia="Times New Roman"/>
        </w:rPr>
      </w:pPr>
      <w:r>
        <w:rPr>
          <w:rFonts w:eastAsia="Times New Roman"/>
          <w:color w:val="000000"/>
          <w:sz w:val="20"/>
          <w:szCs w:val="20"/>
        </w:rPr>
        <w:t>We are exposed to the risk of credit losses from non-performance by</w:t>
      </w:r>
      <w:r>
        <w:rPr>
          <w:rFonts w:eastAsia="Times New Roman"/>
          <w:color w:val="000000"/>
          <w:sz w:val="20"/>
          <w:szCs w:val="20"/>
        </w:rPr>
        <w:t xml:space="preserve"> counterparties to the financial instruments discussed above, but we do not expect any of the counterparties to fail to meet their obligations. To manage credit risks, we select counterparties based on credit ratings, limit our exposure to any single count</w:t>
      </w:r>
      <w:r>
        <w:rPr>
          <w:rFonts w:eastAsia="Times New Roman"/>
          <w:color w:val="000000"/>
          <w:sz w:val="20"/>
          <w:szCs w:val="20"/>
        </w:rPr>
        <w:t>erparty under defined guidelines and monitor the market position with each counterparty.</w:t>
      </w:r>
    </w:p>
    <w:p w:rsidR="00000000" w:rsidRDefault="00AE54EE">
      <w:pPr>
        <w:ind w:firstLine="450"/>
        <w:jc w:val="center"/>
        <w:divId w:val="1449814750"/>
        <w:rPr>
          <w:rFonts w:eastAsia="Times New Roman"/>
        </w:rPr>
      </w:pPr>
      <w:r>
        <w:rPr>
          <w:rFonts w:eastAsia="Times New Roman"/>
          <w:color w:val="000000"/>
          <w:sz w:val="20"/>
          <w:szCs w:val="20"/>
        </w:rPr>
        <w:t>112</w:t>
      </w:r>
    </w:p>
    <w:p w:rsidR="00000000" w:rsidRDefault="00AE54EE">
      <w:pPr>
        <w:rPr>
          <w:rFonts w:eastAsia="Times New Roman"/>
        </w:rPr>
      </w:pPr>
      <w:r>
        <w:rPr>
          <w:rFonts w:eastAsia="Times New Roman"/>
        </w:rPr>
        <w:pict>
          <v:rect id="_x0000_i1140" style="width:0;height:1.5pt" o:hralign="center" o:hrstd="t" o:hr="t" fillcolor="#a0a0a0" stroked="f"/>
        </w:pict>
      </w:r>
    </w:p>
    <w:p w:rsidR="00000000" w:rsidRDefault="00AE54EE">
      <w:pPr>
        <w:ind w:firstLine="450"/>
        <w:divId w:val="238251047"/>
        <w:rPr>
          <w:rFonts w:eastAsia="Times New Roman"/>
        </w:rPr>
      </w:pPr>
    </w:p>
    <w:p w:rsidR="00000000" w:rsidRDefault="00AE54EE">
      <w:pPr>
        <w:divId w:val="1236624349"/>
        <w:rPr>
          <w:rFonts w:eastAsia="Times New Roman"/>
        </w:rPr>
      </w:pPr>
      <w:r>
        <w:rPr>
          <w:rFonts w:eastAsia="Times New Roman"/>
          <w:b/>
          <w:bCs/>
          <w:color w:val="000000"/>
          <w:sz w:val="20"/>
          <w:szCs w:val="20"/>
        </w:rPr>
        <w:t xml:space="preserve">NOTE 20: NON-OPERATING INCOME </w:t>
      </w:r>
    </w:p>
    <w:p w:rsidR="00000000" w:rsidRDefault="00AE54EE">
      <w:pPr>
        <w:ind w:firstLine="450"/>
        <w:divId w:val="1167093791"/>
        <w:rPr>
          <w:rFonts w:eastAsia="Times New Roman"/>
        </w:rPr>
      </w:pPr>
      <w:r>
        <w:rPr>
          <w:rFonts w:eastAsia="Times New Roman"/>
          <w:color w:val="000000"/>
          <w:sz w:val="20"/>
          <w:szCs w:val="20"/>
        </w:rPr>
        <w:t>The components of non-operating income were as follows:</w:t>
      </w:r>
    </w:p>
    <w:tbl>
      <w:tblPr>
        <w:tblW w:w="4985" w:type="pct"/>
        <w:tblCellMar>
          <w:top w:w="15" w:type="dxa"/>
          <w:left w:w="15" w:type="dxa"/>
          <w:bottom w:w="15" w:type="dxa"/>
          <w:right w:w="15" w:type="dxa"/>
        </w:tblCellMar>
        <w:tblLook w:val="04A0" w:firstRow="1" w:lastRow="0" w:firstColumn="1" w:lastColumn="0" w:noHBand="0" w:noVBand="1"/>
      </w:tblPr>
      <w:tblGrid>
        <w:gridCol w:w="39"/>
        <w:gridCol w:w="3813"/>
        <w:gridCol w:w="37"/>
        <w:gridCol w:w="121"/>
        <w:gridCol w:w="991"/>
        <w:gridCol w:w="36"/>
        <w:gridCol w:w="36"/>
        <w:gridCol w:w="36"/>
        <w:gridCol w:w="36"/>
        <w:gridCol w:w="121"/>
        <w:gridCol w:w="816"/>
        <w:gridCol w:w="37"/>
        <w:gridCol w:w="36"/>
        <w:gridCol w:w="36"/>
        <w:gridCol w:w="36"/>
        <w:gridCol w:w="121"/>
        <w:gridCol w:w="816"/>
        <w:gridCol w:w="36"/>
        <w:gridCol w:w="36"/>
        <w:gridCol w:w="36"/>
        <w:gridCol w:w="36"/>
        <w:gridCol w:w="120"/>
        <w:gridCol w:w="817"/>
        <w:gridCol w:w="36"/>
      </w:tblGrid>
      <w:tr w:rsidR="00000000">
        <w:trPr>
          <w:divId w:val="150222244"/>
        </w:trPr>
        <w:tc>
          <w:tcPr>
            <w:tcW w:w="50" w:type="pct"/>
            <w:vAlign w:val="center"/>
            <w:hideMark/>
          </w:tcPr>
          <w:p w:rsidR="00000000" w:rsidRDefault="00AE54EE">
            <w:pPr>
              <w:ind w:firstLine="450"/>
              <w:rPr>
                <w:rFonts w:eastAsia="Times New Roman"/>
              </w:rPr>
            </w:pPr>
          </w:p>
        </w:tc>
        <w:tc>
          <w:tcPr>
            <w:tcW w:w="233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5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5022224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5022224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50222244"/>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0222244"/>
        </w:trPr>
        <w:tc>
          <w:tcPr>
            <w:tcW w:w="0" w:type="auto"/>
            <w:gridSpan w:val="3"/>
            <w:shd w:val="clear" w:color="auto" w:fill="CCEEFF"/>
            <w:tcMar>
              <w:top w:w="30" w:type="dxa"/>
              <w:left w:w="20" w:type="dxa"/>
              <w:bottom w:w="30" w:type="dxa"/>
              <w:right w:w="20" w:type="dxa"/>
            </w:tcMar>
            <w:hideMark/>
          </w:tcPr>
          <w:p w:rsidR="00000000" w:rsidRDefault="00AE54EE">
            <w:pPr>
              <w:spacing w:after="100"/>
              <w:ind w:hanging="270"/>
              <w:divId w:val="2064862599"/>
              <w:rPr>
                <w:rFonts w:eastAsia="Times New Roman"/>
              </w:rPr>
            </w:pPr>
            <w:r>
              <w:rPr>
                <w:rFonts w:eastAsia="Times New Roman"/>
                <w:color w:val="000000"/>
                <w:sz w:val="20"/>
                <w:szCs w:val="20"/>
              </w:rPr>
              <w:t>Non-service cost components of net periodic benefit incom</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0222244"/>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Gain on pension plan curtailment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0222244"/>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459449471"/>
              <w:rPr>
                <w:rFonts w:eastAsia="Times New Roman"/>
              </w:rPr>
            </w:pPr>
            <w:r>
              <w:rPr>
                <w:rFonts w:eastAsia="Times New Roman"/>
                <w:color w:val="000000"/>
                <w:sz w:val="20"/>
                <w:szCs w:val="20"/>
              </w:rPr>
              <w:t>Gain (loss) on extinguishment of deb</w:t>
            </w:r>
            <w:r>
              <w:rPr>
                <w:rFonts w:eastAsia="Times New Roman"/>
                <w:color w:val="000000"/>
                <w:sz w:val="20"/>
                <w:szCs w:val="20"/>
              </w:rPr>
              <w:t>t</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0222244"/>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50222244"/>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15022224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Impairment of equity method investment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022224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0222244"/>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1913462341"/>
        <w:rPr>
          <w:rFonts w:eastAsia="Times New Roman"/>
        </w:rPr>
      </w:pPr>
      <w:r>
        <w:rPr>
          <w:rFonts w:eastAsia="Times New Roman"/>
          <w:color w:val="000000"/>
          <w:sz w:val="16"/>
          <w:szCs w:val="16"/>
        </w:rPr>
        <w:t>_______________</w:t>
      </w:r>
    </w:p>
    <w:p w:rsidR="00000000" w:rsidRDefault="00AE54EE">
      <w:pPr>
        <w:ind w:hanging="360"/>
        <w:divId w:val="1487235820"/>
        <w:rPr>
          <w:rFonts w:eastAsia="Times New Roman"/>
        </w:rPr>
      </w:pPr>
      <w:r>
        <w:rPr>
          <w:rFonts w:eastAsia="Times New Roman"/>
          <w:color w:val="000000"/>
          <w:sz w:val="16"/>
          <w:szCs w:val="16"/>
        </w:rPr>
        <w:t>(1)Non-service cost components of net periodic benefit income recorde</w:t>
      </w:r>
      <w:r>
        <w:rPr>
          <w:rFonts w:eastAsia="Times New Roman"/>
          <w:color w:val="000000"/>
          <w:sz w:val="16"/>
          <w:szCs w:val="16"/>
        </w:rPr>
        <w:t>d in the “Non-operating income” line item in our Consolidated Statement of Income include interest cost, expected return on plan assets, amortization of net actuarial gain and effect of curtailments or settlements under our pension and postretirement benef</w:t>
      </w:r>
      <w:r>
        <w:rPr>
          <w:rFonts w:eastAsia="Times New Roman"/>
          <w:color w:val="000000"/>
          <w:sz w:val="16"/>
          <w:szCs w:val="16"/>
        </w:rPr>
        <w:t>it plans.</w:t>
      </w:r>
    </w:p>
    <w:p w:rsidR="00000000" w:rsidRDefault="00AE54EE">
      <w:pPr>
        <w:ind w:hanging="360"/>
        <w:divId w:val="77867777"/>
        <w:rPr>
          <w:rFonts w:eastAsia="Times New Roman"/>
        </w:rPr>
      </w:pPr>
      <w:r>
        <w:rPr>
          <w:rFonts w:eastAsia="Times New Roman"/>
          <w:color w:val="000000"/>
          <w:sz w:val="16"/>
          <w:szCs w:val="16"/>
        </w:rPr>
        <w:t>(2)Gain associated with our optional redemption of the entire outstanding $650 million principal amount of our 4.95% 2021 Notes in fiscal 2020; loss associated with our optional redemption of the entire outstanding $400 million principal amount o</w:t>
      </w:r>
      <w:r>
        <w:rPr>
          <w:rFonts w:eastAsia="Times New Roman"/>
          <w:color w:val="000000"/>
          <w:sz w:val="16"/>
          <w:szCs w:val="16"/>
        </w:rPr>
        <w:t xml:space="preserve">f our 2.70% 2020 Notes in the two quarters ended January 3, 2020. See. </w:t>
      </w:r>
      <w:r>
        <w:rPr>
          <w:rFonts w:eastAsia="Times New Roman"/>
          <w:i/>
          <w:iCs/>
          <w:color w:val="000000"/>
          <w:sz w:val="16"/>
          <w:szCs w:val="16"/>
        </w:rPr>
        <w:t>Note 13: Debt</w:t>
      </w:r>
      <w:r>
        <w:rPr>
          <w:rFonts w:eastAsia="Times New Roman"/>
          <w:color w:val="000000"/>
          <w:sz w:val="16"/>
          <w:szCs w:val="16"/>
        </w:rPr>
        <w:t xml:space="preserve"> in these Notes for additional information.</w:t>
      </w:r>
    </w:p>
    <w:p w:rsidR="00000000" w:rsidRDefault="00AE54EE">
      <w:pPr>
        <w:divId w:val="1810636098"/>
        <w:rPr>
          <w:rFonts w:eastAsia="Times New Roman"/>
        </w:rPr>
      </w:pPr>
      <w:r>
        <w:rPr>
          <w:rFonts w:eastAsia="Times New Roman"/>
          <w:b/>
          <w:bCs/>
          <w:color w:val="000000"/>
          <w:sz w:val="20"/>
          <w:szCs w:val="20"/>
        </w:rPr>
        <w:t>NOTE 21: ACCUMULATED OTHER COMPREHENSIVE LOSS (“AOCI”)</w:t>
      </w:r>
      <w:r>
        <w:rPr>
          <w:rFonts w:eastAsia="Times New Roman"/>
          <w:b/>
          <w:bCs/>
          <w:i/>
          <w:iCs/>
          <w:color w:val="000000"/>
          <w:sz w:val="20"/>
          <w:szCs w:val="20"/>
        </w:rPr>
        <w:t xml:space="preserve"> </w:t>
      </w:r>
    </w:p>
    <w:p w:rsidR="00000000" w:rsidRDefault="00AE54EE">
      <w:pPr>
        <w:ind w:firstLine="450"/>
        <w:divId w:val="2011832584"/>
        <w:rPr>
          <w:rFonts w:eastAsia="Times New Roman"/>
        </w:rPr>
      </w:pPr>
      <w:r>
        <w:rPr>
          <w:rFonts w:eastAsia="Times New Roman"/>
          <w:color w:val="000000"/>
          <w:sz w:val="20"/>
          <w:szCs w:val="20"/>
        </w:rPr>
        <w:t>The components of AOCI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3348"/>
        <w:gridCol w:w="39"/>
        <w:gridCol w:w="121"/>
        <w:gridCol w:w="1015"/>
        <w:gridCol w:w="36"/>
        <w:gridCol w:w="36"/>
        <w:gridCol w:w="36"/>
        <w:gridCol w:w="36"/>
        <w:gridCol w:w="121"/>
        <w:gridCol w:w="970"/>
        <w:gridCol w:w="36"/>
        <w:gridCol w:w="36"/>
        <w:gridCol w:w="36"/>
        <w:gridCol w:w="36"/>
        <w:gridCol w:w="121"/>
        <w:gridCol w:w="970"/>
        <w:gridCol w:w="36"/>
        <w:gridCol w:w="36"/>
        <w:gridCol w:w="36"/>
        <w:gridCol w:w="36"/>
        <w:gridCol w:w="120"/>
        <w:gridCol w:w="973"/>
        <w:gridCol w:w="36"/>
      </w:tblGrid>
      <w:tr w:rsidR="00000000">
        <w:trPr>
          <w:divId w:val="669336575"/>
        </w:trPr>
        <w:tc>
          <w:tcPr>
            <w:tcW w:w="50" w:type="pct"/>
            <w:vAlign w:val="center"/>
            <w:hideMark/>
          </w:tcPr>
          <w:p w:rsidR="00000000" w:rsidRDefault="00AE54EE">
            <w:pPr>
              <w:ind w:firstLine="450"/>
              <w:rPr>
                <w:rFonts w:eastAsia="Times New Roman"/>
              </w:rPr>
            </w:pPr>
          </w:p>
        </w:tc>
        <w:tc>
          <w:tcPr>
            <w:tcW w:w="204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4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4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4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4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669336575"/>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Foreign currency translation</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Net unrealized losses on hedging derivatives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Unrecognized postretirement obligations</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Total AOCI</w:t>
            </w:r>
          </w:p>
        </w:tc>
      </w:tr>
      <w:tr w:rsidR="00000000">
        <w:trPr>
          <w:divId w:val="669336575"/>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669336575"/>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(372)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(508)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FFFFFF"/>
            <w:tcMar>
              <w:top w:w="30" w:type="dxa"/>
              <w:left w:w="335" w:type="dxa"/>
              <w:bottom w:w="30" w:type="dxa"/>
              <w:right w:w="20" w:type="dxa"/>
            </w:tcMar>
            <w:vAlign w:val="bottom"/>
            <w:hideMark/>
          </w:tcPr>
          <w:p w:rsidR="00000000" w:rsidRDefault="00AE54EE">
            <w:pPr>
              <w:spacing w:after="100"/>
              <w:ind w:hanging="180"/>
              <w:rPr>
                <w:rFonts w:eastAsia="Times New Roman"/>
              </w:rPr>
            </w:pPr>
            <w:r>
              <w:rPr>
                <w:rFonts w:eastAsia="Times New Roman"/>
                <w:color w:val="000000"/>
                <w:sz w:val="20"/>
                <w:szCs w:val="20"/>
              </w:rPr>
              <w:t>Other comprehensive (loss) income, before 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CCEE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FFFFFF"/>
            <w:tcMar>
              <w:top w:w="30" w:type="dxa"/>
              <w:left w:w="335" w:type="dxa"/>
              <w:bottom w:w="30" w:type="dxa"/>
              <w:right w:w="20" w:type="dxa"/>
            </w:tcMar>
            <w:vAlign w:val="bottom"/>
            <w:hideMark/>
          </w:tcPr>
          <w:p w:rsidR="00000000" w:rsidRDefault="00AE54EE">
            <w:pPr>
              <w:spacing w:after="100"/>
              <w:ind w:hanging="180"/>
              <w:rPr>
                <w:rFonts w:eastAsia="Times New Roman"/>
              </w:rPr>
            </w:pPr>
            <w:r>
              <w:rPr>
                <w:rFonts w:eastAsia="Times New Roman"/>
                <w:color w:val="000000"/>
                <w:sz w:val="20"/>
                <w:szCs w:val="20"/>
              </w:rPr>
              <w:t>Other comprehensive (loss) income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408991053"/>
              <w:rPr>
                <w:rFonts w:eastAsia="Times New Roman"/>
              </w:rPr>
            </w:pPr>
            <w:r>
              <w:rPr>
                <w:rFonts w:eastAsia="Times New Roman"/>
                <w:color w:val="000000"/>
                <w:sz w:val="20"/>
                <w:szCs w:val="20"/>
              </w:rPr>
              <w:t>(Gains) losses reclassified to earning</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FFFF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CCEEFF"/>
            <w:tcMar>
              <w:top w:w="30" w:type="dxa"/>
              <w:left w:w="32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(Gains) losses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FFFFFF"/>
            <w:tcMar>
              <w:top w:w="30" w:type="dxa"/>
              <w:left w:w="200" w:type="dxa"/>
              <w:bottom w:w="30" w:type="dxa"/>
              <w:right w:w="20" w:type="dxa"/>
            </w:tcMar>
            <w:vAlign w:val="bottom"/>
            <w:hideMark/>
          </w:tcPr>
          <w:p w:rsidR="00000000" w:rsidRDefault="00AE54EE">
            <w:pPr>
              <w:spacing w:after="100"/>
              <w:ind w:hanging="180"/>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Balance at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(701)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839)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FFFFFF"/>
            <w:tcMar>
              <w:top w:w="30" w:type="dxa"/>
              <w:left w:w="335" w:type="dxa"/>
              <w:bottom w:w="30" w:type="dxa"/>
              <w:right w:w="20" w:type="dxa"/>
            </w:tcMar>
            <w:vAlign w:val="bottom"/>
            <w:hideMark/>
          </w:tcPr>
          <w:p w:rsidR="00000000" w:rsidRDefault="00AE54EE">
            <w:pPr>
              <w:spacing w:after="100"/>
              <w:ind w:hanging="180"/>
              <w:rPr>
                <w:rFonts w:eastAsia="Times New Roman"/>
              </w:rPr>
            </w:pPr>
            <w:r>
              <w:rPr>
                <w:rFonts w:eastAsia="Times New Roman"/>
                <w:color w:val="000000"/>
                <w:sz w:val="20"/>
                <w:szCs w:val="20"/>
              </w:rPr>
              <w:t>Other comprehensive income (loss), before 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1,013 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CCEE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FFFFFF"/>
            <w:tcMar>
              <w:top w:w="30" w:type="dxa"/>
              <w:left w:w="335" w:type="dxa"/>
              <w:bottom w:w="30" w:type="dxa"/>
              <w:right w:w="20" w:type="dxa"/>
            </w:tcMar>
            <w:vAlign w:val="bottom"/>
            <w:hideMark/>
          </w:tcPr>
          <w:p w:rsidR="00000000" w:rsidRDefault="00AE54EE">
            <w:pPr>
              <w:spacing w:after="100"/>
              <w:ind w:hanging="180"/>
              <w:rPr>
                <w:rFonts w:eastAsia="Times New Roman"/>
              </w:rPr>
            </w:pPr>
            <w:r>
              <w:rPr>
                <w:rFonts w:eastAsia="Times New Roman"/>
                <w:color w:val="000000"/>
                <w:sz w:val="20"/>
                <w:szCs w:val="20"/>
              </w:rPr>
              <w:t xml:space="preserve">Other comprehensive </w:t>
            </w:r>
            <w:r>
              <w:rPr>
                <w:rFonts w:eastAsia="Times New Roman"/>
                <w:color w:val="000000"/>
                <w:sz w:val="20"/>
                <w:szCs w:val="20"/>
              </w:rPr>
              <w:t>income (loss)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286159770"/>
              <w:rPr>
                <w:rFonts w:eastAsia="Times New Roman"/>
              </w:rPr>
            </w:pPr>
            <w:r>
              <w:rPr>
                <w:rFonts w:eastAsia="Times New Roman"/>
                <w:color w:val="000000"/>
                <w:sz w:val="20"/>
                <w:szCs w:val="20"/>
              </w:rPr>
              <w:t>Losses (gains) reclassified to earning</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FFFFFF"/>
            <w:tcMar>
              <w:top w:w="30" w:type="dxa"/>
              <w:left w:w="155"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CCEEFF"/>
            <w:tcMar>
              <w:top w:w="30" w:type="dxa"/>
              <w:left w:w="32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Losses (gains)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FFFFFF"/>
            <w:tcMar>
              <w:top w:w="30" w:type="dxa"/>
              <w:left w:w="200" w:type="dxa"/>
              <w:bottom w:w="30" w:type="dxa"/>
              <w:right w:w="20" w:type="dxa"/>
            </w:tcMar>
            <w:vAlign w:val="bottom"/>
            <w:hideMark/>
          </w:tcPr>
          <w:p w:rsidR="00000000" w:rsidRDefault="00AE54EE">
            <w:pPr>
              <w:spacing w:after="100"/>
              <w:ind w:hanging="180"/>
              <w:rPr>
                <w:rFonts w:eastAsia="Times New Roman"/>
              </w:rPr>
            </w:pPr>
            <w:r>
              <w:rPr>
                <w:rFonts w:eastAsia="Times New Roman"/>
                <w:color w:val="000000"/>
                <w:sz w:val="20"/>
                <w:szCs w:val="20"/>
              </w:rPr>
              <w:t>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669336575"/>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Balance at December 31,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(118)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146)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940600996"/>
        <w:rPr>
          <w:rFonts w:eastAsia="Times New Roman"/>
        </w:rPr>
      </w:pPr>
      <w:r>
        <w:rPr>
          <w:rFonts w:eastAsia="Times New Roman"/>
          <w:color w:val="000000"/>
          <w:sz w:val="16"/>
          <w:szCs w:val="16"/>
        </w:rPr>
        <w:t>_______________</w:t>
      </w:r>
    </w:p>
    <w:p w:rsidR="00000000" w:rsidRDefault="00AE54EE">
      <w:pPr>
        <w:ind w:hanging="360"/>
        <w:divId w:val="1010570463"/>
        <w:rPr>
          <w:rFonts w:eastAsia="Times New Roman"/>
        </w:rPr>
      </w:pPr>
      <w:r>
        <w:rPr>
          <w:rFonts w:eastAsia="Times New Roman"/>
          <w:color w:val="000000"/>
          <w:sz w:val="16"/>
          <w:szCs w:val="16"/>
        </w:rPr>
        <w:t>(1)</w:t>
      </w:r>
      <w:r>
        <w:rPr>
          <w:rFonts w:eastAsia="Times New Roman"/>
          <w:color w:val="000000"/>
          <w:sz w:val="16"/>
          <w:szCs w:val="16"/>
        </w:rPr>
        <w:t>(Gains) losses reclassified to earnings are included in the “Revenue from product sales and services,” “Business divestiture-related gains (losses),” “Interest expense” and “Non-operating income</w:t>
      </w:r>
      <w:r>
        <w:rPr>
          <w:rFonts w:eastAsia="Times New Roman"/>
          <w:color w:val="000000"/>
          <w:sz w:val="20"/>
          <w:szCs w:val="20"/>
        </w:rPr>
        <w:t>”</w:t>
      </w:r>
      <w:r>
        <w:rPr>
          <w:rFonts w:eastAsia="Times New Roman"/>
          <w:color w:val="000000"/>
          <w:sz w:val="16"/>
          <w:szCs w:val="16"/>
        </w:rPr>
        <w:t xml:space="preserve"> line items in our Consolidated Statement of Income.</w:t>
      </w:r>
    </w:p>
    <w:p w:rsidR="00000000" w:rsidRDefault="00AE54EE">
      <w:pPr>
        <w:ind w:firstLine="450"/>
        <w:jc w:val="center"/>
        <w:divId w:val="929044550"/>
        <w:rPr>
          <w:rFonts w:eastAsia="Times New Roman"/>
        </w:rPr>
      </w:pPr>
      <w:r>
        <w:rPr>
          <w:rFonts w:eastAsia="Times New Roman"/>
          <w:color w:val="000000"/>
          <w:sz w:val="20"/>
          <w:szCs w:val="20"/>
        </w:rPr>
        <w:t>113</w:t>
      </w:r>
    </w:p>
    <w:p w:rsidR="00000000" w:rsidRDefault="00AE54EE">
      <w:pPr>
        <w:rPr>
          <w:rFonts w:eastAsia="Times New Roman"/>
        </w:rPr>
      </w:pPr>
      <w:r>
        <w:rPr>
          <w:rFonts w:eastAsia="Times New Roman"/>
        </w:rPr>
        <w:pict>
          <v:rect id="_x0000_i1141" style="width:0;height:1.5pt" o:hralign="center" o:hrstd="t" o:hr="t" fillcolor="#a0a0a0" stroked="f"/>
        </w:pict>
      </w:r>
    </w:p>
    <w:p w:rsidR="00000000" w:rsidRDefault="00AE54EE">
      <w:pPr>
        <w:ind w:firstLine="450"/>
        <w:divId w:val="619845990"/>
        <w:rPr>
          <w:rFonts w:eastAsia="Times New Roman"/>
        </w:rPr>
      </w:pPr>
    </w:p>
    <w:p w:rsidR="00000000" w:rsidRDefault="00AE54EE">
      <w:pPr>
        <w:divId w:val="1651326236"/>
        <w:rPr>
          <w:rFonts w:eastAsia="Times New Roman"/>
        </w:rPr>
      </w:pPr>
      <w:r>
        <w:rPr>
          <w:rFonts w:eastAsia="Times New Roman"/>
          <w:b/>
          <w:bCs/>
          <w:color w:val="000000"/>
          <w:sz w:val="20"/>
          <w:szCs w:val="20"/>
        </w:rPr>
        <w:t>NOTE 22: INCOME TAXES</w:t>
      </w:r>
      <w:r>
        <w:rPr>
          <w:rFonts w:eastAsia="Times New Roman"/>
          <w:b/>
          <w:bCs/>
          <w:i/>
          <w:iCs/>
          <w:color w:val="000000"/>
          <w:sz w:val="20"/>
          <w:szCs w:val="20"/>
        </w:rPr>
        <w:t xml:space="preserve"> </w:t>
      </w:r>
    </w:p>
    <w:p w:rsidR="00000000" w:rsidRDefault="00AE54EE">
      <w:pPr>
        <w:divId w:val="1692027313"/>
        <w:rPr>
          <w:rFonts w:eastAsia="Times New Roman"/>
        </w:rPr>
      </w:pPr>
      <w:r>
        <w:rPr>
          <w:rFonts w:eastAsia="Times New Roman"/>
          <w:b/>
          <w:bCs/>
          <w:color w:val="000000"/>
          <w:sz w:val="20"/>
          <w:szCs w:val="20"/>
        </w:rPr>
        <w:t>Income Tax Provision</w:t>
      </w:r>
    </w:p>
    <w:p w:rsidR="00000000" w:rsidRDefault="00AE54EE">
      <w:pPr>
        <w:ind w:firstLine="450"/>
        <w:divId w:val="968588386"/>
        <w:rPr>
          <w:rFonts w:eastAsia="Times New Roman"/>
        </w:rPr>
      </w:pPr>
      <w:r>
        <w:rPr>
          <w:rFonts w:eastAsia="Times New Roman"/>
          <w:color w:val="000000"/>
          <w:sz w:val="20"/>
          <w:szCs w:val="20"/>
        </w:rPr>
        <w:t>The provisions for current and deferred income taxes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8"/>
        <w:gridCol w:w="121"/>
        <w:gridCol w:w="896"/>
        <w:gridCol w:w="36"/>
        <w:gridCol w:w="36"/>
        <w:gridCol w:w="36"/>
        <w:gridCol w:w="36"/>
        <w:gridCol w:w="121"/>
        <w:gridCol w:w="851"/>
        <w:gridCol w:w="37"/>
        <w:gridCol w:w="36"/>
        <w:gridCol w:w="36"/>
        <w:gridCol w:w="36"/>
        <w:gridCol w:w="121"/>
        <w:gridCol w:w="851"/>
        <w:gridCol w:w="36"/>
        <w:gridCol w:w="36"/>
        <w:gridCol w:w="36"/>
        <w:gridCol w:w="36"/>
        <w:gridCol w:w="120"/>
        <w:gridCol w:w="853"/>
        <w:gridCol w:w="36"/>
      </w:tblGrid>
      <w:tr w:rsidR="00000000">
        <w:trPr>
          <w:divId w:val="968588386"/>
        </w:trPr>
        <w:tc>
          <w:tcPr>
            <w:tcW w:w="50" w:type="pct"/>
            <w:vAlign w:val="center"/>
            <w:hideMark/>
          </w:tcPr>
          <w:p w:rsidR="00000000" w:rsidRDefault="00AE54EE">
            <w:pPr>
              <w:ind w:firstLine="450"/>
              <w:rPr>
                <w:rFonts w:eastAsia="Times New Roman"/>
              </w:rPr>
            </w:pPr>
          </w:p>
        </w:tc>
        <w:tc>
          <w:tcPr>
            <w:tcW w:w="233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968588386"/>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96858838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968588386"/>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6858838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Current: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68588386"/>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68588386"/>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68588386"/>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State and local</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68588386"/>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6858838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Deferred:</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68588386"/>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United States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68588386"/>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International</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w:t>
            </w: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68588386"/>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State and local</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68588386"/>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68588386"/>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1600747842"/>
        <w:rPr>
          <w:rFonts w:eastAsia="Times New Roman"/>
        </w:rPr>
      </w:pPr>
      <w:r>
        <w:rPr>
          <w:rFonts w:eastAsia="Times New Roman"/>
          <w:color w:val="000000"/>
          <w:sz w:val="20"/>
          <w:szCs w:val="20"/>
        </w:rPr>
        <w:t>The total income tax provision is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7"/>
        <w:gridCol w:w="121"/>
        <w:gridCol w:w="896"/>
        <w:gridCol w:w="36"/>
        <w:gridCol w:w="36"/>
        <w:gridCol w:w="36"/>
        <w:gridCol w:w="36"/>
        <w:gridCol w:w="121"/>
        <w:gridCol w:w="851"/>
        <w:gridCol w:w="37"/>
        <w:gridCol w:w="36"/>
        <w:gridCol w:w="36"/>
        <w:gridCol w:w="36"/>
        <w:gridCol w:w="121"/>
        <w:gridCol w:w="852"/>
        <w:gridCol w:w="36"/>
        <w:gridCol w:w="36"/>
        <w:gridCol w:w="36"/>
        <w:gridCol w:w="36"/>
        <w:gridCol w:w="120"/>
        <w:gridCol w:w="853"/>
        <w:gridCol w:w="36"/>
      </w:tblGrid>
      <w:tr w:rsidR="00000000">
        <w:trPr>
          <w:divId w:val="1318994036"/>
        </w:trPr>
        <w:tc>
          <w:tcPr>
            <w:tcW w:w="50" w:type="pct"/>
            <w:vAlign w:val="center"/>
            <w:hideMark/>
          </w:tcPr>
          <w:p w:rsidR="00000000" w:rsidRDefault="00AE54EE">
            <w:pPr>
              <w:ind w:firstLine="450"/>
              <w:rPr>
                <w:rFonts w:eastAsia="Times New Roman"/>
              </w:rPr>
            </w:pPr>
          </w:p>
        </w:tc>
        <w:tc>
          <w:tcPr>
            <w:tcW w:w="233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318994036"/>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31899403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318994036"/>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31899403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899403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31899403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income tax provision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806122934"/>
        <w:rPr>
          <w:rFonts w:eastAsia="Times New Roman"/>
        </w:rPr>
      </w:pPr>
      <w:r>
        <w:rPr>
          <w:rFonts w:eastAsia="Times New Roman"/>
          <w:color w:val="000000"/>
          <w:sz w:val="20"/>
          <w:szCs w:val="20"/>
        </w:rPr>
        <w:t>A reconciliation of the U.S. statutory income tax rate to our effective income tax rate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88"/>
        <w:gridCol w:w="38"/>
        <w:gridCol w:w="59"/>
        <w:gridCol w:w="831"/>
        <w:gridCol w:w="187"/>
        <w:gridCol w:w="36"/>
        <w:gridCol w:w="36"/>
        <w:gridCol w:w="36"/>
        <w:gridCol w:w="49"/>
        <w:gridCol w:w="777"/>
        <w:gridCol w:w="187"/>
        <w:gridCol w:w="36"/>
        <w:gridCol w:w="36"/>
        <w:gridCol w:w="36"/>
        <w:gridCol w:w="54"/>
        <w:gridCol w:w="772"/>
        <w:gridCol w:w="187"/>
        <w:gridCol w:w="36"/>
        <w:gridCol w:w="36"/>
        <w:gridCol w:w="36"/>
        <w:gridCol w:w="39"/>
        <w:gridCol w:w="788"/>
        <w:gridCol w:w="187"/>
      </w:tblGrid>
      <w:tr w:rsidR="00000000">
        <w:trPr>
          <w:divId w:val="592739025"/>
        </w:trPr>
        <w:tc>
          <w:tcPr>
            <w:tcW w:w="50" w:type="pct"/>
            <w:vAlign w:val="center"/>
            <w:hideMark/>
          </w:tcPr>
          <w:p w:rsidR="00000000" w:rsidRDefault="00AE54EE">
            <w:pPr>
              <w:ind w:firstLine="450"/>
              <w:rPr>
                <w:rFonts w:eastAsia="Times New Roman"/>
              </w:rPr>
            </w:pPr>
          </w:p>
        </w:tc>
        <w:tc>
          <w:tcPr>
            <w:tcW w:w="233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592739025"/>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592739025"/>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592739025"/>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592739025"/>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U.S. statutory income tax rate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r w:rsidR="00000000">
        <w:trPr>
          <w:divId w:val="592739025"/>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State taxes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92739025"/>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International income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92739025"/>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Non-deductible goodwill impairment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92739025"/>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Research and development tax credit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92739025"/>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 xml:space="preserve">Foreign derived intangibles income deduction </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92739025"/>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Change in valuation allowance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92739025"/>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Impact of divestitures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92739025"/>
        </w:trPr>
        <w:tc>
          <w:tcPr>
            <w:tcW w:w="0" w:type="auto"/>
            <w:gridSpan w:val="3"/>
            <w:shd w:val="clear" w:color="auto" w:fill="CCEEFF"/>
            <w:tcMar>
              <w:top w:w="30" w:type="dxa"/>
              <w:left w:w="20" w:type="dxa"/>
              <w:bottom w:w="30" w:type="dxa"/>
              <w:right w:w="20" w:type="dxa"/>
            </w:tcMar>
            <w:hideMark/>
          </w:tcPr>
          <w:p w:rsidR="00000000" w:rsidRDefault="00AE54EE">
            <w:pPr>
              <w:spacing w:after="100"/>
              <w:divId w:val="2112705200"/>
              <w:rPr>
                <w:rFonts w:eastAsia="Times New Roman"/>
              </w:rPr>
            </w:pPr>
            <w:r>
              <w:rPr>
                <w:rFonts w:eastAsia="Times New Roman"/>
                <w:color w:val="000000"/>
                <w:sz w:val="20"/>
                <w:szCs w:val="20"/>
              </w:rPr>
              <w:t>Equity-based compensatio</w:t>
            </w:r>
            <w:r>
              <w:rPr>
                <w:rFonts w:eastAsia="Times New Roman"/>
                <w:color w:val="000000"/>
                <w:sz w:val="20"/>
                <w:szCs w:val="20"/>
              </w:rPr>
              <w:t>n</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92739025"/>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592739025"/>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Settlement of tax audits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92739025"/>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592739025"/>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 items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592739025"/>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Effective income tax rate</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w:t>
            </w:r>
          </w:p>
        </w:tc>
      </w:tr>
    </w:tbl>
    <w:p w:rsidR="00000000" w:rsidRDefault="00AE54EE">
      <w:pPr>
        <w:divId w:val="1107894271"/>
        <w:rPr>
          <w:rFonts w:eastAsia="Times New Roman"/>
        </w:rPr>
      </w:pPr>
      <w:r>
        <w:rPr>
          <w:rFonts w:eastAsia="Times New Roman"/>
          <w:color w:val="000000"/>
          <w:sz w:val="16"/>
          <w:szCs w:val="16"/>
        </w:rPr>
        <w:t>_______________</w:t>
      </w:r>
    </w:p>
    <w:p w:rsidR="00000000" w:rsidRDefault="00AE54EE">
      <w:pPr>
        <w:ind w:hanging="360"/>
        <w:divId w:val="338391895"/>
        <w:rPr>
          <w:rFonts w:eastAsia="Times New Roman"/>
        </w:rPr>
      </w:pPr>
      <w:r>
        <w:rPr>
          <w:rFonts w:eastAsia="Times New Roman"/>
          <w:color w:val="000000"/>
          <w:sz w:val="16"/>
          <w:szCs w:val="16"/>
        </w:rPr>
        <w:t>(1)Includes non-deductible equity-based compensat</w:t>
      </w:r>
      <w:r>
        <w:rPr>
          <w:rFonts w:eastAsia="Times New Roman"/>
          <w:color w:val="000000"/>
          <w:sz w:val="16"/>
          <w:szCs w:val="16"/>
        </w:rPr>
        <w:t xml:space="preserve">ion and excess tax benefits from equity-based compensation. </w:t>
      </w:r>
    </w:p>
    <w:p w:rsidR="00000000" w:rsidRDefault="00AE54EE">
      <w:pPr>
        <w:ind w:firstLine="450"/>
        <w:divId w:val="1796824266"/>
        <w:rPr>
          <w:rFonts w:eastAsia="Times New Roman"/>
        </w:rPr>
      </w:pPr>
      <w:r>
        <w:rPr>
          <w:rFonts w:eastAsia="Times New Roman"/>
          <w:color w:val="000000"/>
          <w:sz w:val="20"/>
          <w:szCs w:val="20"/>
        </w:rPr>
        <w:t xml:space="preserve">As of December 31, 2021, we estimate our outside basis difference in foreign subsidiaries that are considered indefinitely reinvested to be approximately $1 billion. The outside basis difference </w:t>
      </w:r>
      <w:r>
        <w:rPr>
          <w:rFonts w:eastAsia="Times New Roman"/>
          <w:color w:val="000000"/>
          <w:sz w:val="20"/>
          <w:szCs w:val="20"/>
        </w:rPr>
        <w:t>is comprised predominantly of purchase accounting adjustments and to a lesser extent, undistributed earnings and other equity adjustments. In the event of a disposition of the foreign subsidiaries or a distribution, we may be subject to incremental U.S. in</w:t>
      </w:r>
      <w:r>
        <w:rPr>
          <w:rFonts w:eastAsia="Times New Roman"/>
          <w:color w:val="000000"/>
          <w:sz w:val="20"/>
          <w:szCs w:val="20"/>
        </w:rPr>
        <w:t xml:space="preserve">come taxes, subject to an adjustment for foreign tax credits, </w:t>
      </w:r>
    </w:p>
    <w:p w:rsidR="00000000" w:rsidRDefault="00AE54EE">
      <w:pPr>
        <w:ind w:firstLine="450"/>
        <w:jc w:val="center"/>
        <w:divId w:val="1251156886"/>
        <w:rPr>
          <w:rFonts w:eastAsia="Times New Roman"/>
        </w:rPr>
      </w:pPr>
      <w:r>
        <w:rPr>
          <w:rFonts w:eastAsia="Times New Roman"/>
          <w:color w:val="000000"/>
          <w:sz w:val="20"/>
          <w:szCs w:val="20"/>
        </w:rPr>
        <w:t>114</w:t>
      </w:r>
    </w:p>
    <w:p w:rsidR="00000000" w:rsidRDefault="00AE54EE">
      <w:pPr>
        <w:rPr>
          <w:rFonts w:eastAsia="Times New Roman"/>
        </w:rPr>
      </w:pPr>
      <w:r>
        <w:rPr>
          <w:rFonts w:eastAsia="Times New Roman"/>
        </w:rPr>
        <w:pict>
          <v:rect id="_x0000_i1142" style="width:0;height:1.5pt" o:hralign="center" o:hrstd="t" o:hr="t" fillcolor="#a0a0a0" stroked="f"/>
        </w:pict>
      </w:r>
    </w:p>
    <w:p w:rsidR="00000000" w:rsidRDefault="00AE54EE">
      <w:pPr>
        <w:ind w:firstLine="450"/>
        <w:divId w:val="1797412206"/>
        <w:rPr>
          <w:rFonts w:eastAsia="Times New Roman"/>
        </w:rPr>
      </w:pPr>
    </w:p>
    <w:p w:rsidR="00000000" w:rsidRDefault="00AE54EE">
      <w:pPr>
        <w:divId w:val="1598060539"/>
        <w:rPr>
          <w:rFonts w:eastAsia="Times New Roman"/>
        </w:rPr>
      </w:pPr>
      <w:r>
        <w:rPr>
          <w:rFonts w:eastAsia="Times New Roman"/>
          <w:color w:val="000000"/>
          <w:sz w:val="20"/>
          <w:szCs w:val="20"/>
        </w:rPr>
        <w:t xml:space="preserve">and withholding taxes or income taxes payable to the foreign jurisdictions. As of December 31, 2021, the determination of the amount of unrecognized deferred tax liability related to the outside basis difference is not practicable. </w:t>
      </w:r>
    </w:p>
    <w:p w:rsidR="00000000" w:rsidRDefault="00AE54EE">
      <w:pPr>
        <w:divId w:val="237133318"/>
        <w:rPr>
          <w:rFonts w:eastAsia="Times New Roman"/>
        </w:rPr>
      </w:pPr>
      <w:r>
        <w:rPr>
          <w:rFonts w:eastAsia="Times New Roman"/>
          <w:b/>
          <w:bCs/>
          <w:color w:val="000000"/>
          <w:sz w:val="20"/>
          <w:szCs w:val="20"/>
        </w:rPr>
        <w:t>Tax Law Changes</w:t>
      </w:r>
    </w:p>
    <w:p w:rsidR="00000000" w:rsidRDefault="00AE54EE">
      <w:pPr>
        <w:ind w:firstLine="450"/>
        <w:divId w:val="968123982"/>
        <w:rPr>
          <w:rFonts w:eastAsia="Times New Roman"/>
        </w:rPr>
      </w:pPr>
      <w:r>
        <w:rPr>
          <w:rFonts w:eastAsia="Times New Roman"/>
          <w:color w:val="000000"/>
          <w:sz w:val="20"/>
          <w:szCs w:val="20"/>
        </w:rPr>
        <w:t>The imp</w:t>
      </w:r>
      <w:r>
        <w:rPr>
          <w:rFonts w:eastAsia="Times New Roman"/>
          <w:color w:val="000000"/>
          <w:sz w:val="20"/>
          <w:szCs w:val="20"/>
        </w:rPr>
        <w:t>lementation of a modified territorial tax system under the Tax Act subjects us to tax on our Global Intangible Low-Taxed Income (“GILTI”) starting with fiscal 2019. The Financial Accounting Standards Board has permitted companies to make an accounting poli</w:t>
      </w:r>
      <w:r>
        <w:rPr>
          <w:rFonts w:eastAsia="Times New Roman"/>
          <w:color w:val="000000"/>
          <w:sz w:val="20"/>
          <w:szCs w:val="20"/>
        </w:rPr>
        <w:t xml:space="preserve">cy decision to either (1) treat taxes due on future GILTI inclusions in U.S. taxable income as a current-period expense when incurred (“period cost method”) or (2) factor such amounts into the measurement of its deferred taxes (“deferred method”). We have </w:t>
      </w:r>
      <w:r>
        <w:rPr>
          <w:rFonts w:eastAsia="Times New Roman"/>
          <w:color w:val="000000"/>
          <w:sz w:val="20"/>
          <w:szCs w:val="20"/>
        </w:rPr>
        <w:t>elected to use the period cost method.</w:t>
      </w:r>
    </w:p>
    <w:p w:rsidR="00000000" w:rsidRDefault="00AE54EE">
      <w:pPr>
        <w:divId w:val="1633094870"/>
        <w:rPr>
          <w:rFonts w:eastAsia="Times New Roman"/>
        </w:rPr>
      </w:pPr>
      <w:r>
        <w:rPr>
          <w:rFonts w:eastAsia="Times New Roman"/>
          <w:b/>
          <w:bCs/>
          <w:color w:val="000000"/>
          <w:sz w:val="20"/>
          <w:szCs w:val="20"/>
        </w:rPr>
        <w:t>Deferred Income Tax Assets (Liabilities)</w:t>
      </w:r>
    </w:p>
    <w:p w:rsidR="00000000" w:rsidRDefault="00AE54EE">
      <w:pPr>
        <w:ind w:firstLine="450"/>
        <w:divId w:val="1920868091"/>
        <w:rPr>
          <w:rFonts w:eastAsia="Times New Roman"/>
        </w:rPr>
      </w:pPr>
      <w:r>
        <w:rPr>
          <w:rFonts w:eastAsia="Times New Roman"/>
          <w:color w:val="000000"/>
          <w:sz w:val="20"/>
          <w:szCs w:val="20"/>
        </w:rPr>
        <w:t>The components of deferred income tax assets (liabilities)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75"/>
        <w:gridCol w:w="39"/>
        <w:gridCol w:w="120"/>
        <w:gridCol w:w="1049"/>
        <w:gridCol w:w="36"/>
        <w:gridCol w:w="36"/>
        <w:gridCol w:w="36"/>
        <w:gridCol w:w="36"/>
        <w:gridCol w:w="120"/>
        <w:gridCol w:w="1011"/>
        <w:gridCol w:w="36"/>
        <w:gridCol w:w="36"/>
        <w:gridCol w:w="36"/>
      </w:tblGrid>
      <w:tr w:rsidR="00000000">
        <w:trPr>
          <w:divId w:val="58943788"/>
        </w:trPr>
        <w:tc>
          <w:tcPr>
            <w:tcW w:w="50" w:type="pct"/>
            <w:vAlign w:val="center"/>
            <w:hideMark/>
          </w:tcPr>
          <w:p w:rsidR="00000000" w:rsidRDefault="00AE54EE">
            <w:pPr>
              <w:ind w:firstLine="450"/>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Accruals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Tax loss and credit carryforwards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Pension and other post-employment benefits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Operating lease obligation</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CCEEFF"/>
            <w:tcMar>
              <w:top w:w="30" w:type="dxa"/>
              <w:left w:w="20" w:type="dxa"/>
              <w:bottom w:w="30" w:type="dxa"/>
              <w:right w:w="20" w:type="dxa"/>
            </w:tcMar>
            <w:hideMark/>
          </w:tcPr>
          <w:p w:rsidR="00000000" w:rsidRDefault="00AE54EE">
            <w:pPr>
              <w:spacing w:after="100"/>
              <w:divId w:val="133105776"/>
              <w:rPr>
                <w:rFonts w:eastAsia="Times New Roman"/>
              </w:rPr>
            </w:pPr>
            <w:r>
              <w:rPr>
                <w:rFonts w:eastAsia="Times New Roman"/>
                <w:color w:val="000000"/>
                <w:sz w:val="20"/>
                <w:szCs w:val="20"/>
              </w:rPr>
              <w:t>Valuation allowanc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Deferred tax assets,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Height w:val="28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Acquired intangibles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(1,663)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(1,934)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Operating lease right-of-use asset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Deferred tax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5894378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Net deferred tax assets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divId w:val="1666130942"/>
        <w:rPr>
          <w:rFonts w:eastAsia="Times New Roman"/>
        </w:rPr>
      </w:pPr>
      <w:r>
        <w:rPr>
          <w:rFonts w:eastAsia="Times New Roman"/>
          <w:color w:val="000000"/>
          <w:sz w:val="16"/>
          <w:szCs w:val="16"/>
        </w:rPr>
        <w:t>_______________</w:t>
      </w:r>
    </w:p>
    <w:p w:rsidR="00000000" w:rsidRDefault="00AE54EE">
      <w:pPr>
        <w:ind w:hanging="360"/>
        <w:divId w:val="1633513855"/>
        <w:rPr>
          <w:rFonts w:eastAsia="Times New Roman"/>
        </w:rPr>
      </w:pPr>
      <w:r>
        <w:rPr>
          <w:rFonts w:eastAsia="Times New Roman"/>
          <w:color w:val="000000"/>
          <w:sz w:val="16"/>
          <w:szCs w:val="16"/>
        </w:rPr>
        <w:t>(1)</w:t>
      </w:r>
      <w:r>
        <w:rPr>
          <w:rFonts w:eastAsia="Times New Roman"/>
          <w:color w:val="000000"/>
          <w:sz w:val="16"/>
          <w:szCs w:val="16"/>
        </w:rPr>
        <w:t xml:space="preserve">The valuation allowance has been established to offset certain domestic and foreign deferred tax assets due to uncertainty regarding our ability to realize them in the future. The net increase in our valuation allowance in fiscal 2021 was $92 million. </w:t>
      </w:r>
    </w:p>
    <w:p w:rsidR="00000000" w:rsidRDefault="00AE54EE">
      <w:pPr>
        <w:ind w:firstLine="450"/>
        <w:divId w:val="1022974693"/>
        <w:rPr>
          <w:rFonts w:eastAsia="Times New Roman"/>
        </w:rPr>
      </w:pPr>
      <w:r>
        <w:rPr>
          <w:rFonts w:eastAsia="Times New Roman"/>
          <w:color w:val="000000"/>
          <w:sz w:val="20"/>
          <w:szCs w:val="20"/>
        </w:rPr>
        <w:t>Net</w:t>
      </w:r>
      <w:r>
        <w:rPr>
          <w:rFonts w:eastAsia="Times New Roman"/>
          <w:color w:val="000000"/>
          <w:sz w:val="20"/>
          <w:szCs w:val="20"/>
        </w:rPr>
        <w:t xml:space="preserve"> deferred tax assets (liabilities) were classified as follows in our Consolidated Balance Sheet:</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8"/>
        <w:gridCol w:w="120"/>
        <w:gridCol w:w="1049"/>
        <w:gridCol w:w="36"/>
        <w:gridCol w:w="36"/>
        <w:gridCol w:w="36"/>
        <w:gridCol w:w="36"/>
        <w:gridCol w:w="120"/>
        <w:gridCol w:w="1011"/>
        <w:gridCol w:w="36"/>
        <w:gridCol w:w="36"/>
        <w:gridCol w:w="36"/>
      </w:tblGrid>
      <w:tr w:rsidR="00000000">
        <w:trPr>
          <w:divId w:val="29690988"/>
        </w:trPr>
        <w:tc>
          <w:tcPr>
            <w:tcW w:w="50" w:type="pct"/>
            <w:vAlign w:val="center"/>
            <w:hideMark/>
          </w:tcPr>
          <w:p w:rsidR="00000000" w:rsidRDefault="00AE54EE">
            <w:pPr>
              <w:ind w:firstLine="450"/>
              <w:rPr>
                <w:rFonts w:eastAsia="Times New Roman"/>
              </w:rPr>
            </w:pPr>
          </w:p>
        </w:tc>
        <w:tc>
          <w:tcPr>
            <w:tcW w:w="34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6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969098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29690988"/>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9690988"/>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Non-current deferred income tax assets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9690988"/>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Non-current deferred income tax liabilities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(1,344)</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(1,237)</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29690988"/>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ind w:firstLine="450"/>
        <w:divId w:val="299307965"/>
        <w:rPr>
          <w:rFonts w:eastAsia="Times New Roman"/>
        </w:rPr>
      </w:pPr>
      <w:r>
        <w:rPr>
          <w:rFonts w:eastAsia="Times New Roman"/>
          <w:color w:val="000000"/>
          <w:sz w:val="20"/>
          <w:szCs w:val="20"/>
        </w:rPr>
        <w:t>Tax loss and credit carryforwards at December 31, 2021 have expiration dates ranging from less than one year to no expiration date. A significant portion of the carryforwards are either indefinite or begin expiring between 2034 to 2035. The tax-effected am</w:t>
      </w:r>
      <w:r>
        <w:rPr>
          <w:rFonts w:eastAsia="Times New Roman"/>
          <w:color w:val="000000"/>
          <w:sz w:val="20"/>
          <w:szCs w:val="20"/>
        </w:rPr>
        <w:t>ounts of federal, international and state and local operating loss carryforwards at December 31, 2021 were $6 million, $52 million and $17 million, respectively. The tax-effected amounts of federal, international and state and local capital loss carryforwa</w:t>
      </w:r>
      <w:r>
        <w:rPr>
          <w:rFonts w:eastAsia="Times New Roman"/>
          <w:color w:val="000000"/>
          <w:sz w:val="20"/>
          <w:szCs w:val="20"/>
        </w:rPr>
        <w:t>rds were not material at December 31, 2021. The amounts of federal, international and state and local credit carryforwards at December 31, 2021 were $4 million, $11 million and $95 million, respectively.</w:t>
      </w:r>
    </w:p>
    <w:p w:rsidR="00000000" w:rsidRDefault="00AE54EE">
      <w:pPr>
        <w:ind w:firstLine="450"/>
        <w:divId w:val="1296447924"/>
        <w:rPr>
          <w:rFonts w:eastAsia="Times New Roman"/>
        </w:rPr>
      </w:pPr>
      <w:r>
        <w:rPr>
          <w:rFonts w:eastAsia="Times New Roman"/>
          <w:color w:val="000000"/>
          <w:sz w:val="20"/>
          <w:szCs w:val="20"/>
        </w:rPr>
        <w:t>Income from continuing operations before income taxes of international subsidiaries was $29 million in fiscal 2021, loss from continuing operations before income taxes of international subsidiaries was $101 million in fiscal 2020 and income from continuing</w:t>
      </w:r>
      <w:r>
        <w:rPr>
          <w:rFonts w:eastAsia="Times New Roman"/>
          <w:color w:val="000000"/>
          <w:sz w:val="20"/>
          <w:szCs w:val="20"/>
        </w:rPr>
        <w:t xml:space="preserve"> operations before income taxes of international subsidiaries was $96 million and $37 million in the two quarters ended January 3, 2020 and in fiscal 2019, respectively. We paid $358 million in income taxes, net of refunds received, in fiscal 2021; paid $3</w:t>
      </w:r>
      <w:r>
        <w:rPr>
          <w:rFonts w:eastAsia="Times New Roman"/>
          <w:color w:val="000000"/>
          <w:sz w:val="20"/>
          <w:szCs w:val="20"/>
        </w:rPr>
        <w:t>94 million in income taxes, net of refunds received, in fiscal 2020; received $8 million in income tax refunds, net of income taxes paid, in the two quarters ended January 3, 2020; and paid $137 million in income taxes, net of refunds received, in fiscal 2</w:t>
      </w:r>
      <w:r>
        <w:rPr>
          <w:rFonts w:eastAsia="Times New Roman"/>
          <w:color w:val="000000"/>
          <w:sz w:val="20"/>
          <w:szCs w:val="20"/>
        </w:rPr>
        <w:t xml:space="preserve">019. </w:t>
      </w:r>
    </w:p>
    <w:p w:rsidR="00000000" w:rsidRDefault="00AE54EE">
      <w:pPr>
        <w:ind w:firstLine="450"/>
        <w:jc w:val="center"/>
        <w:divId w:val="1255163627"/>
        <w:rPr>
          <w:rFonts w:eastAsia="Times New Roman"/>
        </w:rPr>
      </w:pPr>
      <w:r>
        <w:rPr>
          <w:rFonts w:eastAsia="Times New Roman"/>
          <w:color w:val="000000"/>
          <w:sz w:val="20"/>
          <w:szCs w:val="20"/>
        </w:rPr>
        <w:t>115</w:t>
      </w:r>
    </w:p>
    <w:p w:rsidR="00000000" w:rsidRDefault="00AE54EE">
      <w:pPr>
        <w:rPr>
          <w:rFonts w:eastAsia="Times New Roman"/>
        </w:rPr>
      </w:pPr>
      <w:r>
        <w:rPr>
          <w:rFonts w:eastAsia="Times New Roman"/>
        </w:rPr>
        <w:pict>
          <v:rect id="_x0000_i1143" style="width:0;height:1.5pt" o:hralign="center" o:hrstd="t" o:hr="t" fillcolor="#a0a0a0" stroked="f"/>
        </w:pict>
      </w:r>
    </w:p>
    <w:p w:rsidR="00000000" w:rsidRDefault="00AE54EE">
      <w:pPr>
        <w:ind w:firstLine="450"/>
        <w:divId w:val="878512858"/>
        <w:rPr>
          <w:rFonts w:eastAsia="Times New Roman"/>
        </w:rPr>
      </w:pPr>
    </w:p>
    <w:p w:rsidR="00000000" w:rsidRDefault="00AE54EE">
      <w:pPr>
        <w:divId w:val="1055929777"/>
        <w:rPr>
          <w:rFonts w:eastAsia="Times New Roman"/>
        </w:rPr>
      </w:pPr>
      <w:r>
        <w:rPr>
          <w:rFonts w:eastAsia="Times New Roman"/>
          <w:b/>
          <w:bCs/>
          <w:color w:val="000000"/>
          <w:sz w:val="20"/>
          <w:szCs w:val="20"/>
        </w:rPr>
        <w:t>Tax Uncertainties</w:t>
      </w:r>
    </w:p>
    <w:p w:rsidR="00000000" w:rsidRDefault="00AE54EE">
      <w:pPr>
        <w:ind w:firstLine="450"/>
        <w:divId w:val="1550149662"/>
        <w:rPr>
          <w:rFonts w:eastAsia="Times New Roman"/>
        </w:rPr>
      </w:pPr>
      <w:r>
        <w:rPr>
          <w:rFonts w:eastAsia="Times New Roman"/>
          <w:color w:val="000000"/>
          <w:sz w:val="20"/>
          <w:szCs w:val="20"/>
        </w:rPr>
        <w:t>A reconciliation of the beginning and ending amounts of unrecognized tax benefits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8"/>
        <w:gridCol w:w="121"/>
        <w:gridCol w:w="896"/>
        <w:gridCol w:w="36"/>
        <w:gridCol w:w="36"/>
        <w:gridCol w:w="36"/>
        <w:gridCol w:w="36"/>
        <w:gridCol w:w="121"/>
        <w:gridCol w:w="851"/>
        <w:gridCol w:w="37"/>
        <w:gridCol w:w="36"/>
        <w:gridCol w:w="36"/>
        <w:gridCol w:w="36"/>
        <w:gridCol w:w="121"/>
        <w:gridCol w:w="851"/>
        <w:gridCol w:w="36"/>
        <w:gridCol w:w="36"/>
        <w:gridCol w:w="36"/>
        <w:gridCol w:w="36"/>
        <w:gridCol w:w="120"/>
        <w:gridCol w:w="853"/>
        <w:gridCol w:w="36"/>
      </w:tblGrid>
      <w:tr w:rsidR="00000000">
        <w:trPr>
          <w:divId w:val="1410662694"/>
        </w:trPr>
        <w:tc>
          <w:tcPr>
            <w:tcW w:w="50" w:type="pct"/>
            <w:vAlign w:val="center"/>
            <w:hideMark/>
          </w:tcPr>
          <w:p w:rsidR="00000000" w:rsidRDefault="00AE54EE">
            <w:pPr>
              <w:ind w:firstLine="450"/>
              <w:rPr>
                <w:rFonts w:eastAsia="Times New Roman"/>
              </w:rPr>
            </w:pPr>
          </w:p>
        </w:tc>
        <w:tc>
          <w:tcPr>
            <w:tcW w:w="233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410662694"/>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41066269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410662694"/>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41066269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Balance at beginning of period</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10662694"/>
        </w:trPr>
        <w:tc>
          <w:tcPr>
            <w:tcW w:w="0" w:type="auto"/>
            <w:gridSpan w:val="3"/>
            <w:shd w:val="clear" w:color="auto" w:fill="FFFFFF"/>
            <w:tcMar>
              <w:top w:w="30" w:type="dxa"/>
              <w:left w:w="20" w:type="dxa"/>
              <w:bottom w:w="30" w:type="dxa"/>
              <w:right w:w="20" w:type="dxa"/>
            </w:tcMar>
            <w:hideMark/>
          </w:tcPr>
          <w:p w:rsidR="00000000" w:rsidRDefault="00AE54EE">
            <w:pPr>
              <w:spacing w:after="100"/>
              <w:ind w:hanging="270"/>
              <w:divId w:val="1851993693"/>
              <w:rPr>
                <w:rFonts w:eastAsia="Times New Roman"/>
              </w:rPr>
            </w:pPr>
            <w:r>
              <w:rPr>
                <w:rFonts w:eastAsia="Times New Roman"/>
                <w:color w:val="000000"/>
                <w:sz w:val="20"/>
                <w:szCs w:val="20"/>
              </w:rPr>
              <w:t>Additions based on tax positions taken during current period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10662694"/>
        </w:trPr>
        <w:tc>
          <w:tcPr>
            <w:tcW w:w="0" w:type="auto"/>
            <w:gridSpan w:val="3"/>
            <w:shd w:val="clear" w:color="auto" w:fill="CCEEFF"/>
            <w:tcMar>
              <w:top w:w="30" w:type="dxa"/>
              <w:left w:w="20" w:type="dxa"/>
              <w:bottom w:w="30" w:type="dxa"/>
              <w:right w:w="20" w:type="dxa"/>
            </w:tcMar>
            <w:hideMark/>
          </w:tcPr>
          <w:p w:rsidR="00000000" w:rsidRDefault="00AE54EE">
            <w:pPr>
              <w:spacing w:after="100"/>
              <w:ind w:hanging="270"/>
              <w:divId w:val="1061245907"/>
              <w:rPr>
                <w:rFonts w:eastAsia="Times New Roman"/>
              </w:rPr>
            </w:pPr>
            <w:r>
              <w:rPr>
                <w:rFonts w:eastAsia="Times New Roman"/>
                <w:color w:val="000000"/>
                <w:sz w:val="20"/>
                <w:szCs w:val="20"/>
              </w:rPr>
              <w:t>Additions based on tax positions taken during prior periods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1066269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Additions for tax positions related to acquired entities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10662694"/>
        </w:trPr>
        <w:tc>
          <w:tcPr>
            <w:tcW w:w="0" w:type="auto"/>
            <w:gridSpan w:val="3"/>
            <w:shd w:val="clear" w:color="auto" w:fill="CCEEFF"/>
            <w:tcMar>
              <w:top w:w="30" w:type="dxa"/>
              <w:left w:w="20" w:type="dxa"/>
              <w:bottom w:w="30" w:type="dxa"/>
              <w:right w:w="20" w:type="dxa"/>
            </w:tcMar>
            <w:hideMark/>
          </w:tcPr>
          <w:p w:rsidR="00000000" w:rsidRDefault="00AE54EE">
            <w:pPr>
              <w:spacing w:after="100"/>
              <w:ind w:hanging="270"/>
              <w:divId w:val="1817988564"/>
              <w:rPr>
                <w:rFonts w:eastAsia="Times New Roman"/>
              </w:rPr>
            </w:pPr>
            <w:r>
              <w:rPr>
                <w:rFonts w:eastAsia="Times New Roman"/>
                <w:color w:val="000000"/>
                <w:sz w:val="20"/>
                <w:szCs w:val="20"/>
              </w:rPr>
              <w:t>Decreases based on tax positions taken during prior periods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1066269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Decreases from lapse in statutes of limitations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1066269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Decreases from settlements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41066269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Balance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ind w:firstLine="450"/>
        <w:divId w:val="346373091"/>
        <w:rPr>
          <w:rFonts w:eastAsia="Times New Roman"/>
        </w:rPr>
      </w:pPr>
      <w:r>
        <w:rPr>
          <w:rFonts w:eastAsia="Times New Roman"/>
          <w:color w:val="000000"/>
          <w:sz w:val="20"/>
          <w:szCs w:val="20"/>
        </w:rPr>
        <w:t>As of December 31, 2021, we had $587 million of unrecognized tax benefits, of which $488 million would favorably impact our future tax rates in the event that the tax benefits are eventually recognized. As of January </w:t>
      </w:r>
      <w:r>
        <w:rPr>
          <w:rFonts w:eastAsia="Times New Roman"/>
          <w:color w:val="000000"/>
          <w:sz w:val="20"/>
          <w:szCs w:val="20"/>
        </w:rPr>
        <w:t>1, 2021, we had $542 million of unrecognized tax benefits, of which $453 million would favorably impact our future tax rates in the event that the tax benefits are eventually recognized.</w:t>
      </w:r>
    </w:p>
    <w:p w:rsidR="00000000" w:rsidRDefault="00AE54EE">
      <w:pPr>
        <w:ind w:firstLine="450"/>
        <w:divId w:val="2115860012"/>
        <w:rPr>
          <w:rFonts w:eastAsia="Times New Roman"/>
        </w:rPr>
      </w:pPr>
      <w:r>
        <w:rPr>
          <w:rFonts w:eastAsia="Times New Roman"/>
          <w:color w:val="000000"/>
          <w:sz w:val="20"/>
          <w:szCs w:val="20"/>
        </w:rPr>
        <w:t>We recognize accrued interest and penalties related to unrecognized t</w:t>
      </w:r>
      <w:r>
        <w:rPr>
          <w:rFonts w:eastAsia="Times New Roman"/>
          <w:color w:val="000000"/>
          <w:sz w:val="20"/>
          <w:szCs w:val="20"/>
        </w:rPr>
        <w:t xml:space="preserve">ax benefits as part of our income tax expense. We recognized interest and penalties of $3 million, $14 million and $2 million in fiscal 2021, fiscal 2020 and the two quarters ended January 3, 2020, respectively, and none in fiscal 2019. We had accrued $47 </w:t>
      </w:r>
      <w:r>
        <w:rPr>
          <w:rFonts w:eastAsia="Times New Roman"/>
          <w:color w:val="000000"/>
          <w:sz w:val="20"/>
          <w:szCs w:val="20"/>
        </w:rPr>
        <w:t>million for the potential payment of interest and penalties as of December 31, 2021 (and this amount was not included in the $587 million of unrecognized tax benefits balance at December 31, 2021 shown above). We had accrued $47 million for the potential p</w:t>
      </w:r>
      <w:r>
        <w:rPr>
          <w:rFonts w:eastAsia="Times New Roman"/>
          <w:color w:val="000000"/>
          <w:sz w:val="20"/>
          <w:szCs w:val="20"/>
        </w:rPr>
        <w:t xml:space="preserve">ayment of interest and penalties as of January 1, 2021 (and this amount was not included in the $542 million of unrecognized tax benefits balance at January 1, 2021 shown above). </w:t>
      </w:r>
    </w:p>
    <w:p w:rsidR="00000000" w:rsidRDefault="00AE54EE">
      <w:pPr>
        <w:ind w:firstLine="450"/>
        <w:divId w:val="786895787"/>
        <w:rPr>
          <w:rFonts w:eastAsia="Times New Roman"/>
        </w:rPr>
      </w:pPr>
      <w:r>
        <w:rPr>
          <w:rFonts w:eastAsia="Times New Roman"/>
          <w:color w:val="000000"/>
          <w:sz w:val="20"/>
          <w:szCs w:val="20"/>
        </w:rPr>
        <w:t xml:space="preserve">We file numerous separate and consolidated income tax returns reporting our </w:t>
      </w:r>
      <w:r>
        <w:rPr>
          <w:rFonts w:eastAsia="Times New Roman"/>
          <w:color w:val="000000"/>
          <w:sz w:val="20"/>
          <w:szCs w:val="20"/>
        </w:rPr>
        <w:t>financial results and, where appropriate, those of our subsidiaries and affiliates, in the U.S. Federal jurisdiction and various state, local and foreign jurisdictions. Pursuant to the Compliance Assurance Process, the IRS is examining the Harris federal t</w:t>
      </w:r>
      <w:r>
        <w:rPr>
          <w:rFonts w:eastAsia="Times New Roman"/>
          <w:color w:val="000000"/>
          <w:sz w:val="20"/>
          <w:szCs w:val="20"/>
        </w:rPr>
        <w:t>ax returns for fiscal 2017, 2018, 2019 and 2020 and refund claims related to fiscal 2010 through 2016. In addition, legacy L3’s federal tax returns for calendar years 2017 and 2018 are currently under IRS examination and refund claims related to calendar y</w:t>
      </w:r>
      <w:r>
        <w:rPr>
          <w:rFonts w:eastAsia="Times New Roman"/>
          <w:color w:val="000000"/>
          <w:sz w:val="20"/>
          <w:szCs w:val="20"/>
        </w:rPr>
        <w:t>ears 2012, 2013, 2015 and 2016 have been filed with the IRS.</w:t>
      </w:r>
    </w:p>
    <w:p w:rsidR="00000000" w:rsidRDefault="00AE54EE">
      <w:pPr>
        <w:ind w:firstLine="450"/>
        <w:divId w:val="574508619"/>
        <w:rPr>
          <w:rFonts w:eastAsia="Times New Roman"/>
        </w:rPr>
      </w:pPr>
      <w:r>
        <w:rPr>
          <w:rFonts w:eastAsia="Times New Roman"/>
          <w:color w:val="000000"/>
          <w:sz w:val="20"/>
          <w:szCs w:val="20"/>
        </w:rPr>
        <w:t>We are currently under examination or contesting proposed adjustments by various state and international tax authorities for fiscal years ranging from 2012 through 2020. It is reasonably possible</w:t>
      </w:r>
      <w:r>
        <w:rPr>
          <w:rFonts w:eastAsia="Times New Roman"/>
          <w:color w:val="000000"/>
          <w:sz w:val="20"/>
          <w:szCs w:val="20"/>
        </w:rPr>
        <w:t xml:space="preserve"> that there could be a significant decrease or increase to our unrecognized tax benefit balance during the course of the next twelve months as these examinations continue, other tax examinations commence or various statutes of limitations expire. An estima</w:t>
      </w:r>
      <w:r>
        <w:rPr>
          <w:rFonts w:eastAsia="Times New Roman"/>
          <w:color w:val="000000"/>
          <w:sz w:val="20"/>
          <w:szCs w:val="20"/>
        </w:rPr>
        <w:t>te of the range of possible changes cannot be made for remaining unrecognized tax benefits because of the significant number of jurisdictions in which we do business and the number of open tax periods.</w:t>
      </w:r>
    </w:p>
    <w:p w:rsidR="00000000" w:rsidRDefault="00AE54EE">
      <w:pPr>
        <w:divId w:val="781657023"/>
        <w:rPr>
          <w:rFonts w:eastAsia="Times New Roman"/>
        </w:rPr>
      </w:pPr>
      <w:r>
        <w:rPr>
          <w:rFonts w:eastAsia="Times New Roman"/>
          <w:b/>
          <w:bCs/>
          <w:color w:val="000000"/>
          <w:sz w:val="20"/>
          <w:szCs w:val="20"/>
        </w:rPr>
        <w:t xml:space="preserve">NOTE 23: BACKLOG </w:t>
      </w:r>
    </w:p>
    <w:p w:rsidR="00000000" w:rsidRDefault="00AE54EE">
      <w:pPr>
        <w:ind w:firstLine="450"/>
        <w:divId w:val="1771774047"/>
        <w:rPr>
          <w:rFonts w:eastAsia="Times New Roman"/>
        </w:rPr>
      </w:pPr>
      <w:r>
        <w:rPr>
          <w:rFonts w:eastAsia="Times New Roman"/>
          <w:color w:val="000000"/>
          <w:sz w:val="20"/>
          <w:szCs w:val="20"/>
        </w:rPr>
        <w:t>Backlog, which is the equivalent of our remaining performance obligations, represents the future revenue we expect to recognize as we perform on our current contracts. Backlog comprises both funded backlog (i.e., firm orders for which funding is authorized</w:t>
      </w:r>
      <w:r>
        <w:rPr>
          <w:rFonts w:eastAsia="Times New Roman"/>
          <w:color w:val="000000"/>
          <w:sz w:val="20"/>
          <w:szCs w:val="20"/>
        </w:rPr>
        <w:t xml:space="preserve"> and appropriated) and unfunded backlog. Backlog excludes unexercised contract options and potential orders under ordering-type contracts, such as indefinite delivery, indefinite quantity contracts. </w:t>
      </w:r>
    </w:p>
    <w:p w:rsidR="00000000" w:rsidRDefault="00AE54EE">
      <w:pPr>
        <w:ind w:firstLine="450"/>
        <w:divId w:val="2101292142"/>
        <w:rPr>
          <w:rFonts w:eastAsia="Times New Roman"/>
        </w:rPr>
      </w:pPr>
      <w:r>
        <w:rPr>
          <w:rFonts w:eastAsia="Times New Roman"/>
          <w:color w:val="000000"/>
          <w:sz w:val="20"/>
          <w:szCs w:val="20"/>
        </w:rPr>
        <w:t>At December 31, 2021, our ending backlog was $21.1 billi</w:t>
      </w:r>
      <w:r>
        <w:rPr>
          <w:rFonts w:eastAsia="Times New Roman"/>
          <w:color w:val="000000"/>
          <w:sz w:val="20"/>
          <w:szCs w:val="20"/>
        </w:rPr>
        <w:t>on. We expect to recognize approximately 50 percent of the revenue associated with this backlog by the end of 2022 and approximately 85 percent by the end of 2024, with the remainder to be recognized thereafter. At January 1, 2021, our ending backlog was $</w:t>
      </w:r>
      <w:r>
        <w:rPr>
          <w:rFonts w:eastAsia="Times New Roman"/>
          <w:color w:val="000000"/>
          <w:sz w:val="20"/>
          <w:szCs w:val="20"/>
        </w:rPr>
        <w:t xml:space="preserve">21.7 billion, including $1.5 billion of backlog associated with businesses that were divested during fiscal 2020. </w:t>
      </w:r>
    </w:p>
    <w:p w:rsidR="00000000" w:rsidRDefault="00AE54EE">
      <w:pPr>
        <w:divId w:val="427115867"/>
        <w:rPr>
          <w:rFonts w:eastAsia="Times New Roman"/>
        </w:rPr>
      </w:pPr>
      <w:r>
        <w:rPr>
          <w:rFonts w:eastAsia="Times New Roman"/>
          <w:b/>
          <w:bCs/>
          <w:color w:val="000000"/>
          <w:sz w:val="20"/>
          <w:szCs w:val="20"/>
        </w:rPr>
        <w:t xml:space="preserve">NOTE 24: BUSINESS SEGMENTS </w:t>
      </w:r>
    </w:p>
    <w:p w:rsidR="00000000" w:rsidRDefault="00AE54EE">
      <w:pPr>
        <w:ind w:firstLine="450"/>
        <w:divId w:val="1420324523"/>
        <w:rPr>
          <w:rFonts w:eastAsia="Times New Roman"/>
        </w:rPr>
      </w:pPr>
      <w:r>
        <w:rPr>
          <w:rFonts w:eastAsia="Times New Roman"/>
          <w:color w:val="000000"/>
          <w:sz w:val="20"/>
          <w:szCs w:val="20"/>
        </w:rPr>
        <w:t>We structure our operations primarily around the products, systems and services we sell and the markets we serve,</w:t>
      </w:r>
      <w:r>
        <w:rPr>
          <w:rFonts w:eastAsia="Times New Roman"/>
          <w:color w:val="000000"/>
          <w:sz w:val="20"/>
          <w:szCs w:val="20"/>
        </w:rPr>
        <w:t xml:space="preserve"> and in fiscal 2021 we reported the financial results of our continuing operations in the following four operating segments, which were also our reportable segments and are referred to as our business segments: </w:t>
      </w:r>
    </w:p>
    <w:p w:rsidR="00000000" w:rsidRDefault="00AE54EE">
      <w:pPr>
        <w:ind w:firstLine="450"/>
        <w:jc w:val="center"/>
        <w:divId w:val="756369425"/>
        <w:rPr>
          <w:rFonts w:eastAsia="Times New Roman"/>
        </w:rPr>
      </w:pPr>
      <w:r>
        <w:rPr>
          <w:rFonts w:eastAsia="Times New Roman"/>
          <w:color w:val="000000"/>
          <w:sz w:val="20"/>
          <w:szCs w:val="20"/>
        </w:rPr>
        <w:t>116</w:t>
      </w:r>
    </w:p>
    <w:p w:rsidR="00000000" w:rsidRDefault="00AE54EE">
      <w:pPr>
        <w:rPr>
          <w:rFonts w:eastAsia="Times New Roman"/>
        </w:rPr>
      </w:pPr>
      <w:r>
        <w:rPr>
          <w:rFonts w:eastAsia="Times New Roman"/>
        </w:rPr>
        <w:pict>
          <v:rect id="_x0000_i1144" style="width:0;height:1.5pt" o:hralign="center" o:hrstd="t" o:hr="t" fillcolor="#a0a0a0" stroked="f"/>
        </w:pict>
      </w:r>
    </w:p>
    <w:p w:rsidR="00000000" w:rsidRDefault="00AE54EE">
      <w:pPr>
        <w:ind w:firstLine="450"/>
        <w:divId w:val="1672030552"/>
        <w:rPr>
          <w:rFonts w:eastAsia="Times New Roman"/>
        </w:rPr>
      </w:pPr>
    </w:p>
    <w:p w:rsidR="00000000" w:rsidRDefault="00AE54EE">
      <w:pPr>
        <w:ind w:hanging="180"/>
        <w:divId w:val="497115914"/>
        <w:rPr>
          <w:rFonts w:eastAsia="Times New Roman"/>
        </w:rPr>
      </w:pPr>
      <w:r>
        <w:rPr>
          <w:rFonts w:eastAsia="Times New Roman"/>
          <w:color w:val="000000"/>
          <w:sz w:val="20"/>
          <w:szCs w:val="20"/>
        </w:rPr>
        <w:t>•I</w:t>
      </w:r>
      <w:r>
        <w:rPr>
          <w:rFonts w:eastAsia="Times New Roman"/>
          <w:color w:val="000000"/>
          <w:sz w:val="20"/>
          <w:szCs w:val="20"/>
        </w:rPr>
        <w:t>ntegrated Mission Systems, including multi-mission ISR and communication systems; integrated electrical and electronic systems for maritime platforms; and advanced electro-optical and infrared (“EO/IR”) solutions;</w:t>
      </w:r>
    </w:p>
    <w:p w:rsidR="00000000" w:rsidRDefault="00AE54EE">
      <w:pPr>
        <w:ind w:hanging="180"/>
        <w:divId w:val="232467918"/>
        <w:rPr>
          <w:rFonts w:eastAsia="Times New Roman"/>
        </w:rPr>
      </w:pPr>
      <w:r>
        <w:rPr>
          <w:rFonts w:eastAsia="Times New Roman"/>
          <w:color w:val="000000"/>
          <w:sz w:val="20"/>
          <w:szCs w:val="20"/>
        </w:rPr>
        <w:t>•Space &amp; Airborne Systems, including space</w:t>
      </w:r>
      <w:r>
        <w:rPr>
          <w:rFonts w:eastAsia="Times New Roman"/>
          <w:color w:val="000000"/>
          <w:sz w:val="20"/>
          <w:szCs w:val="20"/>
        </w:rPr>
        <w:t xml:space="preserve"> payloads, sensors and full-mission solutions; classified intelligence and cyber defense; avionics; and electronic warfare;</w:t>
      </w:r>
    </w:p>
    <w:p w:rsidR="00000000" w:rsidRDefault="00AE54EE">
      <w:pPr>
        <w:ind w:hanging="180"/>
        <w:divId w:val="1612282026"/>
        <w:rPr>
          <w:rFonts w:eastAsia="Times New Roman"/>
        </w:rPr>
      </w:pPr>
      <w:r>
        <w:rPr>
          <w:rFonts w:eastAsia="Times New Roman"/>
          <w:color w:val="000000"/>
          <w:sz w:val="20"/>
          <w:szCs w:val="20"/>
        </w:rPr>
        <w:t>•</w:t>
      </w:r>
      <w:r>
        <w:rPr>
          <w:rFonts w:eastAsia="Times New Roman"/>
          <w:color w:val="000000"/>
          <w:sz w:val="20"/>
          <w:szCs w:val="20"/>
        </w:rPr>
        <w:t xml:space="preserve">Communication Systems, including tactical communications; broadband communications; integrated vision solutions; and public safety radios; global communications solutions and </w:t>
      </w:r>
    </w:p>
    <w:p w:rsidR="00000000" w:rsidRDefault="00AE54EE">
      <w:pPr>
        <w:ind w:hanging="180"/>
        <w:divId w:val="1304116341"/>
        <w:rPr>
          <w:rFonts w:eastAsia="Times New Roman"/>
        </w:rPr>
      </w:pPr>
      <w:r>
        <w:rPr>
          <w:rFonts w:eastAsia="Times New Roman"/>
          <w:color w:val="000000"/>
          <w:sz w:val="20"/>
          <w:szCs w:val="20"/>
        </w:rPr>
        <w:t>•Aviation Systems, including defense aviation; commercial aviation products; com</w:t>
      </w:r>
      <w:r>
        <w:rPr>
          <w:rFonts w:eastAsia="Times New Roman"/>
          <w:color w:val="000000"/>
          <w:sz w:val="20"/>
          <w:szCs w:val="20"/>
        </w:rPr>
        <w:t>mercial pilot training; and mission networks for air traffic management.</w:t>
      </w:r>
    </w:p>
    <w:p w:rsidR="00000000" w:rsidRDefault="00AE54EE">
      <w:pPr>
        <w:ind w:firstLine="450"/>
        <w:divId w:val="1549074462"/>
        <w:rPr>
          <w:rFonts w:eastAsia="Times New Roman"/>
        </w:rPr>
      </w:pPr>
      <w:r>
        <w:rPr>
          <w:rFonts w:eastAsia="Times New Roman"/>
          <w:color w:val="000000"/>
          <w:sz w:val="20"/>
          <w:szCs w:val="20"/>
        </w:rPr>
        <w:t>During the first quarter of fiscal 2020, we adjusted our segment reporting to better align our businesses and transferred two businesses between our Integrated Mission Systems and Spa</w:t>
      </w:r>
      <w:r>
        <w:rPr>
          <w:rFonts w:eastAsia="Times New Roman"/>
          <w:color w:val="000000"/>
          <w:sz w:val="20"/>
          <w:szCs w:val="20"/>
        </w:rPr>
        <w:t>ce &amp; Airborne Systems segments. The historical results, discussion and presentation of our business segments as set forth in our Consolidated Financial Statements and these Notes reflect the impact of these adjustments to our segment reporting for all peri</w:t>
      </w:r>
      <w:r>
        <w:rPr>
          <w:rFonts w:eastAsia="Times New Roman"/>
          <w:color w:val="000000"/>
          <w:sz w:val="20"/>
          <w:szCs w:val="20"/>
        </w:rPr>
        <w:t>ods presented in order to present the segment information on a comparable basis. There is no impact on our previously reported consolidated statements of income, balance sheets, statements of cash flows or statements of equity resulting from these adjustme</w:t>
      </w:r>
      <w:r>
        <w:rPr>
          <w:rFonts w:eastAsia="Times New Roman"/>
          <w:color w:val="000000"/>
          <w:sz w:val="20"/>
          <w:szCs w:val="20"/>
        </w:rPr>
        <w:t>nts.</w:t>
      </w:r>
    </w:p>
    <w:p w:rsidR="00000000" w:rsidRDefault="00AE54EE">
      <w:pPr>
        <w:ind w:firstLine="450"/>
        <w:divId w:val="2037658363"/>
        <w:rPr>
          <w:rFonts w:eastAsia="Times New Roman"/>
        </w:rPr>
      </w:pPr>
      <w:r>
        <w:rPr>
          <w:rFonts w:eastAsia="Times New Roman"/>
          <w:color w:val="000000"/>
          <w:sz w:val="20"/>
          <w:szCs w:val="20"/>
        </w:rPr>
        <w:t>Effective January 1, 2022, we have streamlined our business segments from four business segments to three business segments. As a result of the segment reorganization, the Aviation Systems segment was eliminated as a business segment effective for the</w:t>
      </w:r>
      <w:r>
        <w:rPr>
          <w:rFonts w:eastAsia="Times New Roman"/>
          <w:color w:val="000000"/>
          <w:sz w:val="20"/>
          <w:szCs w:val="20"/>
        </w:rPr>
        <w:t xml:space="preserve"> beginning of fiscal 2022. See </w:t>
      </w:r>
      <w:r>
        <w:rPr>
          <w:rFonts w:eastAsia="Times New Roman"/>
          <w:i/>
          <w:iCs/>
          <w:color w:val="000000"/>
          <w:sz w:val="20"/>
          <w:szCs w:val="20"/>
        </w:rPr>
        <w:t>Note 27: Subsequent Events</w:t>
      </w:r>
      <w:r>
        <w:rPr>
          <w:rFonts w:eastAsia="Times New Roman"/>
          <w:color w:val="000000"/>
          <w:sz w:val="20"/>
          <w:szCs w:val="20"/>
        </w:rPr>
        <w:t xml:space="preserve"> for further information relating to our fiscal 2022 segment reorganization.</w:t>
      </w:r>
    </w:p>
    <w:p w:rsidR="00000000" w:rsidRDefault="00AE54EE">
      <w:pPr>
        <w:ind w:firstLine="450"/>
        <w:divId w:val="1408653097"/>
        <w:rPr>
          <w:rFonts w:eastAsia="Times New Roman"/>
        </w:rPr>
      </w:pPr>
      <w:r>
        <w:rPr>
          <w:rFonts w:eastAsia="Times New Roman"/>
          <w:color w:val="000000"/>
          <w:sz w:val="20"/>
          <w:szCs w:val="20"/>
        </w:rPr>
        <w:t>See</w:t>
      </w:r>
      <w:r>
        <w:rPr>
          <w:rFonts w:eastAsia="Times New Roman"/>
          <w:i/>
          <w:iCs/>
          <w:color w:val="000000"/>
          <w:sz w:val="20"/>
          <w:szCs w:val="20"/>
        </w:rPr>
        <w:t xml:space="preserve"> Note 3: Business Divestitures and Asset Sales</w:t>
      </w:r>
      <w:r>
        <w:rPr>
          <w:rFonts w:eastAsia="Times New Roman"/>
          <w:color w:val="000000"/>
          <w:sz w:val="20"/>
          <w:szCs w:val="20"/>
        </w:rPr>
        <w:t xml:space="preserve"> and elsewhere in these Notes for information relating to businesses dive</w:t>
      </w:r>
      <w:r>
        <w:rPr>
          <w:rFonts w:eastAsia="Times New Roman"/>
          <w:color w:val="000000"/>
          <w:sz w:val="20"/>
          <w:szCs w:val="20"/>
        </w:rPr>
        <w:t>sted in fiscal 2021, fiscal 2020 and the two quarters ended January 3, 2020.</w:t>
      </w:r>
    </w:p>
    <w:p w:rsidR="00000000" w:rsidRDefault="00AE54EE">
      <w:pPr>
        <w:ind w:firstLine="450"/>
        <w:divId w:val="1456176445"/>
        <w:rPr>
          <w:rFonts w:eastAsia="Times New Roman"/>
        </w:rPr>
      </w:pPr>
    </w:p>
    <w:p w:rsidR="00000000" w:rsidRDefault="00AE54EE">
      <w:pPr>
        <w:ind w:firstLine="450"/>
        <w:jc w:val="center"/>
        <w:divId w:val="1032730277"/>
        <w:rPr>
          <w:rFonts w:eastAsia="Times New Roman"/>
        </w:rPr>
      </w:pPr>
      <w:r>
        <w:rPr>
          <w:rFonts w:eastAsia="Times New Roman"/>
          <w:color w:val="000000"/>
          <w:sz w:val="20"/>
          <w:szCs w:val="20"/>
        </w:rPr>
        <w:t>117</w:t>
      </w:r>
    </w:p>
    <w:p w:rsidR="00000000" w:rsidRDefault="00AE54EE">
      <w:pPr>
        <w:rPr>
          <w:rFonts w:eastAsia="Times New Roman"/>
        </w:rPr>
      </w:pPr>
      <w:r>
        <w:rPr>
          <w:rFonts w:eastAsia="Times New Roman"/>
        </w:rPr>
        <w:pict>
          <v:rect id="_x0000_i1145" style="width:0;height:1.5pt" o:hralign="center" o:hrstd="t" o:hr="t" fillcolor="#a0a0a0" stroked="f"/>
        </w:pict>
      </w:r>
    </w:p>
    <w:p w:rsidR="00000000" w:rsidRDefault="00AE54EE">
      <w:pPr>
        <w:ind w:firstLine="450"/>
        <w:divId w:val="1586263562"/>
        <w:rPr>
          <w:rFonts w:eastAsia="Times New Roman"/>
        </w:rPr>
      </w:pPr>
    </w:p>
    <w:p w:rsidR="00000000" w:rsidRDefault="00AE54EE">
      <w:pPr>
        <w:ind w:firstLine="450"/>
        <w:divId w:val="1314259544"/>
        <w:rPr>
          <w:rFonts w:eastAsia="Times New Roman"/>
        </w:rPr>
      </w:pPr>
      <w:r>
        <w:rPr>
          <w:rFonts w:eastAsia="Times New Roman"/>
          <w:color w:val="000000"/>
          <w:sz w:val="20"/>
          <w:szCs w:val="20"/>
        </w:rPr>
        <w:t>Segment revenue, segment operating income (loss) and a reconciliation of segment operating income to total income from continuing oper</w:t>
      </w:r>
      <w:r>
        <w:rPr>
          <w:rFonts w:eastAsia="Times New Roman"/>
          <w:color w:val="000000"/>
          <w:sz w:val="20"/>
          <w:szCs w:val="20"/>
        </w:rPr>
        <w:t>ations before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838"/>
        <w:gridCol w:w="38"/>
        <w:gridCol w:w="120"/>
        <w:gridCol w:w="992"/>
        <w:gridCol w:w="36"/>
        <w:gridCol w:w="36"/>
        <w:gridCol w:w="36"/>
        <w:gridCol w:w="36"/>
        <w:gridCol w:w="120"/>
        <w:gridCol w:w="816"/>
        <w:gridCol w:w="36"/>
        <w:gridCol w:w="36"/>
        <w:gridCol w:w="36"/>
        <w:gridCol w:w="36"/>
        <w:gridCol w:w="121"/>
        <w:gridCol w:w="816"/>
        <w:gridCol w:w="36"/>
        <w:gridCol w:w="36"/>
        <w:gridCol w:w="36"/>
        <w:gridCol w:w="36"/>
        <w:gridCol w:w="120"/>
        <w:gridCol w:w="817"/>
        <w:gridCol w:w="36"/>
      </w:tblGrid>
      <w:tr w:rsidR="00000000">
        <w:trPr>
          <w:divId w:val="205066512"/>
        </w:trPr>
        <w:tc>
          <w:tcPr>
            <w:tcW w:w="50" w:type="pct"/>
            <w:vAlign w:val="center"/>
            <w:hideMark/>
          </w:tcPr>
          <w:p w:rsidR="00000000" w:rsidRDefault="00AE54EE">
            <w:pPr>
              <w:ind w:firstLine="450"/>
              <w:rPr>
                <w:rFonts w:eastAsia="Times New Roman"/>
              </w:rPr>
            </w:pPr>
          </w:p>
        </w:tc>
        <w:tc>
          <w:tcPr>
            <w:tcW w:w="234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4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4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4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205066512"/>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205066512"/>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205066512"/>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0506651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05066512"/>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5,839 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5,538 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2,758 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5,093 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4,946 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2,377 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3,711 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4,287 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4,443 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2,151 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2,208 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2,783 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2,038 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20" w:type="dxa"/>
              <w:bottom w:w="30" w:type="dxa"/>
              <w:right w:w="20" w:type="dxa"/>
            </w:tcMar>
            <w:hideMark/>
          </w:tcPr>
          <w:p w:rsidR="00000000" w:rsidRDefault="00AE54EE">
            <w:pPr>
              <w:spacing w:after="100"/>
              <w:divId w:val="1871262225"/>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Corporate eliminations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Total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17,814 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18,194 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6,801 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Height w:val="28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05066512"/>
        </w:trPr>
        <w:tc>
          <w:tcPr>
            <w:tcW w:w="0" w:type="auto"/>
            <w:gridSpan w:val="24"/>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Income from Continuing Operations before Income Taxes</w:t>
            </w:r>
          </w:p>
        </w:tc>
      </w:tr>
      <w:tr w:rsidR="00000000">
        <w:trPr>
          <w:divId w:val="205066512"/>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Segment Operating Income (Loss):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05066512"/>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950 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970 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932 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1,092 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637 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20" w:type="dxa"/>
              <w:bottom w:w="30" w:type="dxa"/>
              <w:right w:w="20" w:type="dxa"/>
            </w:tcMar>
            <w:hideMark/>
          </w:tcPr>
          <w:p w:rsidR="00000000" w:rsidRDefault="00AE54EE">
            <w:pPr>
              <w:spacing w:after="100"/>
              <w:ind w:hanging="270"/>
              <w:divId w:val="1524660971"/>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i/>
                <w:iCs/>
                <w:color w:val="000000"/>
                <w:sz w:val="20"/>
                <w:szCs w:val="20"/>
              </w:rPr>
              <w:t>Unallocated Items: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05066512"/>
        </w:trPr>
        <w:tc>
          <w:tcPr>
            <w:tcW w:w="0" w:type="auto"/>
            <w:gridSpan w:val="3"/>
            <w:shd w:val="clear" w:color="auto" w:fill="CCEEFF"/>
            <w:tcMar>
              <w:top w:w="30" w:type="dxa"/>
              <w:left w:w="26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Unallocated corporate department expense, net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20" w:type="dxa"/>
              <w:bottom w:w="30" w:type="dxa"/>
              <w:right w:w="20" w:type="dxa"/>
            </w:tcMar>
            <w:hideMark/>
          </w:tcPr>
          <w:p w:rsidR="00000000" w:rsidRDefault="00AE54EE">
            <w:pPr>
              <w:spacing w:after="100"/>
              <w:ind w:hanging="270"/>
              <w:divId w:val="1172527526"/>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(390)</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773209903"/>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440" w:type="dxa"/>
              <w:bottom w:w="30" w:type="dxa"/>
              <w:right w:w="20" w:type="dxa"/>
            </w:tcMar>
            <w:hideMark/>
          </w:tcPr>
          <w:p w:rsidR="00000000" w:rsidRDefault="00AE54EE">
            <w:pPr>
              <w:spacing w:after="100"/>
              <w:ind w:hanging="180"/>
              <w:rPr>
                <w:rFonts w:eastAsia="Times New Roman"/>
              </w:rPr>
            </w:pPr>
            <w:r>
              <w:rPr>
                <w:rFonts w:eastAsia="Times New Roman"/>
                <w:color w:val="000000"/>
                <w:sz w:val="20"/>
                <w:szCs w:val="20"/>
              </w:rPr>
              <w:t>Additional cost of sales related to fair value step-up in inventory sold</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30" w:type="dxa"/>
              <w:left w:w="26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427461010"/>
              <w:rPr>
                <w:rFonts w:eastAsia="Times New Roman"/>
              </w:rPr>
            </w:pPr>
            <w:r>
              <w:rPr>
                <w:rFonts w:eastAsia="Times New Roman"/>
                <w:color w:val="000000"/>
                <w:sz w:val="20"/>
                <w:szCs w:val="20"/>
              </w:rPr>
              <w:t>Impairment of goodwill and other asset</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30" w:type="dxa"/>
              <w:left w:w="26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 xml:space="preserve">Other items </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Pension adjustment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(389)</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140" w:type="dxa"/>
              <w:bottom w:w="30" w:type="dxa"/>
              <w:right w:w="20" w:type="dxa"/>
            </w:tcMar>
            <w:hideMark/>
          </w:tcPr>
          <w:p w:rsidR="00000000" w:rsidRDefault="00AE54EE">
            <w:pPr>
              <w:spacing w:after="100"/>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CCEEFF"/>
            <w:tcMar>
              <w:top w:w="30" w:type="dxa"/>
              <w:left w:w="14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Net interest expense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05066512"/>
        </w:trPr>
        <w:tc>
          <w:tcPr>
            <w:tcW w:w="0" w:type="auto"/>
            <w:gridSpan w:val="3"/>
            <w:shd w:val="clear" w:color="auto" w:fill="FFFFFF"/>
            <w:tcMar>
              <w:top w:w="30" w:type="dxa"/>
              <w:left w:w="290" w:type="dxa"/>
              <w:bottom w:w="30" w:type="dxa"/>
              <w:right w:w="20" w:type="dxa"/>
            </w:tcMar>
            <w:hideMark/>
          </w:tcPr>
          <w:p w:rsidR="00000000" w:rsidRDefault="00AE54EE">
            <w:pPr>
              <w:spacing w:after="100"/>
              <w:ind w:hanging="270"/>
              <w:rPr>
                <w:rFonts w:eastAsia="Times New Roman"/>
              </w:rPr>
            </w:pPr>
            <w:r>
              <w:rPr>
                <w:rFonts w:eastAsia="Times New Roman"/>
                <w:color w:val="000000"/>
                <w:sz w:val="20"/>
                <w:szCs w:val="20"/>
              </w:rPr>
              <w:t>Total income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225843902"/>
        <w:rPr>
          <w:rFonts w:eastAsia="Times New Roman"/>
        </w:rPr>
      </w:pPr>
      <w:r>
        <w:rPr>
          <w:rFonts w:eastAsia="Times New Roman"/>
          <w:color w:val="000000"/>
          <w:sz w:val="16"/>
          <w:szCs w:val="16"/>
        </w:rPr>
        <w:t>_______________</w:t>
      </w:r>
    </w:p>
    <w:p w:rsidR="00000000" w:rsidRDefault="00AE54EE">
      <w:pPr>
        <w:ind w:hanging="360"/>
        <w:divId w:val="1797025434"/>
        <w:rPr>
          <w:rFonts w:eastAsia="Times New Roman"/>
        </w:rPr>
      </w:pPr>
      <w:r>
        <w:rPr>
          <w:rFonts w:eastAsia="Times New Roman"/>
          <w:color w:val="000000"/>
          <w:sz w:val="16"/>
          <w:szCs w:val="16"/>
        </w:rPr>
        <w:t xml:space="preserve">(1)Includes the operating results of the Harris Night Vision business prior to the date of divestiture on September 13, 2019. See </w:t>
      </w:r>
      <w:r>
        <w:rPr>
          <w:rFonts w:eastAsia="Times New Roman"/>
          <w:i/>
          <w:iCs/>
          <w:color w:val="000000"/>
          <w:sz w:val="16"/>
          <w:szCs w:val="16"/>
        </w:rPr>
        <w:t>Note 3: Business Divestitures and Asset Sales</w:t>
      </w:r>
      <w:r>
        <w:rPr>
          <w:rFonts w:eastAsia="Times New Roman"/>
          <w:color w:val="000000"/>
          <w:sz w:val="16"/>
          <w:szCs w:val="16"/>
        </w:rPr>
        <w:t xml:space="preserve"> in these Notes for more information. </w:t>
      </w:r>
    </w:p>
    <w:p w:rsidR="00000000" w:rsidRDefault="00AE54EE">
      <w:pPr>
        <w:ind w:hanging="360"/>
        <w:divId w:val="972716523"/>
        <w:rPr>
          <w:rFonts w:eastAsia="Times New Roman"/>
        </w:rPr>
      </w:pPr>
      <w:r>
        <w:rPr>
          <w:rFonts w:eastAsia="Times New Roman"/>
          <w:color w:val="000000"/>
          <w:sz w:val="16"/>
          <w:szCs w:val="16"/>
        </w:rPr>
        <w:t>(2)Includes amortization of identifiable intangible assets acquired as a result of the L3Harris Merger and the acquisition of Exelis. Because the L3Harris Merger and the acquisition of Exelis benefited the entire Company as opposed to any individual segmen</w:t>
      </w:r>
      <w:r>
        <w:rPr>
          <w:rFonts w:eastAsia="Times New Roman"/>
          <w:color w:val="000000"/>
          <w:sz w:val="16"/>
          <w:szCs w:val="16"/>
        </w:rPr>
        <w:t>t, the amortization of identifiable intangible assets acquired was not allocated to any segment.</w:t>
      </w:r>
    </w:p>
    <w:p w:rsidR="00000000" w:rsidRDefault="00AE54EE">
      <w:pPr>
        <w:ind w:hanging="360"/>
        <w:divId w:val="1195459296"/>
        <w:rPr>
          <w:rFonts w:eastAsia="Times New Roman"/>
        </w:rPr>
      </w:pPr>
      <w:r>
        <w:rPr>
          <w:rFonts w:eastAsia="Times New Roman"/>
          <w:color w:val="000000"/>
          <w:sz w:val="16"/>
          <w:szCs w:val="16"/>
        </w:rPr>
        <w:t>(3)For fiscal 2021 includes: (i) a $62 million non-cash goodwill impairment charge related to our CPS business and (ii) a $63 million non-cash intangible asset</w:t>
      </w:r>
      <w:r>
        <w:rPr>
          <w:rFonts w:eastAsia="Times New Roman"/>
          <w:color w:val="000000"/>
          <w:sz w:val="16"/>
          <w:szCs w:val="16"/>
        </w:rPr>
        <w:t xml:space="preserve"> impairment charge related to our CTS reporting unit. For fiscal 2020 includes: (i) a $113 million non-cash intangible asset impairment charge related to our CAS reporting unit and (ii) a $14 million non-cash goodwill impairment charge related to the then-</w:t>
      </w:r>
      <w:r>
        <w:rPr>
          <w:rFonts w:eastAsia="Times New Roman"/>
          <w:color w:val="000000"/>
          <w:sz w:val="16"/>
          <w:szCs w:val="16"/>
        </w:rPr>
        <w:t xml:space="preserve">potential divestiture of VSE disposal group, as well as a $5 million non-cash goodwill impairment charge related to the divestiture of the Applied Kilovolts business. See </w:t>
      </w:r>
      <w:r>
        <w:rPr>
          <w:rFonts w:eastAsia="Times New Roman"/>
          <w:i/>
          <w:iCs/>
          <w:color w:val="000000"/>
          <w:sz w:val="16"/>
          <w:szCs w:val="16"/>
        </w:rPr>
        <w:t>Note 9: Goodwill</w:t>
      </w:r>
      <w:r>
        <w:rPr>
          <w:rFonts w:eastAsia="Times New Roman"/>
          <w:color w:val="000000"/>
          <w:sz w:val="16"/>
          <w:szCs w:val="16"/>
        </w:rPr>
        <w:t xml:space="preserve"> and </w:t>
      </w:r>
      <w:r>
        <w:rPr>
          <w:rFonts w:eastAsia="Times New Roman"/>
          <w:i/>
          <w:iCs/>
          <w:color w:val="000000"/>
          <w:sz w:val="16"/>
          <w:szCs w:val="16"/>
        </w:rPr>
        <w:t>Note 10: Intangible Assets</w:t>
      </w:r>
      <w:r>
        <w:rPr>
          <w:rFonts w:eastAsia="Times New Roman"/>
          <w:color w:val="000000"/>
          <w:sz w:val="16"/>
          <w:szCs w:val="16"/>
        </w:rPr>
        <w:t xml:space="preserve"> in these Notes for additional informa</w:t>
      </w:r>
      <w:r>
        <w:rPr>
          <w:rFonts w:eastAsia="Times New Roman"/>
          <w:color w:val="000000"/>
          <w:sz w:val="16"/>
          <w:szCs w:val="16"/>
        </w:rPr>
        <w:t>tion.</w:t>
      </w:r>
    </w:p>
    <w:p w:rsidR="00000000" w:rsidRDefault="00AE54EE">
      <w:pPr>
        <w:divId w:val="356393162"/>
        <w:rPr>
          <w:rFonts w:eastAsia="Times New Roman"/>
        </w:rPr>
      </w:pPr>
    </w:p>
    <w:p w:rsidR="00000000" w:rsidRDefault="00AE54EE">
      <w:pPr>
        <w:ind w:firstLine="450"/>
        <w:jc w:val="center"/>
        <w:divId w:val="1969242203"/>
        <w:rPr>
          <w:rFonts w:eastAsia="Times New Roman"/>
        </w:rPr>
      </w:pPr>
      <w:r>
        <w:rPr>
          <w:rFonts w:eastAsia="Times New Roman"/>
          <w:color w:val="000000"/>
          <w:sz w:val="20"/>
          <w:szCs w:val="20"/>
        </w:rPr>
        <w:t>118</w:t>
      </w:r>
    </w:p>
    <w:p w:rsidR="00000000" w:rsidRDefault="00AE54EE">
      <w:pPr>
        <w:rPr>
          <w:rFonts w:eastAsia="Times New Roman"/>
        </w:rPr>
      </w:pPr>
      <w:r>
        <w:rPr>
          <w:rFonts w:eastAsia="Times New Roman"/>
        </w:rPr>
        <w:pict>
          <v:rect id="_x0000_i1146" style="width:0;height:1.5pt" o:hralign="center" o:hrstd="t" o:hr="t" fillcolor="#a0a0a0" stroked="f"/>
        </w:pict>
      </w:r>
    </w:p>
    <w:p w:rsidR="00000000" w:rsidRDefault="00AE54EE">
      <w:pPr>
        <w:ind w:firstLine="450"/>
        <w:divId w:val="2009824940"/>
        <w:rPr>
          <w:rFonts w:eastAsia="Times New Roman"/>
        </w:rPr>
      </w:pPr>
    </w:p>
    <w:p w:rsidR="00000000" w:rsidRDefault="00AE54EE">
      <w:pPr>
        <w:divId w:val="1150295277"/>
        <w:rPr>
          <w:rFonts w:eastAsia="Times New Roman"/>
        </w:rPr>
      </w:pPr>
      <w:r>
        <w:rPr>
          <w:rFonts w:eastAsia="Times New Roman"/>
          <w:b/>
          <w:bCs/>
          <w:color w:val="000000"/>
          <w:sz w:val="20"/>
          <w:szCs w:val="20"/>
        </w:rPr>
        <w:t>Disaggregation of Revenue</w:t>
      </w:r>
    </w:p>
    <w:p w:rsidR="00000000" w:rsidRDefault="00AE54EE">
      <w:pPr>
        <w:ind w:firstLine="450"/>
        <w:divId w:val="960455554"/>
        <w:rPr>
          <w:rFonts w:eastAsia="Times New Roman"/>
        </w:rPr>
      </w:pPr>
      <w:r>
        <w:rPr>
          <w:rFonts w:eastAsia="Times New Roman"/>
          <w:color w:val="000000"/>
          <w:sz w:val="20"/>
          <w:szCs w:val="20"/>
        </w:rPr>
        <w:t>We disaggregate revenue for all four business segments by customer relationship, contract type and geographical region. We believe these categories best depict how the nature, amou</w:t>
      </w:r>
      <w:r>
        <w:rPr>
          <w:rFonts w:eastAsia="Times New Roman"/>
          <w:color w:val="000000"/>
          <w:sz w:val="20"/>
          <w:szCs w:val="20"/>
        </w:rPr>
        <w:t>nt, timing and uncertainty of revenue and cash flows are affected by economic factors.</w:t>
      </w:r>
    </w:p>
    <w:p w:rsidR="00000000" w:rsidRDefault="00AE54EE">
      <w:pPr>
        <w:ind w:firstLine="450"/>
        <w:divId w:val="653263554"/>
        <w:rPr>
          <w:rFonts w:eastAsia="Times New Roman"/>
        </w:rPr>
      </w:pPr>
      <w:r>
        <w:rPr>
          <w:rFonts w:eastAsia="Times New Roman"/>
          <w:i/>
          <w:iCs/>
          <w:color w:val="000000"/>
          <w:sz w:val="20"/>
          <w:szCs w:val="20"/>
        </w:rPr>
        <w:t xml:space="preserve">Integrated Mission Systems: </w:t>
      </w:r>
      <w:r>
        <w:rPr>
          <w:rFonts w:eastAsia="Times New Roman"/>
          <w:color w:val="000000"/>
          <w:sz w:val="20"/>
          <w:szCs w:val="20"/>
        </w:rPr>
        <w:t xml:space="preserve">Integrated Mission Systems revenue was primarily derived from U.S. Government development and production contracts and was generally recognized over time using the POC cost-to-cost revenue recognition method. </w:t>
      </w:r>
    </w:p>
    <w:tbl>
      <w:tblPr>
        <w:tblW w:w="4992" w:type="pct"/>
        <w:tblCellMar>
          <w:top w:w="15" w:type="dxa"/>
          <w:left w:w="15" w:type="dxa"/>
          <w:bottom w:w="15" w:type="dxa"/>
          <w:right w:w="15" w:type="dxa"/>
        </w:tblCellMar>
        <w:tblLook w:val="04A0" w:firstRow="1" w:lastRow="0" w:firstColumn="1" w:lastColumn="0" w:noHBand="0" w:noVBand="1"/>
      </w:tblPr>
      <w:tblGrid>
        <w:gridCol w:w="39"/>
        <w:gridCol w:w="3720"/>
        <w:gridCol w:w="37"/>
        <w:gridCol w:w="121"/>
        <w:gridCol w:w="992"/>
        <w:gridCol w:w="36"/>
        <w:gridCol w:w="36"/>
        <w:gridCol w:w="36"/>
        <w:gridCol w:w="36"/>
        <w:gridCol w:w="120"/>
        <w:gridCol w:w="850"/>
        <w:gridCol w:w="36"/>
        <w:gridCol w:w="36"/>
        <w:gridCol w:w="36"/>
        <w:gridCol w:w="36"/>
        <w:gridCol w:w="121"/>
        <w:gridCol w:w="850"/>
        <w:gridCol w:w="36"/>
        <w:gridCol w:w="36"/>
        <w:gridCol w:w="36"/>
        <w:gridCol w:w="36"/>
        <w:gridCol w:w="121"/>
        <w:gridCol w:w="854"/>
        <w:gridCol w:w="36"/>
      </w:tblGrid>
      <w:tr w:rsidR="00000000">
        <w:trPr>
          <w:divId w:val="1539974097"/>
        </w:trPr>
        <w:tc>
          <w:tcPr>
            <w:tcW w:w="50" w:type="pct"/>
            <w:vAlign w:val="center"/>
            <w:hideMark/>
          </w:tcPr>
          <w:p w:rsidR="00000000" w:rsidRDefault="00AE54EE">
            <w:pPr>
              <w:ind w:firstLine="450"/>
              <w:rPr>
                <w:rFonts w:eastAsia="Times New Roman"/>
              </w:rPr>
            </w:pPr>
          </w:p>
        </w:tc>
        <w:tc>
          <w:tcPr>
            <w:tcW w:w="227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539974097"/>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539974097"/>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539974097"/>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3997409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3997409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4,044 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3,721 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1,893 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1,727 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1,764 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3997409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1171600516"/>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4,467 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4,172 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1,304 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1,313 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53997409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4,338 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2,120 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1,656 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1,147 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539974097"/>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317004062"/>
        <w:rPr>
          <w:rFonts w:eastAsia="Times New Roman"/>
        </w:rPr>
      </w:pPr>
      <w:r>
        <w:rPr>
          <w:rFonts w:eastAsia="Times New Roman"/>
          <w:color w:val="000000"/>
          <w:sz w:val="16"/>
          <w:szCs w:val="16"/>
        </w:rPr>
        <w:t>_______________</w:t>
      </w:r>
    </w:p>
    <w:p w:rsidR="00000000" w:rsidRDefault="00AE54EE">
      <w:pPr>
        <w:ind w:hanging="360"/>
        <w:divId w:val="833567656"/>
        <w:rPr>
          <w:rFonts w:eastAsia="Times New Roman"/>
        </w:rPr>
      </w:pPr>
      <w:r>
        <w:rPr>
          <w:rFonts w:eastAsia="Times New Roman"/>
          <w:color w:val="000000"/>
          <w:sz w:val="16"/>
          <w:szCs w:val="16"/>
        </w:rPr>
        <w:t>(1)Includes revenue derived from time-and-materials contracts.</w:t>
      </w:r>
    </w:p>
    <w:p w:rsidR="00000000" w:rsidRDefault="00AE54EE">
      <w:pPr>
        <w:ind w:firstLine="450"/>
        <w:divId w:val="1081753954"/>
        <w:rPr>
          <w:rFonts w:eastAsia="Times New Roman"/>
        </w:rPr>
      </w:pPr>
      <w:r>
        <w:rPr>
          <w:rFonts w:eastAsia="Times New Roman"/>
          <w:i/>
          <w:iCs/>
          <w:color w:val="000000"/>
          <w:sz w:val="20"/>
          <w:szCs w:val="20"/>
        </w:rPr>
        <w:t>Space &amp; Airborne Systems:</w:t>
      </w:r>
      <w:r>
        <w:rPr>
          <w:rFonts w:eastAsia="Times New Roman"/>
          <w:color w:val="000000"/>
          <w:sz w:val="20"/>
          <w:szCs w:val="20"/>
        </w:rPr>
        <w:t xml:space="preserve"> Space &amp; </w:t>
      </w:r>
      <w:r>
        <w:rPr>
          <w:rFonts w:eastAsia="Times New Roman"/>
          <w:color w:val="000000"/>
          <w:sz w:val="20"/>
          <w:szCs w:val="20"/>
        </w:rPr>
        <w:t xml:space="preserve">Airborne Systems revenue was primarily derived from U.S. Government development and production contracts and was generally recognized over time using the POC cost-to-cost revenue recognition method. </w:t>
      </w:r>
    </w:p>
    <w:tbl>
      <w:tblPr>
        <w:tblW w:w="5000" w:type="pct"/>
        <w:tblCellMar>
          <w:top w:w="15" w:type="dxa"/>
          <w:left w:w="15" w:type="dxa"/>
          <w:bottom w:w="15" w:type="dxa"/>
          <w:right w:w="15" w:type="dxa"/>
        </w:tblCellMar>
        <w:tblLook w:val="04A0" w:firstRow="1" w:lastRow="0" w:firstColumn="1" w:lastColumn="0" w:noHBand="0" w:noVBand="1"/>
      </w:tblPr>
      <w:tblGrid>
        <w:gridCol w:w="39"/>
        <w:gridCol w:w="3720"/>
        <w:gridCol w:w="37"/>
        <w:gridCol w:w="121"/>
        <w:gridCol w:w="1004"/>
        <w:gridCol w:w="36"/>
        <w:gridCol w:w="36"/>
        <w:gridCol w:w="36"/>
        <w:gridCol w:w="36"/>
        <w:gridCol w:w="120"/>
        <w:gridCol w:w="851"/>
        <w:gridCol w:w="36"/>
        <w:gridCol w:w="36"/>
        <w:gridCol w:w="36"/>
        <w:gridCol w:w="36"/>
        <w:gridCol w:w="121"/>
        <w:gridCol w:w="852"/>
        <w:gridCol w:w="36"/>
        <w:gridCol w:w="36"/>
        <w:gridCol w:w="36"/>
        <w:gridCol w:w="36"/>
        <w:gridCol w:w="120"/>
        <w:gridCol w:w="853"/>
        <w:gridCol w:w="36"/>
      </w:tblGrid>
      <w:tr w:rsidR="00000000">
        <w:trPr>
          <w:divId w:val="9572094"/>
        </w:trPr>
        <w:tc>
          <w:tcPr>
            <w:tcW w:w="50" w:type="pct"/>
            <w:vAlign w:val="center"/>
            <w:hideMark/>
          </w:tcPr>
          <w:p w:rsidR="00000000" w:rsidRDefault="00AE54EE">
            <w:pPr>
              <w:ind w:firstLine="450"/>
              <w:rPr>
                <w:rFonts w:eastAsia="Times New Roman"/>
              </w:rPr>
            </w:pPr>
          </w:p>
        </w:tc>
        <w:tc>
          <w:tcPr>
            <w:tcW w:w="22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3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9572094"/>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9572094"/>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9572094"/>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7209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7209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2,925 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2,684 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2,244 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2,157 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2,247 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1,439 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72094"/>
        </w:trPr>
        <w:tc>
          <w:tcPr>
            <w:tcW w:w="0" w:type="auto"/>
            <w:gridSpan w:val="3"/>
            <w:shd w:val="clear" w:color="auto" w:fill="CCEEFF"/>
            <w:tcMar>
              <w:top w:w="30" w:type="dxa"/>
              <w:left w:w="20" w:type="dxa"/>
              <w:bottom w:w="30" w:type="dxa"/>
              <w:right w:w="20" w:type="dxa"/>
            </w:tcMar>
            <w:hideMark/>
          </w:tcPr>
          <w:p w:rsidR="00000000" w:rsidRDefault="00AE54EE">
            <w:pPr>
              <w:spacing w:after="100"/>
              <w:divId w:val="1735005617"/>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2,834 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1,380 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2,066 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2,161 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2,097 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992 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7209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4,417 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4,180 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2,038 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3,252 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665 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751 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9572094"/>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1034423147"/>
        <w:rPr>
          <w:rFonts w:eastAsia="Times New Roman"/>
        </w:rPr>
      </w:pPr>
      <w:r>
        <w:rPr>
          <w:rFonts w:eastAsia="Times New Roman"/>
          <w:color w:val="000000"/>
          <w:sz w:val="16"/>
          <w:szCs w:val="16"/>
        </w:rPr>
        <w:t>_______________</w:t>
      </w:r>
    </w:p>
    <w:p w:rsidR="00000000" w:rsidRDefault="00AE54EE">
      <w:pPr>
        <w:ind w:hanging="360"/>
        <w:divId w:val="462038401"/>
        <w:rPr>
          <w:rFonts w:eastAsia="Times New Roman"/>
        </w:rPr>
      </w:pPr>
      <w:r>
        <w:rPr>
          <w:rFonts w:eastAsia="Times New Roman"/>
          <w:color w:val="000000"/>
          <w:sz w:val="16"/>
          <w:szCs w:val="16"/>
        </w:rPr>
        <w:t>(1)Includes revenue derived from time-and-materials contracts.</w:t>
      </w:r>
    </w:p>
    <w:p w:rsidR="00000000" w:rsidRDefault="00AE54EE">
      <w:pPr>
        <w:ind w:firstLine="450"/>
        <w:jc w:val="center"/>
        <w:divId w:val="1638603785"/>
        <w:rPr>
          <w:rFonts w:eastAsia="Times New Roman"/>
        </w:rPr>
      </w:pPr>
      <w:r>
        <w:rPr>
          <w:rFonts w:eastAsia="Times New Roman"/>
          <w:color w:val="000000"/>
          <w:sz w:val="20"/>
          <w:szCs w:val="20"/>
        </w:rPr>
        <w:t>119</w:t>
      </w:r>
    </w:p>
    <w:p w:rsidR="00000000" w:rsidRDefault="00AE54EE">
      <w:pPr>
        <w:rPr>
          <w:rFonts w:eastAsia="Times New Roman"/>
        </w:rPr>
      </w:pPr>
      <w:r>
        <w:rPr>
          <w:rFonts w:eastAsia="Times New Roman"/>
        </w:rPr>
        <w:pict>
          <v:rect id="_x0000_i1147" style="width:0;height:1.5pt" o:hralign="center" o:hrstd="t" o:hr="t" fillcolor="#a0a0a0" stroked="f"/>
        </w:pict>
      </w:r>
    </w:p>
    <w:p w:rsidR="00000000" w:rsidRDefault="00AE54EE">
      <w:pPr>
        <w:ind w:firstLine="450"/>
        <w:divId w:val="1256090366"/>
        <w:rPr>
          <w:rFonts w:eastAsia="Times New Roman"/>
        </w:rPr>
      </w:pPr>
    </w:p>
    <w:p w:rsidR="00000000" w:rsidRDefault="00AE54EE">
      <w:pPr>
        <w:ind w:firstLine="450"/>
        <w:divId w:val="1890994349"/>
        <w:rPr>
          <w:rFonts w:eastAsia="Times New Roman"/>
        </w:rPr>
      </w:pPr>
      <w:r>
        <w:rPr>
          <w:rFonts w:eastAsia="Times New Roman"/>
          <w:i/>
          <w:iCs/>
          <w:color w:val="000000"/>
          <w:sz w:val="20"/>
          <w:szCs w:val="20"/>
        </w:rPr>
        <w:t xml:space="preserve">Communication Systems: </w:t>
      </w:r>
      <w:r>
        <w:rPr>
          <w:rFonts w:eastAsia="Times New Roman"/>
          <w:color w:val="000000"/>
          <w:sz w:val="20"/>
          <w:szCs w:val="20"/>
        </w:rPr>
        <w:t>Communication Systems revenue was primarily derived from fixed-price contracts and was generally recognized at the point in time when products were received and accepted by the customer for stand</w:t>
      </w:r>
      <w:r>
        <w:rPr>
          <w:rFonts w:eastAsia="Times New Roman"/>
          <w:color w:val="000000"/>
          <w:sz w:val="20"/>
          <w:szCs w:val="20"/>
        </w:rPr>
        <w:t xml:space="preserve">ard products offered to multiple customers and over time for customer-specific products, systems and services. </w:t>
      </w:r>
    </w:p>
    <w:tbl>
      <w:tblPr>
        <w:tblW w:w="5000" w:type="pct"/>
        <w:tblCellMar>
          <w:top w:w="15" w:type="dxa"/>
          <w:left w:w="15" w:type="dxa"/>
          <w:bottom w:w="15" w:type="dxa"/>
          <w:right w:w="15" w:type="dxa"/>
        </w:tblCellMar>
        <w:tblLook w:val="04A0" w:firstRow="1" w:lastRow="0" w:firstColumn="1" w:lastColumn="0" w:noHBand="0" w:noVBand="1"/>
      </w:tblPr>
      <w:tblGrid>
        <w:gridCol w:w="38"/>
        <w:gridCol w:w="3721"/>
        <w:gridCol w:w="36"/>
        <w:gridCol w:w="121"/>
        <w:gridCol w:w="1004"/>
        <w:gridCol w:w="36"/>
        <w:gridCol w:w="36"/>
        <w:gridCol w:w="36"/>
        <w:gridCol w:w="36"/>
        <w:gridCol w:w="120"/>
        <w:gridCol w:w="851"/>
        <w:gridCol w:w="36"/>
        <w:gridCol w:w="36"/>
        <w:gridCol w:w="36"/>
        <w:gridCol w:w="36"/>
        <w:gridCol w:w="121"/>
        <w:gridCol w:w="853"/>
        <w:gridCol w:w="36"/>
        <w:gridCol w:w="36"/>
        <w:gridCol w:w="36"/>
        <w:gridCol w:w="36"/>
        <w:gridCol w:w="120"/>
        <w:gridCol w:w="853"/>
        <w:gridCol w:w="36"/>
      </w:tblGrid>
      <w:tr w:rsidR="00000000">
        <w:trPr>
          <w:divId w:val="1691102408"/>
        </w:trPr>
        <w:tc>
          <w:tcPr>
            <w:tcW w:w="50" w:type="pct"/>
            <w:vAlign w:val="center"/>
            <w:hideMark/>
          </w:tcPr>
          <w:p w:rsidR="00000000" w:rsidRDefault="00AE54EE">
            <w:pPr>
              <w:ind w:firstLine="450"/>
              <w:rPr>
                <w:rFonts w:eastAsia="Times New Roman"/>
              </w:rPr>
            </w:pPr>
          </w:p>
        </w:tc>
        <w:tc>
          <w:tcPr>
            <w:tcW w:w="22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3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691102408"/>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691102408"/>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CCEEFF"/>
            <w:tcMar>
              <w:top w:w="30" w:type="dxa"/>
              <w:left w:w="20" w:type="dxa"/>
              <w:bottom w:w="30" w:type="dxa"/>
              <w:right w:w="20" w:type="dxa"/>
            </w:tcMar>
            <w:hideMark/>
          </w:tcPr>
          <w:p w:rsidR="00000000" w:rsidRDefault="00AE54EE">
            <w:pPr>
              <w:spacing w:after="100"/>
              <w:divId w:val="860364479"/>
              <w:rPr>
                <w:rFonts w:eastAsia="Times New Roman"/>
              </w:rPr>
            </w:pPr>
            <w:r>
              <w:rPr>
                <w:rFonts w:eastAsia="Times New Roman"/>
                <w:b/>
                <w:bCs/>
                <w:color w:val="000000"/>
                <w:sz w:val="20"/>
                <w:szCs w:val="20"/>
              </w:rPr>
              <w:t>Revenue By Customer Relationshi</w:t>
            </w:r>
            <w:r>
              <w:rPr>
                <w:rFonts w:eastAsia="Times New Roman"/>
                <w:b/>
                <w:bCs/>
                <w:color w:val="000000"/>
                <w:sz w:val="20"/>
                <w:szCs w:val="20"/>
              </w:rPr>
              <w:t>p</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2,886 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3,102 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1,406 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FFFFFF"/>
            <w:tcMar>
              <w:top w:w="30" w:type="dxa"/>
              <w:left w:w="20" w:type="dxa"/>
              <w:bottom w:w="30" w:type="dxa"/>
              <w:right w:w="20" w:type="dxa"/>
            </w:tcMar>
            <w:hideMark/>
          </w:tcPr>
          <w:p w:rsidR="00000000" w:rsidRDefault="00AE54EE">
            <w:pPr>
              <w:spacing w:after="100"/>
              <w:divId w:val="143393563"/>
              <w:rPr>
                <w:rFonts w:eastAsia="Times New Roman"/>
              </w:rPr>
            </w:pPr>
            <w:r>
              <w:rPr>
                <w:rFonts w:eastAsia="Times New Roman"/>
                <w:b/>
                <w:bCs/>
                <w:color w:val="000000"/>
                <w:sz w:val="20"/>
                <w:szCs w:val="20"/>
              </w:rPr>
              <w:t>Revenue By Contract Typ</w:t>
            </w:r>
            <w:r>
              <w:rPr>
                <w:rFonts w:eastAsia="Times New Roman"/>
                <w:b/>
                <w:bCs/>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CCEEFF"/>
            <w:tcMar>
              <w:top w:w="30" w:type="dxa"/>
              <w:left w:w="20" w:type="dxa"/>
              <w:bottom w:w="30" w:type="dxa"/>
              <w:right w:w="20" w:type="dxa"/>
            </w:tcMar>
            <w:hideMark/>
          </w:tcPr>
          <w:p w:rsidR="00000000" w:rsidRDefault="00AE54EE">
            <w:pPr>
              <w:spacing w:after="100"/>
              <w:divId w:val="437067138"/>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3,784 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1,840 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69110240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3,001 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3,181 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1,507 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91102408"/>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1,232 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927 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91102408"/>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691102408"/>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4,287 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239295616"/>
        <w:rPr>
          <w:rFonts w:eastAsia="Times New Roman"/>
        </w:rPr>
      </w:pPr>
      <w:r>
        <w:rPr>
          <w:rFonts w:eastAsia="Times New Roman"/>
          <w:color w:val="000000"/>
          <w:sz w:val="16"/>
          <w:szCs w:val="16"/>
        </w:rPr>
        <w:t>_______________</w:t>
      </w:r>
    </w:p>
    <w:p w:rsidR="00000000" w:rsidRDefault="00AE54EE">
      <w:pPr>
        <w:ind w:hanging="360"/>
        <w:divId w:val="1053846200"/>
        <w:rPr>
          <w:rFonts w:eastAsia="Times New Roman"/>
        </w:rPr>
      </w:pPr>
      <w:r>
        <w:rPr>
          <w:rFonts w:eastAsia="Times New Roman"/>
          <w:color w:val="000000"/>
          <w:sz w:val="16"/>
          <w:szCs w:val="16"/>
        </w:rPr>
        <w:t>(1)Prior to the L3Harris Merger, Communication Systems did not recognize significant revenue for customer-specific product</w:t>
      </w:r>
      <w:r>
        <w:rPr>
          <w:rFonts w:eastAsia="Times New Roman"/>
          <w:color w:val="000000"/>
          <w:sz w:val="16"/>
          <w:szCs w:val="16"/>
        </w:rPr>
        <w:t>s and systems, and currently, such customer arrangements primarily exist at operating businesses acquired in connection with the L3Harris Merger. The “Revenue by Customer Relationship” and “Revenue by Contract Type” disaggregation categories were added beg</w:t>
      </w:r>
      <w:r>
        <w:rPr>
          <w:rFonts w:eastAsia="Times New Roman"/>
          <w:color w:val="000000"/>
          <w:sz w:val="16"/>
          <w:szCs w:val="16"/>
        </w:rPr>
        <w:t xml:space="preserve">inning in the Fiscal Transition Period to best depict how the nature, amount, timing and uncertainty of revenue and cash flows from these types of customer arrangements are affected by economic factors. </w:t>
      </w:r>
    </w:p>
    <w:p w:rsidR="00000000" w:rsidRDefault="00AE54EE">
      <w:pPr>
        <w:ind w:hanging="360"/>
        <w:divId w:val="915167249"/>
        <w:rPr>
          <w:rFonts w:eastAsia="Times New Roman"/>
        </w:rPr>
      </w:pPr>
      <w:r>
        <w:rPr>
          <w:rFonts w:eastAsia="Times New Roman"/>
          <w:color w:val="000000"/>
          <w:sz w:val="16"/>
          <w:szCs w:val="16"/>
        </w:rPr>
        <w:t xml:space="preserve">(2)Includes revenue derived from time-and-materials </w:t>
      </w:r>
      <w:r>
        <w:rPr>
          <w:rFonts w:eastAsia="Times New Roman"/>
          <w:color w:val="000000"/>
          <w:sz w:val="16"/>
          <w:szCs w:val="16"/>
        </w:rPr>
        <w:t>contracts.</w:t>
      </w:r>
    </w:p>
    <w:p w:rsidR="00000000" w:rsidRDefault="00AE54EE">
      <w:pPr>
        <w:ind w:firstLine="450"/>
        <w:divId w:val="920338139"/>
        <w:rPr>
          <w:rFonts w:eastAsia="Times New Roman"/>
        </w:rPr>
      </w:pPr>
      <w:r>
        <w:rPr>
          <w:rFonts w:eastAsia="Times New Roman"/>
          <w:i/>
          <w:iCs/>
          <w:color w:val="000000"/>
          <w:sz w:val="20"/>
          <w:szCs w:val="20"/>
        </w:rPr>
        <w:t xml:space="preserve">Aviation Systems: </w:t>
      </w:r>
      <w:r>
        <w:rPr>
          <w:rFonts w:eastAsia="Times New Roman"/>
          <w:color w:val="000000"/>
          <w:sz w:val="20"/>
          <w:szCs w:val="20"/>
        </w:rPr>
        <w:t>Aviation Systems revenue was primarily derived from fixed-price contracts and was generally recognized at the point in time when products were received and accepted by the customer for standard products offered to multiple customers and over time for custo</w:t>
      </w:r>
      <w:r>
        <w:rPr>
          <w:rFonts w:eastAsia="Times New Roman"/>
          <w:color w:val="000000"/>
          <w:sz w:val="20"/>
          <w:szCs w:val="20"/>
        </w:rPr>
        <w:t xml:space="preserve">mer-specific products, systems and services. </w:t>
      </w:r>
    </w:p>
    <w:tbl>
      <w:tblPr>
        <w:tblW w:w="5000" w:type="pct"/>
        <w:tblCellMar>
          <w:top w:w="15" w:type="dxa"/>
          <w:left w:w="15" w:type="dxa"/>
          <w:bottom w:w="15" w:type="dxa"/>
          <w:right w:w="15" w:type="dxa"/>
        </w:tblCellMar>
        <w:tblLook w:val="04A0" w:firstRow="1" w:lastRow="0" w:firstColumn="1" w:lastColumn="0" w:noHBand="0" w:noVBand="1"/>
      </w:tblPr>
      <w:tblGrid>
        <w:gridCol w:w="39"/>
        <w:gridCol w:w="3720"/>
        <w:gridCol w:w="37"/>
        <w:gridCol w:w="121"/>
        <w:gridCol w:w="1004"/>
        <w:gridCol w:w="36"/>
        <w:gridCol w:w="36"/>
        <w:gridCol w:w="36"/>
        <w:gridCol w:w="36"/>
        <w:gridCol w:w="120"/>
        <w:gridCol w:w="851"/>
        <w:gridCol w:w="36"/>
        <w:gridCol w:w="36"/>
        <w:gridCol w:w="36"/>
        <w:gridCol w:w="36"/>
        <w:gridCol w:w="121"/>
        <w:gridCol w:w="852"/>
        <w:gridCol w:w="36"/>
        <w:gridCol w:w="36"/>
        <w:gridCol w:w="36"/>
        <w:gridCol w:w="36"/>
        <w:gridCol w:w="120"/>
        <w:gridCol w:w="853"/>
        <w:gridCol w:w="36"/>
      </w:tblGrid>
      <w:tr w:rsidR="00000000">
        <w:trPr>
          <w:divId w:val="1286230503"/>
        </w:trPr>
        <w:tc>
          <w:tcPr>
            <w:tcW w:w="50" w:type="pct"/>
            <w:vAlign w:val="center"/>
            <w:hideMark/>
          </w:tcPr>
          <w:p w:rsidR="00000000" w:rsidRDefault="00AE54EE">
            <w:pPr>
              <w:ind w:firstLine="450"/>
              <w:rPr>
                <w:rFonts w:eastAsia="Times New Roman"/>
              </w:rPr>
            </w:pPr>
          </w:p>
        </w:tc>
        <w:tc>
          <w:tcPr>
            <w:tcW w:w="22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3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286230503"/>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128623050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1286230503"/>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28623050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28623050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1,808 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2,258 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1,245 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920 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28623050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divId w:val="75565593"/>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2,199 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1,664 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622 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128623050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2,769 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1,472 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640 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399 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1286230503"/>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766341023"/>
        <w:rPr>
          <w:rFonts w:eastAsia="Times New Roman"/>
        </w:rPr>
      </w:pPr>
      <w:r>
        <w:rPr>
          <w:rFonts w:eastAsia="Times New Roman"/>
          <w:color w:val="000000"/>
          <w:sz w:val="16"/>
          <w:szCs w:val="16"/>
        </w:rPr>
        <w:t>______________</w:t>
      </w:r>
    </w:p>
    <w:p w:rsidR="00000000" w:rsidRDefault="00AE54EE">
      <w:pPr>
        <w:ind w:hanging="360"/>
        <w:divId w:val="1063408111"/>
        <w:rPr>
          <w:rFonts w:eastAsia="Times New Roman"/>
        </w:rPr>
      </w:pPr>
      <w:r>
        <w:rPr>
          <w:rFonts w:eastAsia="Times New Roman"/>
          <w:color w:val="000000"/>
          <w:sz w:val="16"/>
          <w:szCs w:val="16"/>
        </w:rPr>
        <w:t>(1)Includes revenue derived from time-and-materials contracts.</w:t>
      </w:r>
    </w:p>
    <w:p w:rsidR="00000000" w:rsidRDefault="00AE54EE">
      <w:pPr>
        <w:ind w:firstLine="450"/>
        <w:jc w:val="center"/>
        <w:divId w:val="1282032861"/>
        <w:rPr>
          <w:rFonts w:eastAsia="Times New Roman"/>
        </w:rPr>
      </w:pPr>
      <w:r>
        <w:rPr>
          <w:rFonts w:eastAsia="Times New Roman"/>
          <w:color w:val="000000"/>
          <w:sz w:val="20"/>
          <w:szCs w:val="20"/>
        </w:rPr>
        <w:t>120</w:t>
      </w:r>
    </w:p>
    <w:p w:rsidR="00000000" w:rsidRDefault="00AE54EE">
      <w:pPr>
        <w:rPr>
          <w:rFonts w:eastAsia="Times New Roman"/>
        </w:rPr>
      </w:pPr>
      <w:r>
        <w:rPr>
          <w:rFonts w:eastAsia="Times New Roman"/>
        </w:rPr>
        <w:pict>
          <v:rect id="_x0000_i1148" style="width:0;height:1.5pt" o:hralign="center" o:hrstd="t" o:hr="t" fillcolor="#a0a0a0" stroked="f"/>
        </w:pict>
      </w:r>
    </w:p>
    <w:p w:rsidR="00000000" w:rsidRDefault="00AE54EE">
      <w:pPr>
        <w:ind w:firstLine="450"/>
        <w:divId w:val="259721304"/>
        <w:rPr>
          <w:rFonts w:eastAsia="Times New Roman"/>
        </w:rPr>
      </w:pPr>
    </w:p>
    <w:p w:rsidR="00000000" w:rsidRDefault="00AE54EE">
      <w:pPr>
        <w:ind w:firstLine="450"/>
        <w:divId w:val="448622419"/>
        <w:rPr>
          <w:rFonts w:eastAsia="Times New Roman"/>
        </w:rPr>
      </w:pPr>
      <w:r>
        <w:rPr>
          <w:rFonts w:eastAsia="Times New Roman"/>
          <w:color w:val="000000"/>
          <w:sz w:val="20"/>
          <w:szCs w:val="20"/>
        </w:rPr>
        <w:t>Total assets by business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878"/>
        <w:gridCol w:w="38"/>
        <w:gridCol w:w="120"/>
        <w:gridCol w:w="1001"/>
        <w:gridCol w:w="36"/>
        <w:gridCol w:w="36"/>
        <w:gridCol w:w="36"/>
        <w:gridCol w:w="36"/>
        <w:gridCol w:w="120"/>
        <w:gridCol w:w="858"/>
        <w:gridCol w:w="36"/>
        <w:gridCol w:w="36"/>
        <w:gridCol w:w="36"/>
      </w:tblGrid>
      <w:tr w:rsidR="00000000">
        <w:trPr>
          <w:divId w:val="1496141263"/>
        </w:trPr>
        <w:tc>
          <w:tcPr>
            <w:tcW w:w="50" w:type="pct"/>
            <w:vAlign w:val="center"/>
            <w:hideMark/>
          </w:tcPr>
          <w:p w:rsidR="00000000" w:rsidRDefault="00AE54EE">
            <w:pPr>
              <w:ind w:firstLine="450"/>
              <w:rPr>
                <w:rFonts w:eastAsia="Times New Roman"/>
              </w:rPr>
            </w:pPr>
          </w:p>
        </w:tc>
        <w:tc>
          <w:tcPr>
            <w:tcW w:w="359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3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49614126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AE54EE">
            <w:pPr>
              <w:spacing w:after="100"/>
              <w:jc w:val="center"/>
              <w:rPr>
                <w:rFonts w:eastAsia="Times New Roman"/>
              </w:rPr>
            </w:pPr>
          </w:p>
        </w:tc>
        <w:tc>
          <w:tcPr>
            <w:tcW w:w="0" w:type="auto"/>
            <w:vAlign w:val="center"/>
            <w:hideMark/>
          </w:tcPr>
          <w:p w:rsidR="00000000" w:rsidRDefault="00AE54EE">
            <w:pPr>
              <w:spacing w:after="100"/>
              <w:rPr>
                <w:rFonts w:eastAsia="Times New Roman"/>
                <w:sz w:val="20"/>
                <w:szCs w:val="20"/>
              </w:rPr>
            </w:pPr>
          </w:p>
        </w:tc>
      </w:tr>
      <w:tr w:rsidR="00000000">
        <w:trPr>
          <w:divId w:val="1496141263"/>
          <w:trHeight w:val="6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49614126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49614126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9,269 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8,906 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496141263"/>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7,190 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6,943 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49614126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6,035 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5,746 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496141263"/>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3,531 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5,026 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496141263"/>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divId w:val="1560247191"/>
              <w:rPr>
                <w:rFonts w:eastAsia="Times New Roman"/>
              </w:rPr>
            </w:pPr>
            <w:r>
              <w:rPr>
                <w:rFonts w:eastAsia="Times New Roman"/>
                <w:color w:val="000000"/>
                <w:sz w:val="20"/>
                <w:szCs w:val="20"/>
              </w:rPr>
              <w:t>Corporat</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8,684 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10,339 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r w:rsidR="00000000">
        <w:trPr>
          <w:divId w:val="1496141263"/>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vAlign w:val="center"/>
            <w:hideMark/>
          </w:tcPr>
          <w:p w:rsidR="00000000" w:rsidRDefault="00AE54EE">
            <w:pPr>
              <w:spacing w:after="100"/>
              <w:jc w:val="right"/>
              <w:rPr>
                <w:rFonts w:eastAsia="Times New Roman"/>
                <w:sz w:val="20"/>
                <w:szCs w:val="20"/>
              </w:rPr>
            </w:pPr>
          </w:p>
        </w:tc>
        <w:tc>
          <w:tcPr>
            <w:tcW w:w="0" w:type="auto"/>
            <w:vAlign w:val="center"/>
            <w:hideMark/>
          </w:tcPr>
          <w:p w:rsidR="00000000" w:rsidRDefault="00AE54EE">
            <w:pPr>
              <w:spacing w:after="100"/>
              <w:rPr>
                <w:rFonts w:eastAsia="Times New Roman"/>
                <w:sz w:val="20"/>
                <w:szCs w:val="20"/>
              </w:rPr>
            </w:pPr>
          </w:p>
        </w:tc>
      </w:tr>
    </w:tbl>
    <w:p w:rsidR="00000000" w:rsidRDefault="00AE54EE">
      <w:pPr>
        <w:divId w:val="801505330"/>
        <w:rPr>
          <w:rFonts w:eastAsia="Times New Roman"/>
        </w:rPr>
      </w:pPr>
      <w:r>
        <w:rPr>
          <w:rFonts w:eastAsia="Times New Roman"/>
          <w:color w:val="000000"/>
          <w:sz w:val="16"/>
          <w:szCs w:val="16"/>
        </w:rPr>
        <w:t>_______________</w:t>
      </w:r>
    </w:p>
    <w:p w:rsidR="00000000" w:rsidRDefault="00AE54EE">
      <w:pPr>
        <w:ind w:hanging="360"/>
        <w:divId w:val="1962034293"/>
        <w:rPr>
          <w:rFonts w:eastAsia="Times New Roman"/>
        </w:rPr>
      </w:pPr>
      <w:r>
        <w:rPr>
          <w:rFonts w:eastAsia="Times New Roman"/>
          <w:color w:val="000000"/>
          <w:sz w:val="16"/>
          <w:szCs w:val="16"/>
        </w:rPr>
        <w:t>(1)</w:t>
      </w:r>
      <w:r>
        <w:rPr>
          <w:rFonts w:eastAsia="Times New Roman"/>
          <w:color w:val="000000"/>
          <w:sz w:val="16"/>
          <w:szCs w:val="16"/>
        </w:rPr>
        <w:t xml:space="preserve">Identifiable intangible assets acquired in connection with the L3Harris Merger in the two quarters ended January 3, 2020 and our acquisition of Exelis in fiscal 2015 were recorded as Corporate assets because they benefited the entire Company as opposed to </w:t>
      </w:r>
      <w:r>
        <w:rPr>
          <w:rFonts w:eastAsia="Times New Roman"/>
          <w:color w:val="000000"/>
          <w:sz w:val="16"/>
          <w:szCs w:val="16"/>
        </w:rPr>
        <w:t>any individual segment. Identifiable intangible asset balances recorded as Corporate assets were $6.6 billion and $7.9 billion at December 31, 2021 and January 1, 2021, respectively. Corporate assets also consisted of cash, income taxes receivable, deferre</w:t>
      </w:r>
      <w:r>
        <w:rPr>
          <w:rFonts w:eastAsia="Times New Roman"/>
          <w:color w:val="000000"/>
          <w:sz w:val="16"/>
          <w:szCs w:val="16"/>
        </w:rPr>
        <w:t xml:space="preserve">d income taxes, deferred compensation plan investments, buildings and equipment, as well as any assets of discontinued operations and divestitures. </w:t>
      </w:r>
    </w:p>
    <w:p w:rsidR="00000000" w:rsidRDefault="00AE54EE">
      <w:pPr>
        <w:ind w:firstLine="450"/>
        <w:divId w:val="1811748674"/>
        <w:rPr>
          <w:rFonts w:eastAsia="Times New Roman"/>
        </w:rPr>
      </w:pPr>
      <w:r>
        <w:rPr>
          <w:rFonts w:eastAsia="Times New Roman"/>
          <w:color w:val="000000"/>
          <w:sz w:val="20"/>
          <w:szCs w:val="20"/>
        </w:rPr>
        <w:t>Other selected financial information by business segment and geographical area is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3720"/>
        <w:gridCol w:w="37"/>
        <w:gridCol w:w="120"/>
        <w:gridCol w:w="1004"/>
        <w:gridCol w:w="36"/>
        <w:gridCol w:w="36"/>
        <w:gridCol w:w="36"/>
        <w:gridCol w:w="36"/>
        <w:gridCol w:w="120"/>
        <w:gridCol w:w="851"/>
        <w:gridCol w:w="36"/>
        <w:gridCol w:w="36"/>
        <w:gridCol w:w="36"/>
        <w:gridCol w:w="36"/>
        <w:gridCol w:w="121"/>
        <w:gridCol w:w="853"/>
        <w:gridCol w:w="36"/>
        <w:gridCol w:w="36"/>
        <w:gridCol w:w="36"/>
        <w:gridCol w:w="36"/>
        <w:gridCol w:w="120"/>
        <w:gridCol w:w="853"/>
        <w:gridCol w:w="36"/>
      </w:tblGrid>
      <w:tr w:rsidR="00000000">
        <w:trPr>
          <w:divId w:val="256793566"/>
        </w:trPr>
        <w:tc>
          <w:tcPr>
            <w:tcW w:w="50" w:type="pct"/>
            <w:vAlign w:val="center"/>
            <w:hideMark/>
          </w:tcPr>
          <w:p w:rsidR="00000000" w:rsidRDefault="00AE54EE">
            <w:pPr>
              <w:ind w:firstLine="450"/>
              <w:rPr>
                <w:rFonts w:eastAsia="Times New Roman"/>
              </w:rPr>
            </w:pPr>
          </w:p>
        </w:tc>
        <w:tc>
          <w:tcPr>
            <w:tcW w:w="227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3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256793566"/>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r>
      <w:tr w:rsidR="00000000">
        <w:trPr>
          <w:divId w:val="256793566"/>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June 28, 2019</w:t>
            </w:r>
          </w:p>
        </w:tc>
      </w:tr>
      <w:tr w:rsidR="00000000">
        <w:trPr>
          <w:divId w:val="256793566"/>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Capital Expenditures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5679356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FFFFFF"/>
            <w:tcMar>
              <w:top w:w="30" w:type="dxa"/>
              <w:left w:w="20" w:type="dxa"/>
              <w:bottom w:w="30" w:type="dxa"/>
              <w:right w:w="20" w:type="dxa"/>
            </w:tcMar>
            <w:hideMark/>
          </w:tcPr>
          <w:p w:rsidR="00000000" w:rsidRDefault="00AE54EE">
            <w:pPr>
              <w:spacing w:after="100"/>
              <w:divId w:val="1107196451"/>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Corporate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56793566"/>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5679356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FFFFFF"/>
            <w:tcMar>
              <w:top w:w="30" w:type="dxa"/>
              <w:left w:w="20" w:type="dxa"/>
              <w:bottom w:w="30" w:type="dxa"/>
              <w:right w:w="20" w:type="dxa"/>
            </w:tcMar>
            <w:hideMark/>
          </w:tcPr>
          <w:p w:rsidR="00000000" w:rsidRDefault="00AE54EE">
            <w:pPr>
              <w:spacing w:after="100"/>
              <w:divId w:val="1326860861"/>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Corporate</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709 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256793566"/>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Geographical Information for Continuing Operations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56793566"/>
        </w:trPr>
        <w:tc>
          <w:tcPr>
            <w:tcW w:w="0" w:type="auto"/>
            <w:gridSpan w:val="3"/>
            <w:shd w:val="clear" w:color="auto" w:fill="FFFF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U.S. operations:</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56793566"/>
        </w:trPr>
        <w:tc>
          <w:tcPr>
            <w:tcW w:w="0" w:type="auto"/>
            <w:gridSpan w:val="3"/>
            <w:shd w:val="clear" w:color="auto" w:fill="CCEE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16,234 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16,998 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8,485 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6,530 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FFFFFF"/>
            <w:tcMar>
              <w:top w:w="30" w:type="dxa"/>
              <w:left w:w="20" w:type="dxa"/>
              <w:bottom w:w="30" w:type="dxa"/>
              <w:right w:w="20" w:type="dxa"/>
            </w:tcMar>
            <w:hideMark/>
          </w:tcPr>
          <w:p w:rsidR="00000000" w:rsidRDefault="00AE54EE">
            <w:pPr>
              <w:spacing w:after="100"/>
              <w:divId w:val="714963832"/>
              <w:rPr>
                <w:rFonts w:eastAsia="Times New Roman"/>
              </w:rPr>
            </w:pPr>
            <w:r>
              <w:rPr>
                <w:rFonts w:eastAsia="Times New Roman"/>
                <w:color w:val="000000"/>
                <w:sz w:val="20"/>
                <w:szCs w:val="20"/>
              </w:rPr>
              <w:t>Long-lived asset</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1,870 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1,949 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1,865 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International operations:</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256793566"/>
        </w:trPr>
        <w:tc>
          <w:tcPr>
            <w:tcW w:w="0" w:type="auto"/>
            <w:gridSpan w:val="3"/>
            <w:shd w:val="clear" w:color="auto" w:fill="FFFFFF"/>
            <w:tcMar>
              <w:top w:w="30" w:type="dxa"/>
              <w:left w:w="155" w:type="dxa"/>
              <w:bottom w:w="30" w:type="dxa"/>
              <w:right w:w="20" w:type="dxa"/>
            </w:tcMar>
            <w:hideMark/>
          </w:tcPr>
          <w:p w:rsidR="00000000" w:rsidRDefault="00AE54EE">
            <w:pPr>
              <w:spacing w:after="100"/>
              <w:rPr>
                <w:rFonts w:eastAsia="Times New Roman"/>
              </w:rPr>
            </w:pPr>
            <w:r>
              <w:rPr>
                <w:rFonts w:eastAsia="Times New Roman"/>
                <w:color w:val="000000"/>
                <w:sz w:val="20"/>
                <w:szCs w:val="20"/>
              </w:rPr>
              <w:t>Revenue</w:t>
            </w: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1,580 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1,196 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778 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256793566"/>
        </w:trPr>
        <w:tc>
          <w:tcPr>
            <w:tcW w:w="0" w:type="auto"/>
            <w:gridSpan w:val="3"/>
            <w:shd w:val="clear" w:color="auto" w:fill="CCEEFF"/>
            <w:tcMar>
              <w:top w:w="30" w:type="dxa"/>
              <w:left w:w="20" w:type="dxa"/>
              <w:bottom w:w="30" w:type="dxa"/>
              <w:right w:w="20" w:type="dxa"/>
            </w:tcMar>
            <w:hideMark/>
          </w:tcPr>
          <w:p w:rsidR="00000000" w:rsidRDefault="00AE54EE">
            <w:pPr>
              <w:spacing w:after="100"/>
              <w:divId w:val="1467702877"/>
              <w:rPr>
                <w:rFonts w:eastAsia="Times New Roman"/>
              </w:rPr>
            </w:pPr>
            <w:r>
              <w:rPr>
                <w:rFonts w:eastAsia="Times New Roman"/>
                <w:color w:val="000000"/>
                <w:sz w:val="20"/>
                <w:szCs w:val="20"/>
              </w:rPr>
              <w:t>Long-lived asset</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1834300064"/>
        <w:rPr>
          <w:rFonts w:eastAsia="Times New Roman"/>
        </w:rPr>
      </w:pPr>
      <w:r>
        <w:rPr>
          <w:rFonts w:eastAsia="Times New Roman"/>
          <w:color w:val="000000"/>
          <w:sz w:val="16"/>
          <w:szCs w:val="16"/>
        </w:rPr>
        <w:t>_______________</w:t>
      </w:r>
    </w:p>
    <w:p w:rsidR="00000000" w:rsidRDefault="00AE54EE">
      <w:pPr>
        <w:ind w:hanging="360"/>
        <w:divId w:val="1063480947"/>
        <w:rPr>
          <w:rFonts w:eastAsia="Times New Roman"/>
        </w:rPr>
      </w:pPr>
      <w:r>
        <w:rPr>
          <w:rFonts w:eastAsia="Times New Roman"/>
          <w:color w:val="000000"/>
          <w:sz w:val="16"/>
          <w:szCs w:val="16"/>
        </w:rPr>
        <w:t>(1)Includes</w:t>
      </w:r>
      <w:r>
        <w:rPr>
          <w:rFonts w:eastAsia="Times New Roman"/>
          <w:color w:val="000000"/>
          <w:sz w:val="16"/>
          <w:szCs w:val="16"/>
        </w:rPr>
        <w:t xml:space="preserve"> capital expenditures and depreciation and amortization of the Harris Night Vision business prior to the date of divestiture on September 13, 2019. See </w:t>
      </w:r>
      <w:r>
        <w:rPr>
          <w:rFonts w:eastAsia="Times New Roman"/>
          <w:i/>
          <w:iCs/>
          <w:color w:val="000000"/>
          <w:sz w:val="16"/>
          <w:szCs w:val="16"/>
        </w:rPr>
        <w:t>Note 3: Business Divestitures and Asset Sales</w:t>
      </w:r>
      <w:r>
        <w:rPr>
          <w:rFonts w:eastAsia="Times New Roman"/>
          <w:color w:val="000000"/>
          <w:sz w:val="16"/>
          <w:szCs w:val="16"/>
        </w:rPr>
        <w:t xml:space="preserve"> in these Notes for more information. </w:t>
      </w:r>
    </w:p>
    <w:p w:rsidR="00000000" w:rsidRDefault="00AE54EE">
      <w:pPr>
        <w:ind w:hanging="360"/>
        <w:divId w:val="1430390845"/>
        <w:rPr>
          <w:rFonts w:eastAsia="Times New Roman"/>
        </w:rPr>
      </w:pPr>
      <w:r>
        <w:rPr>
          <w:rFonts w:eastAsia="Times New Roman"/>
          <w:color w:val="000000"/>
          <w:sz w:val="16"/>
          <w:szCs w:val="16"/>
        </w:rPr>
        <w:t>(2)Long-lived assets</w:t>
      </w:r>
      <w:r>
        <w:rPr>
          <w:rFonts w:eastAsia="Times New Roman"/>
          <w:color w:val="000000"/>
          <w:sz w:val="16"/>
          <w:szCs w:val="16"/>
        </w:rPr>
        <w:t xml:space="preserve"> are net fixed assets attributed to the respective geographic regions.</w:t>
      </w:r>
    </w:p>
    <w:p w:rsidR="00000000" w:rsidRDefault="00AE54EE">
      <w:pPr>
        <w:ind w:firstLine="450"/>
        <w:divId w:val="565262795"/>
        <w:rPr>
          <w:rFonts w:eastAsia="Times New Roman"/>
        </w:rPr>
      </w:pPr>
      <w:r>
        <w:rPr>
          <w:rFonts w:eastAsia="Times New Roman"/>
          <w:color w:val="000000"/>
          <w:sz w:val="20"/>
          <w:szCs w:val="20"/>
        </w:rPr>
        <w:t>In addition to depreciation and amortization expense related to property, plant and equipment, “Depreciation and Amortization” in the table above also includes $624 million, $714 millio</w:t>
      </w:r>
      <w:r>
        <w:rPr>
          <w:rFonts w:eastAsia="Times New Roman"/>
          <w:color w:val="000000"/>
          <w:sz w:val="20"/>
          <w:szCs w:val="20"/>
        </w:rPr>
        <w:t>n, $285 million and $120 million of amortization related to identifiable intangible assets, debt premium, debt discount, debt issuance costs and other items in fiscal 2021, fiscal 2020, the two quarters ended January 3, 2020 and fiscal 2019, respectively.</w:t>
      </w:r>
    </w:p>
    <w:p w:rsidR="00000000" w:rsidRDefault="00AE54EE">
      <w:pPr>
        <w:ind w:firstLine="450"/>
        <w:jc w:val="center"/>
        <w:divId w:val="1057632630"/>
        <w:rPr>
          <w:rFonts w:eastAsia="Times New Roman"/>
        </w:rPr>
      </w:pPr>
      <w:r>
        <w:rPr>
          <w:rFonts w:eastAsia="Times New Roman"/>
          <w:color w:val="000000"/>
          <w:sz w:val="20"/>
          <w:szCs w:val="20"/>
        </w:rPr>
        <w:t>121</w:t>
      </w:r>
    </w:p>
    <w:p w:rsidR="00000000" w:rsidRDefault="00AE54EE">
      <w:pPr>
        <w:rPr>
          <w:rFonts w:eastAsia="Times New Roman"/>
        </w:rPr>
      </w:pPr>
      <w:r>
        <w:rPr>
          <w:rFonts w:eastAsia="Times New Roman"/>
        </w:rPr>
        <w:pict>
          <v:rect id="_x0000_i1149" style="width:0;height:1.5pt" o:hralign="center" o:hrstd="t" o:hr="t" fillcolor="#a0a0a0" stroked="f"/>
        </w:pict>
      </w:r>
    </w:p>
    <w:p w:rsidR="00000000" w:rsidRDefault="00AE54EE">
      <w:pPr>
        <w:ind w:firstLine="450"/>
        <w:divId w:val="1481386061"/>
        <w:rPr>
          <w:rFonts w:eastAsia="Times New Roman"/>
        </w:rPr>
      </w:pPr>
    </w:p>
    <w:p w:rsidR="00000000" w:rsidRDefault="00AE54EE">
      <w:pPr>
        <w:ind w:firstLine="450"/>
        <w:divId w:val="2069063459"/>
        <w:rPr>
          <w:rFonts w:eastAsia="Times New Roman"/>
        </w:rPr>
      </w:pPr>
      <w:r>
        <w:rPr>
          <w:rFonts w:eastAsia="Times New Roman"/>
          <w:color w:val="000000"/>
          <w:sz w:val="20"/>
          <w:szCs w:val="20"/>
        </w:rPr>
        <w:t>Our products and systems are produced principally in the U.S. with international revenue derived primarily from exports. No revenue earned from any individual foreign country exceeded 5 percent of our total revenue</w:t>
      </w:r>
      <w:r>
        <w:rPr>
          <w:rFonts w:eastAsia="Times New Roman"/>
          <w:color w:val="000000"/>
          <w:sz w:val="20"/>
          <w:szCs w:val="20"/>
        </w:rPr>
        <w:t xml:space="preserve"> in fiscal 2021 or 2020, the two quarters ended January 3, 2020, or fiscal 2019.</w:t>
      </w:r>
    </w:p>
    <w:p w:rsidR="00000000" w:rsidRDefault="00AE54EE">
      <w:pPr>
        <w:ind w:firstLine="450"/>
        <w:divId w:val="1532837666"/>
        <w:rPr>
          <w:rFonts w:eastAsia="Times New Roman"/>
        </w:rPr>
      </w:pPr>
      <w:r>
        <w:rPr>
          <w:rFonts w:eastAsia="Times New Roman"/>
          <w:color w:val="000000"/>
          <w:sz w:val="20"/>
          <w:szCs w:val="20"/>
        </w:rPr>
        <w:t>Sales made to U.S. Government customers, including foreign military sales funded through the U.S. Government, whether directly or through prime contractors, by all segments as</w:t>
      </w:r>
      <w:r>
        <w:rPr>
          <w:rFonts w:eastAsia="Times New Roman"/>
          <w:color w:val="000000"/>
          <w:sz w:val="20"/>
          <w:szCs w:val="20"/>
        </w:rPr>
        <w:t xml:space="preserve"> a percentage of total revenue were 75 percent, 78 percent, 73 percent and 77 percent in fiscal 2021, fiscal 2020, the two quarters ended January 3, 2020 and fiscal 2019, respectively. Revenue from services in fiscal 2021 was 36 percent, 16 percent, 16 per</w:t>
      </w:r>
      <w:r>
        <w:rPr>
          <w:rFonts w:eastAsia="Times New Roman"/>
          <w:color w:val="000000"/>
          <w:sz w:val="20"/>
          <w:szCs w:val="20"/>
        </w:rPr>
        <w:t>cent and 40 percent of total revenue in our Integrated Mission Systems, Space &amp; Airborne Systems, Communication Systems and Aviation Systems segments, respectively.</w:t>
      </w:r>
    </w:p>
    <w:p w:rsidR="00000000" w:rsidRDefault="00AE54EE">
      <w:pPr>
        <w:ind w:firstLine="450"/>
        <w:divId w:val="409273082"/>
        <w:rPr>
          <w:rFonts w:eastAsia="Times New Roman"/>
        </w:rPr>
      </w:pPr>
      <w:r>
        <w:rPr>
          <w:rFonts w:eastAsia="Times New Roman"/>
          <w:color w:val="000000"/>
          <w:sz w:val="20"/>
          <w:szCs w:val="20"/>
        </w:rPr>
        <w:t>Revenue from products and services where the end consumer is located outside the U.S., including foreign military sales through the U.S. Government, was $3.9 billion (22 percent of our revenue), $3.7 billion (20 percent of our revenue), $2.0 billion (21 pe</w:t>
      </w:r>
      <w:r>
        <w:rPr>
          <w:rFonts w:eastAsia="Times New Roman"/>
          <w:color w:val="000000"/>
          <w:sz w:val="20"/>
          <w:szCs w:val="20"/>
        </w:rPr>
        <w:t>rcent of our revenue) and $1.5 billion (22 percent of our revenue) in fiscal 2021, fiscal 2020, the two quarters ended January 3, 2020 and fiscal 2019, respectively. Export revenue and revenue from international operations in fiscal 2021 was principally fr</w:t>
      </w:r>
      <w:r>
        <w:rPr>
          <w:rFonts w:eastAsia="Times New Roman"/>
          <w:color w:val="000000"/>
          <w:sz w:val="20"/>
          <w:szCs w:val="20"/>
        </w:rPr>
        <w:t>om the EMEA (Europe, Middle East and Africa) and APAC (Asia-Pacific) regions and Canada.</w:t>
      </w:r>
    </w:p>
    <w:p w:rsidR="00000000" w:rsidRDefault="00AE54EE">
      <w:pPr>
        <w:divId w:val="957417674"/>
        <w:rPr>
          <w:rFonts w:eastAsia="Times New Roman"/>
        </w:rPr>
      </w:pPr>
      <w:r>
        <w:rPr>
          <w:rFonts w:eastAsia="Times New Roman"/>
          <w:b/>
          <w:bCs/>
          <w:color w:val="000000"/>
          <w:sz w:val="20"/>
          <w:szCs w:val="20"/>
        </w:rPr>
        <w:t>NOTE 25: LEGAL PROCEEDINGS AND CONTINGENCIES</w:t>
      </w:r>
      <w:r>
        <w:rPr>
          <w:rFonts w:eastAsia="Times New Roman"/>
          <w:b/>
          <w:bCs/>
          <w:i/>
          <w:iCs/>
          <w:color w:val="000000"/>
          <w:sz w:val="20"/>
          <w:szCs w:val="20"/>
        </w:rPr>
        <w:t xml:space="preserve"> </w:t>
      </w:r>
    </w:p>
    <w:p w:rsidR="00000000" w:rsidRDefault="00AE54EE">
      <w:pPr>
        <w:ind w:firstLine="450"/>
        <w:divId w:val="1247029791"/>
        <w:rPr>
          <w:rFonts w:eastAsia="Times New Roman"/>
        </w:rPr>
      </w:pPr>
      <w:r>
        <w:rPr>
          <w:rFonts w:eastAsia="Times New Roman"/>
          <w:color w:val="000000"/>
          <w:sz w:val="20"/>
          <w:szCs w:val="20"/>
        </w:rPr>
        <w:t>From time to time, as a normal incident of the nature and kind of businesses in which we are or were engaged, various cla</w:t>
      </w:r>
      <w:r>
        <w:rPr>
          <w:rFonts w:eastAsia="Times New Roman"/>
          <w:color w:val="000000"/>
          <w:sz w:val="20"/>
          <w:szCs w:val="20"/>
        </w:rPr>
        <w:t>ims or charges are asserted and litigation or arbitration is commenced by or against us arising from or related to matters, including but not limited to: product liability; personal injury; patents, trademarks, trade secrets or other intellectual property;</w:t>
      </w:r>
      <w:r>
        <w:rPr>
          <w:rFonts w:eastAsia="Times New Roman"/>
          <w:color w:val="000000"/>
          <w:sz w:val="20"/>
          <w:szCs w:val="20"/>
        </w:rPr>
        <w:t xml:space="preserve"> labor and employee disputes; commercial or contractual disputes; strategic acquisitions or divestitures; the prior sale or use of former products allegedly containing asbestos or other restricted materials; breach of warranty; or environmental matters. Cl</w:t>
      </w:r>
      <w:r>
        <w:rPr>
          <w:rFonts w:eastAsia="Times New Roman"/>
          <w:color w:val="000000"/>
          <w:sz w:val="20"/>
          <w:szCs w:val="20"/>
        </w:rPr>
        <w:t>aimed amounts against us may be substantial, but may not bear any reasonable relationship to the merits of the claim or the extent of any real risk of court or arbitral awards. We record accruals for losses related to those matters against us that we consi</w:t>
      </w:r>
      <w:r>
        <w:rPr>
          <w:rFonts w:eastAsia="Times New Roman"/>
          <w:color w:val="000000"/>
          <w:sz w:val="20"/>
          <w:szCs w:val="20"/>
        </w:rPr>
        <w:t>der to be probable and that can be reasonably estimated. Gain contingencies, if any, are recognized when they are realized and legal costs generally are expensed when incurred. At December 31, 2021, our accrual for the potential resolution of lawsuits, cla</w:t>
      </w:r>
      <w:r>
        <w:rPr>
          <w:rFonts w:eastAsia="Times New Roman"/>
          <w:color w:val="000000"/>
          <w:sz w:val="20"/>
          <w:szCs w:val="20"/>
        </w:rPr>
        <w:t>ims or proceedings that we consider probable of being decided unfavorably to us was not material. Although it is not feasible to predict the outcome of these matters with certainty, it is reasonably possible that some lawsuits, claims or proceedings may be</w:t>
      </w:r>
      <w:r>
        <w:rPr>
          <w:rFonts w:eastAsia="Times New Roman"/>
          <w:color w:val="000000"/>
          <w:sz w:val="20"/>
          <w:szCs w:val="20"/>
        </w:rPr>
        <w:t xml:space="preserve"> disposed of or decided unfavorably to us and in excess of the amounts currently accrued. Based on available information, in the opinion of management, settlements, arbitration awards and final judgments, if any, that are considered probable of being rende</w:t>
      </w:r>
      <w:r>
        <w:rPr>
          <w:rFonts w:eastAsia="Times New Roman"/>
          <w:color w:val="000000"/>
          <w:sz w:val="20"/>
          <w:szCs w:val="20"/>
        </w:rPr>
        <w:t>red against us in litigation or arbitration in existence at December 31, 2021 are reserved against or would not have a material adverse effect on our financial condition, results of operations, cash flows or equity.</w:t>
      </w:r>
    </w:p>
    <w:p w:rsidR="00000000" w:rsidRDefault="00AE54EE">
      <w:pPr>
        <w:divId w:val="1777797443"/>
        <w:rPr>
          <w:rFonts w:eastAsia="Times New Roman"/>
        </w:rPr>
      </w:pPr>
      <w:r>
        <w:rPr>
          <w:rFonts w:eastAsia="Times New Roman"/>
          <w:b/>
          <w:bCs/>
          <w:color w:val="000000"/>
          <w:sz w:val="20"/>
          <w:szCs w:val="20"/>
        </w:rPr>
        <w:t>Tax Audits</w:t>
      </w:r>
    </w:p>
    <w:p w:rsidR="00000000" w:rsidRDefault="00AE54EE">
      <w:pPr>
        <w:ind w:firstLine="450"/>
        <w:divId w:val="1296258019"/>
        <w:rPr>
          <w:rFonts w:eastAsia="Times New Roman"/>
        </w:rPr>
      </w:pPr>
      <w:r>
        <w:rPr>
          <w:rFonts w:eastAsia="Times New Roman"/>
          <w:color w:val="000000"/>
          <w:sz w:val="20"/>
          <w:szCs w:val="20"/>
        </w:rPr>
        <w:t>Our tax filings are subject t</w:t>
      </w:r>
      <w:r>
        <w:rPr>
          <w:rFonts w:eastAsia="Times New Roman"/>
          <w:color w:val="000000"/>
          <w:sz w:val="20"/>
          <w:szCs w:val="20"/>
        </w:rPr>
        <w:t>o audit by taxing authorities in jurisdictions where we conduct or conducted business. These audits may result in assessments of additional taxes that are subsequently resolved with the authorities or ultimately through legal proceedings. We believe we hav</w:t>
      </w:r>
      <w:r>
        <w:rPr>
          <w:rFonts w:eastAsia="Times New Roman"/>
          <w:color w:val="000000"/>
          <w:sz w:val="20"/>
          <w:szCs w:val="20"/>
        </w:rPr>
        <w:t>e adequately accrued for any ultimate amounts that are likely to result from these audits; however, final assessments, if any, could be different from the amounts recorded in our Consolidated Financial Statements. Additional information regarding audits an</w:t>
      </w:r>
      <w:r>
        <w:rPr>
          <w:rFonts w:eastAsia="Times New Roman"/>
          <w:color w:val="000000"/>
          <w:sz w:val="20"/>
          <w:szCs w:val="20"/>
        </w:rPr>
        <w:t xml:space="preserve">d examinations by taxing authorities of our tax filings is set forth in </w:t>
      </w:r>
      <w:r>
        <w:rPr>
          <w:rFonts w:eastAsia="Times New Roman"/>
          <w:i/>
          <w:iCs/>
          <w:color w:val="000000"/>
          <w:sz w:val="20"/>
          <w:szCs w:val="20"/>
        </w:rPr>
        <w:t>Note 22: Income Taxes</w:t>
      </w:r>
      <w:r>
        <w:rPr>
          <w:rFonts w:eastAsia="Times New Roman"/>
          <w:color w:val="000000"/>
          <w:sz w:val="20"/>
          <w:szCs w:val="20"/>
        </w:rPr>
        <w:t xml:space="preserve"> in these Notes.</w:t>
      </w:r>
    </w:p>
    <w:p w:rsidR="00000000" w:rsidRDefault="00AE54EE">
      <w:pPr>
        <w:divId w:val="1394157840"/>
        <w:rPr>
          <w:rFonts w:eastAsia="Times New Roman"/>
        </w:rPr>
      </w:pPr>
      <w:r>
        <w:rPr>
          <w:rFonts w:eastAsia="Times New Roman"/>
          <w:b/>
          <w:bCs/>
          <w:color w:val="000000"/>
          <w:sz w:val="20"/>
          <w:szCs w:val="20"/>
        </w:rPr>
        <w:t>International</w:t>
      </w:r>
    </w:p>
    <w:p w:rsidR="00000000" w:rsidRDefault="00AE54EE">
      <w:pPr>
        <w:ind w:firstLine="450"/>
        <w:divId w:val="1393894510"/>
        <w:rPr>
          <w:rFonts w:eastAsia="Times New Roman"/>
        </w:rPr>
      </w:pPr>
      <w:r>
        <w:rPr>
          <w:rFonts w:eastAsia="Times New Roman"/>
          <w:i/>
          <w:iCs/>
          <w:color w:val="000000"/>
          <w:sz w:val="20"/>
          <w:szCs w:val="20"/>
        </w:rPr>
        <w:t> </w:t>
      </w:r>
      <w:r>
        <w:rPr>
          <w:rFonts w:eastAsia="Times New Roman"/>
          <w:color w:val="000000"/>
          <w:sz w:val="20"/>
          <w:szCs w:val="20"/>
        </w:rPr>
        <w:t>As an international company, we are, from time to time, the subject of investigations relating to our international operations, including under U.S. export control laws (such as ITAR), the FCPA and other similar U.S. and international laws.</w:t>
      </w:r>
    </w:p>
    <w:p w:rsidR="00000000" w:rsidRDefault="00AE54EE">
      <w:pPr>
        <w:ind w:firstLine="450"/>
        <w:divId w:val="296961080"/>
        <w:rPr>
          <w:rFonts w:eastAsia="Times New Roman"/>
        </w:rPr>
      </w:pPr>
      <w:r>
        <w:rPr>
          <w:rFonts w:eastAsia="Times New Roman"/>
          <w:color w:val="000000"/>
          <w:sz w:val="20"/>
          <w:szCs w:val="20"/>
        </w:rPr>
        <w:t>In September 20</w:t>
      </w:r>
      <w:r>
        <w:rPr>
          <w:rFonts w:eastAsia="Times New Roman"/>
          <w:color w:val="000000"/>
          <w:sz w:val="20"/>
          <w:szCs w:val="20"/>
        </w:rPr>
        <w:t>19, we reached an administrative settlement with the Department of State to resolve alleged U.S. export control regulation violations. Under the terms of the settlement we have committed to strengthen our trade compliance program under the supervision of a</w:t>
      </w:r>
      <w:r>
        <w:rPr>
          <w:rFonts w:eastAsia="Times New Roman"/>
          <w:color w:val="000000"/>
          <w:sz w:val="20"/>
          <w:szCs w:val="20"/>
        </w:rPr>
        <w:t xml:space="preserve"> special compliance officer and will pay a civil penalty of $13 million over three years (with $6.5 million suspended on the condition of use for qualified remedial compliance measures). The settlement did not result in any debarment or limitation on expor</w:t>
      </w:r>
      <w:r>
        <w:rPr>
          <w:rFonts w:eastAsia="Times New Roman"/>
          <w:color w:val="000000"/>
          <w:sz w:val="20"/>
          <w:szCs w:val="20"/>
        </w:rPr>
        <w:t xml:space="preserve">t licensing. </w:t>
      </w:r>
    </w:p>
    <w:p w:rsidR="00000000" w:rsidRDefault="00AE54EE">
      <w:pPr>
        <w:divId w:val="757092712"/>
        <w:rPr>
          <w:rFonts w:eastAsia="Times New Roman"/>
        </w:rPr>
      </w:pPr>
      <w:r>
        <w:rPr>
          <w:rFonts w:eastAsia="Times New Roman"/>
          <w:b/>
          <w:bCs/>
          <w:color w:val="000000"/>
          <w:sz w:val="20"/>
          <w:szCs w:val="20"/>
        </w:rPr>
        <w:t>Environmental Matters</w:t>
      </w:r>
    </w:p>
    <w:p w:rsidR="00000000" w:rsidRDefault="00AE54EE">
      <w:pPr>
        <w:ind w:firstLine="450"/>
        <w:divId w:val="766004119"/>
        <w:rPr>
          <w:rFonts w:eastAsia="Times New Roman"/>
        </w:rPr>
      </w:pPr>
      <w:r>
        <w:rPr>
          <w:rFonts w:eastAsia="Times New Roman"/>
          <w:color w:val="000000"/>
          <w:sz w:val="20"/>
          <w:szCs w:val="20"/>
        </w:rPr>
        <w:t>We are subject to numerous U.S. Federal, state, local and international environmental laws and regulatory requirements and are involved from time to time in investigations or litigation of various potential environmental</w:t>
      </w:r>
      <w:r>
        <w:rPr>
          <w:rFonts w:eastAsia="Times New Roman"/>
          <w:color w:val="000000"/>
          <w:sz w:val="20"/>
          <w:szCs w:val="20"/>
        </w:rPr>
        <w:t xml:space="preserve"> issues. We or companies we have acquired are responsible, or alleged to be responsible, for environmental investigation and/or remediation of multiple sites. These sites are in various stages of investigation and/or remediation and in some cases our liabi</w:t>
      </w:r>
      <w:r>
        <w:rPr>
          <w:rFonts w:eastAsia="Times New Roman"/>
          <w:color w:val="000000"/>
          <w:sz w:val="20"/>
          <w:szCs w:val="20"/>
        </w:rPr>
        <w:t>lity is considered de minimis. Notices from the U.S. Environmental Protection Agency (“EPA”) or equivalent state or international environmental agencies allege that several sites formerly or currently owned and/or operated by us or companies we have acquir</w:t>
      </w:r>
      <w:r>
        <w:rPr>
          <w:rFonts w:eastAsia="Times New Roman"/>
          <w:color w:val="000000"/>
          <w:sz w:val="20"/>
          <w:szCs w:val="20"/>
        </w:rPr>
        <w:t>ed, and other properties or water supplies that may be or have been impacted from those operations, contain disposed or recycled materials or wastes and require environmental investigation and/or remediation. These sites include instances of being identifi</w:t>
      </w:r>
      <w:r>
        <w:rPr>
          <w:rFonts w:eastAsia="Times New Roman"/>
          <w:color w:val="000000"/>
          <w:sz w:val="20"/>
          <w:szCs w:val="20"/>
        </w:rPr>
        <w:t xml:space="preserve">ed as a potentially responsible party </w:t>
      </w:r>
    </w:p>
    <w:p w:rsidR="00000000" w:rsidRDefault="00AE54EE">
      <w:pPr>
        <w:ind w:firstLine="450"/>
        <w:jc w:val="center"/>
        <w:divId w:val="1945074581"/>
        <w:rPr>
          <w:rFonts w:eastAsia="Times New Roman"/>
        </w:rPr>
      </w:pPr>
      <w:r>
        <w:rPr>
          <w:rFonts w:eastAsia="Times New Roman"/>
          <w:color w:val="000000"/>
          <w:sz w:val="20"/>
          <w:szCs w:val="20"/>
        </w:rPr>
        <w:t>122</w:t>
      </w:r>
    </w:p>
    <w:p w:rsidR="00000000" w:rsidRDefault="00AE54EE">
      <w:pPr>
        <w:rPr>
          <w:rFonts w:eastAsia="Times New Roman"/>
        </w:rPr>
      </w:pPr>
      <w:r>
        <w:rPr>
          <w:rFonts w:eastAsia="Times New Roman"/>
        </w:rPr>
        <w:pict>
          <v:rect id="_x0000_i1150" style="width:0;height:1.5pt" o:hralign="center" o:hrstd="t" o:hr="t" fillcolor="#a0a0a0" stroked="f"/>
        </w:pict>
      </w:r>
    </w:p>
    <w:p w:rsidR="00000000" w:rsidRDefault="00AE54EE">
      <w:pPr>
        <w:ind w:firstLine="450"/>
        <w:divId w:val="1210999261"/>
        <w:rPr>
          <w:rFonts w:eastAsia="Times New Roman"/>
        </w:rPr>
      </w:pPr>
    </w:p>
    <w:p w:rsidR="00000000" w:rsidRDefault="00AE54EE">
      <w:pPr>
        <w:divId w:val="420494390"/>
        <w:rPr>
          <w:rFonts w:eastAsia="Times New Roman"/>
        </w:rPr>
      </w:pPr>
      <w:r>
        <w:rPr>
          <w:rFonts w:eastAsia="Times New Roman"/>
          <w:color w:val="000000"/>
          <w:sz w:val="20"/>
          <w:szCs w:val="20"/>
        </w:rPr>
        <w:t>under the Comprehensive Environmental Response, Compensation and Liability Act (commonly known as the “Superfund Act”) and/or equivalent state and international laws. For exa</w:t>
      </w:r>
      <w:r>
        <w:rPr>
          <w:rFonts w:eastAsia="Times New Roman"/>
          <w:color w:val="000000"/>
          <w:sz w:val="20"/>
          <w:szCs w:val="20"/>
        </w:rPr>
        <w:t>mple, in June 2014, the U.S. Department of Justice, Environment and Natural Resources Division, notified several potentially responsible parties, including Exelis, which we acquired in 2015, of potential responsibility for contribution to the environmental</w:t>
      </w:r>
      <w:r>
        <w:rPr>
          <w:rFonts w:eastAsia="Times New Roman"/>
          <w:color w:val="000000"/>
          <w:sz w:val="20"/>
          <w:szCs w:val="20"/>
        </w:rPr>
        <w:t xml:space="preserve"> investigation and remediation of multiple locations in Alaska. In addition, in March 2016, the EPA notified over 100 potentially responsible parties, including Exelis, of potential liability for the cost of remediation for the 8.3-mile stretch of the Lowe</w:t>
      </w:r>
      <w:r>
        <w:rPr>
          <w:rFonts w:eastAsia="Times New Roman"/>
          <w:color w:val="000000"/>
          <w:sz w:val="20"/>
          <w:szCs w:val="20"/>
        </w:rPr>
        <w:t>r Passaic River in New Jersey, estimated by the EPA to be $1.38 billion. During the fourth quarter of fiscal 2021, the EPA further announced an interim plan to remediate sediment in the upper nine miles of the of the Lower Passaic River with an estimated c</w:t>
      </w:r>
      <w:r>
        <w:rPr>
          <w:rFonts w:eastAsia="Times New Roman"/>
          <w:color w:val="000000"/>
          <w:sz w:val="20"/>
          <w:szCs w:val="20"/>
        </w:rPr>
        <w:t>ost of $441 million. The potential responsible parties’ respective allocations for the Lower Passaic River remediation have not been determined. Although it is not feasible to predict the outcome of these environmental claims made against us, based on avai</w:t>
      </w:r>
      <w:r>
        <w:rPr>
          <w:rFonts w:eastAsia="Times New Roman"/>
          <w:color w:val="000000"/>
          <w:sz w:val="20"/>
          <w:szCs w:val="20"/>
        </w:rPr>
        <w:t>lable information, in the opinion of our management, any payments we may be required to make as a result of environmental claims made against us in existence at December 31, 2021 are reserved against, covered by insurance or would not have a material adver</w:t>
      </w:r>
      <w:r>
        <w:rPr>
          <w:rFonts w:eastAsia="Times New Roman"/>
          <w:color w:val="000000"/>
          <w:sz w:val="20"/>
          <w:szCs w:val="20"/>
        </w:rPr>
        <w:t>se effect on our financial condition, results of operations, cash flows or equity.</w:t>
      </w:r>
    </w:p>
    <w:p w:rsidR="00000000" w:rsidRDefault="00AE54EE">
      <w:pPr>
        <w:ind w:firstLine="450"/>
        <w:jc w:val="center"/>
        <w:divId w:val="2147118283"/>
        <w:rPr>
          <w:rFonts w:eastAsia="Times New Roman"/>
        </w:rPr>
      </w:pPr>
      <w:r>
        <w:rPr>
          <w:rFonts w:eastAsia="Times New Roman"/>
          <w:color w:val="000000"/>
          <w:sz w:val="20"/>
          <w:szCs w:val="20"/>
        </w:rPr>
        <w:t>123</w:t>
      </w:r>
    </w:p>
    <w:p w:rsidR="00000000" w:rsidRDefault="00AE54EE">
      <w:pPr>
        <w:rPr>
          <w:rFonts w:eastAsia="Times New Roman"/>
        </w:rPr>
      </w:pPr>
      <w:r>
        <w:rPr>
          <w:rFonts w:eastAsia="Times New Roman"/>
        </w:rPr>
        <w:pict>
          <v:rect id="_x0000_i1151" style="width:0;height:1.5pt" o:hralign="center" o:hrstd="t" o:hr="t" fillcolor="#a0a0a0" stroked="f"/>
        </w:pict>
      </w:r>
    </w:p>
    <w:p w:rsidR="00000000" w:rsidRDefault="00AE54EE">
      <w:pPr>
        <w:ind w:firstLine="450"/>
        <w:divId w:val="450704903"/>
        <w:rPr>
          <w:rFonts w:eastAsia="Times New Roman"/>
        </w:rPr>
      </w:pPr>
    </w:p>
    <w:p w:rsidR="00000000" w:rsidRDefault="00AE54EE">
      <w:pPr>
        <w:divId w:val="271935485"/>
        <w:rPr>
          <w:rFonts w:eastAsia="Times New Roman"/>
        </w:rPr>
      </w:pPr>
      <w:r>
        <w:rPr>
          <w:rFonts w:eastAsia="Times New Roman"/>
          <w:b/>
          <w:bCs/>
          <w:color w:val="000000"/>
          <w:sz w:val="20"/>
          <w:szCs w:val="20"/>
        </w:rPr>
        <w:t>NOTE 26: TRANSITION PERIOD COMPARATIVE DATA (UNAUDITED)</w:t>
      </w:r>
    </w:p>
    <w:p w:rsidR="00000000" w:rsidRDefault="00AE54EE">
      <w:pPr>
        <w:ind w:firstLine="450"/>
        <w:divId w:val="1809201043"/>
        <w:rPr>
          <w:rFonts w:eastAsia="Times New Roman"/>
        </w:rPr>
      </w:pPr>
      <w:r>
        <w:rPr>
          <w:rFonts w:eastAsia="Times New Roman"/>
          <w:color w:val="000000"/>
          <w:sz w:val="20"/>
          <w:szCs w:val="20"/>
        </w:rPr>
        <w:t>The following table presents certain comparative financial information for</w:t>
      </w:r>
      <w:r>
        <w:rPr>
          <w:rFonts w:eastAsia="Times New Roman"/>
          <w:color w:val="000000"/>
          <w:sz w:val="20"/>
          <w:szCs w:val="20"/>
        </w:rPr>
        <w:t xml:space="preserve"> fiscal 2020 compared with the four quarters ended January 3, 2020 (Unaudited) and two quarters ended January 3, 2020 compared with the two quarters ended December 28, 2018 (Unaudited). Due to the L3Harris Merger on June 29, 2019, fiscal 2020 and the two q</w:t>
      </w:r>
      <w:r>
        <w:rPr>
          <w:rFonts w:eastAsia="Times New Roman"/>
          <w:color w:val="000000"/>
          <w:sz w:val="20"/>
          <w:szCs w:val="20"/>
        </w:rPr>
        <w:t>uarters ended January 3, 2020 reflect the results of the combined Company, while the four quarters ended January 3, 2020 reflect the results of only Harris operating businesses for the two quarters ended June 28, 2019 and the results of the combined Compan</w:t>
      </w:r>
      <w:r>
        <w:rPr>
          <w:rFonts w:eastAsia="Times New Roman"/>
          <w:color w:val="000000"/>
          <w:sz w:val="20"/>
          <w:szCs w:val="20"/>
        </w:rPr>
        <w:t>y for the two quarters ended January 3, 2020. The two quarters ended December 28, 2018 reflect the results of only Harris operating businesses. Due to the significance of the L3 operating businesses included in the combined Company results following the L3</w:t>
      </w:r>
      <w:r>
        <w:rPr>
          <w:rFonts w:eastAsia="Times New Roman"/>
          <w:color w:val="000000"/>
          <w:sz w:val="20"/>
          <w:szCs w:val="20"/>
        </w:rPr>
        <w:t>Harris Merger, the reported results for fiscal 2020 and the two quarters ended January 3, 2020 generally are not comparable to the four quarters ended January 3, 2020 and two quarters ended December 28, 2018, respectively.</w:t>
      </w:r>
    </w:p>
    <w:tbl>
      <w:tblPr>
        <w:tblW w:w="5000" w:type="pct"/>
        <w:tblCellMar>
          <w:top w:w="15" w:type="dxa"/>
          <w:left w:w="15" w:type="dxa"/>
          <w:bottom w:w="15" w:type="dxa"/>
          <w:right w:w="15" w:type="dxa"/>
        </w:tblCellMar>
        <w:tblLook w:val="04A0" w:firstRow="1" w:lastRow="0" w:firstColumn="1" w:lastColumn="0" w:noHBand="0" w:noVBand="1"/>
      </w:tblPr>
      <w:tblGrid>
        <w:gridCol w:w="41"/>
        <w:gridCol w:w="3481"/>
        <w:gridCol w:w="40"/>
        <w:gridCol w:w="120"/>
        <w:gridCol w:w="963"/>
        <w:gridCol w:w="36"/>
        <w:gridCol w:w="36"/>
        <w:gridCol w:w="36"/>
        <w:gridCol w:w="36"/>
        <w:gridCol w:w="121"/>
        <w:gridCol w:w="902"/>
        <w:gridCol w:w="37"/>
        <w:gridCol w:w="36"/>
        <w:gridCol w:w="36"/>
        <w:gridCol w:w="36"/>
        <w:gridCol w:w="120"/>
        <w:gridCol w:w="963"/>
        <w:gridCol w:w="36"/>
        <w:gridCol w:w="36"/>
        <w:gridCol w:w="36"/>
        <w:gridCol w:w="36"/>
        <w:gridCol w:w="122"/>
        <w:gridCol w:w="963"/>
        <w:gridCol w:w="37"/>
      </w:tblGrid>
      <w:tr w:rsidR="00000000">
        <w:trPr>
          <w:divId w:val="793326477"/>
        </w:trPr>
        <w:tc>
          <w:tcPr>
            <w:tcW w:w="50" w:type="pct"/>
            <w:vAlign w:val="center"/>
            <w:hideMark/>
          </w:tcPr>
          <w:p w:rsidR="00000000" w:rsidRDefault="00AE54EE">
            <w:pPr>
              <w:ind w:firstLine="450"/>
              <w:rPr>
                <w:rFonts w:eastAsia="Times New Roman"/>
              </w:rPr>
            </w:pPr>
          </w:p>
        </w:tc>
        <w:tc>
          <w:tcPr>
            <w:tcW w:w="215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62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793326477"/>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Four Quarters Ended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Two Quarters Ended</w:t>
            </w:r>
          </w:p>
        </w:tc>
      </w:tr>
      <w:tr w:rsidR="00000000">
        <w:trPr>
          <w:divId w:val="793326477"/>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1, 2021</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January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December 28, 2018</w:t>
            </w:r>
          </w:p>
        </w:tc>
      </w:tr>
      <w:tr w:rsidR="00000000">
        <w:trPr>
          <w:divId w:val="793326477"/>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(Unaudited)</w:t>
            </w:r>
          </w:p>
        </w:tc>
      </w:tr>
      <w:tr w:rsidR="00000000">
        <w:trPr>
          <w:divId w:val="793326477"/>
          <w:trHeight w:val="6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79332647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18,194 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12,856 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9,263 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3,208 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Cost of product sales and services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(12,886)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(9,088)</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(6,726)</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(2,105)</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(3,315)</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(2,540)</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(1,881)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(583)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(767)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vAlign w:val="center"/>
            <w:hideMark/>
          </w:tcPr>
          <w:p w:rsidR="00000000" w:rsidRDefault="00AE54EE">
            <w:pPr>
              <w:spacing w:after="100"/>
              <w:jc w:val="right"/>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793326477"/>
        </w:trPr>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c>
          <w:tcPr>
            <w:tcW w:w="0" w:type="auto"/>
            <w:gridSpan w:val="3"/>
            <w:vAlign w:val="center"/>
            <w:hideMark/>
          </w:tcPr>
          <w:p w:rsidR="00000000" w:rsidRDefault="00AE54EE">
            <w:pPr>
              <w:spacing w:after="100"/>
              <w:rPr>
                <w:rFonts w:eastAsia="Times New Roman"/>
                <w:sz w:val="20"/>
                <w:szCs w:val="20"/>
              </w:rPr>
            </w:pPr>
          </w:p>
        </w:tc>
      </w:tr>
      <w:tr w:rsidR="00000000">
        <w:trPr>
          <w:divId w:val="79332647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(254)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(204)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908 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(234)</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1,086 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Net income attributable to L3Harris Technologies, Inc.</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1,333 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438 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Height w:val="180"/>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793326477"/>
        </w:trPr>
        <w:tc>
          <w:tcPr>
            <w:tcW w:w="0" w:type="auto"/>
            <w:gridSpan w:val="24"/>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Net income per common share attributable to L3Harris Technologies, Inc. common shareholders</w:t>
            </w:r>
          </w:p>
        </w:tc>
      </w:tr>
      <w:tr w:rsidR="00000000">
        <w:trPr>
          <w:divId w:val="79332647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Net income per common share</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79332647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793326477"/>
        </w:trPr>
        <w:tc>
          <w:tcPr>
            <w:tcW w:w="0" w:type="auto"/>
            <w:gridSpan w:val="3"/>
            <w:shd w:val="clear" w:color="auto" w:fill="CCEEFF"/>
            <w:tcMar>
              <w:top w:w="30" w:type="dxa"/>
              <w:left w:w="26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3.74 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6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(0.03)</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793326477"/>
        </w:trPr>
        <w:tc>
          <w:tcPr>
            <w:tcW w:w="0" w:type="auto"/>
            <w:gridSpan w:val="3"/>
            <w:shd w:val="clear" w:color="auto" w:fill="CCEEFF"/>
            <w:tcMar>
              <w:top w:w="30" w:type="dxa"/>
              <w:left w:w="26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5.19 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7.90 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3.66 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6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(0.02)</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E54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Height w:val="160"/>
        </w:trPr>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793326477"/>
        </w:trPr>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Basic weighted average common shares outstanding</w:t>
            </w: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214.0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166.0</w:t>
            </w: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221.2 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117.8 </w:t>
            </w:r>
          </w:p>
        </w:tc>
        <w:tc>
          <w:tcPr>
            <w:tcW w:w="0" w:type="auto"/>
            <w:shd w:val="clear" w:color="auto" w:fill="CCEEFF"/>
            <w:tcMar>
              <w:top w:w="30" w:type="dxa"/>
              <w:left w:w="0" w:type="dxa"/>
              <w:bottom w:w="30" w:type="dxa"/>
              <w:right w:w="20" w:type="dxa"/>
            </w:tcMar>
            <w:vAlign w:val="bottom"/>
            <w:hideMark/>
          </w:tcPr>
          <w:p w:rsidR="00000000" w:rsidRDefault="00AE54EE">
            <w:pPr>
              <w:spacing w:after="100"/>
              <w:jc w:val="right"/>
              <w:rPr>
                <w:rFonts w:eastAsia="Times New Roman"/>
              </w:rPr>
            </w:pPr>
          </w:p>
        </w:tc>
      </w:tr>
      <w:tr w:rsidR="00000000">
        <w:trPr>
          <w:divId w:val="793326477"/>
        </w:trPr>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Diluted weighted average common shares outstanding</w:t>
            </w: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215.9</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E54EE">
            <w:pPr>
              <w:spacing w:after="100"/>
              <w:jc w:val="right"/>
              <w:rPr>
                <w:rFonts w:eastAsia="Times New Roman"/>
              </w:rPr>
            </w:pPr>
            <w:r>
              <w:rPr>
                <w:rFonts w:eastAsia="Times New Roman"/>
                <w:color w:val="000000"/>
                <w:sz w:val="20"/>
                <w:szCs w:val="20"/>
              </w:rPr>
              <w:t>169.0</w:t>
            </w: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223.7 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E54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E54EE">
            <w:pPr>
              <w:spacing w:after="100"/>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rsidR="00000000" w:rsidRDefault="00AE54EE">
            <w:pPr>
              <w:spacing w:after="100"/>
              <w:jc w:val="right"/>
              <w:rPr>
                <w:rFonts w:eastAsia="Times New Roman"/>
              </w:rPr>
            </w:pPr>
          </w:p>
        </w:tc>
      </w:tr>
    </w:tbl>
    <w:p w:rsidR="00000000" w:rsidRDefault="00AE54EE">
      <w:pPr>
        <w:divId w:val="861357049"/>
        <w:rPr>
          <w:rFonts w:eastAsia="Times New Roman"/>
        </w:rPr>
      </w:pPr>
      <w:r>
        <w:rPr>
          <w:rFonts w:eastAsia="Times New Roman"/>
          <w:b/>
          <w:bCs/>
          <w:color w:val="000000"/>
          <w:sz w:val="20"/>
          <w:szCs w:val="20"/>
        </w:rPr>
        <w:t xml:space="preserve">NOTE 27: SUBSEQUENT EVENTS </w:t>
      </w:r>
    </w:p>
    <w:p w:rsidR="00000000" w:rsidRDefault="00AE54EE">
      <w:pPr>
        <w:ind w:firstLine="435"/>
        <w:divId w:val="860751414"/>
        <w:rPr>
          <w:rFonts w:eastAsia="Times New Roman"/>
        </w:rPr>
      </w:pPr>
      <w:r>
        <w:rPr>
          <w:rFonts w:eastAsia="Times New Roman"/>
          <w:color w:val="000000"/>
          <w:sz w:val="20"/>
          <w:szCs w:val="20"/>
        </w:rPr>
        <w:t xml:space="preserve">Effective January 1, 2022, we have streamlined our business segments from four business segments to three </w:t>
      </w:r>
      <w:r>
        <w:rPr>
          <w:rFonts w:eastAsia="Times New Roman"/>
          <w:color w:val="000000"/>
          <w:sz w:val="20"/>
          <w:szCs w:val="20"/>
        </w:rPr>
        <w:t xml:space="preserve">business segments. As a result of the segment reorganization, the Aviation Systems segment was eliminated as a business segment. </w:t>
      </w:r>
    </w:p>
    <w:p w:rsidR="00000000" w:rsidRDefault="00AE54EE">
      <w:pPr>
        <w:ind w:firstLine="450"/>
        <w:jc w:val="center"/>
        <w:divId w:val="1206719293"/>
        <w:rPr>
          <w:rFonts w:eastAsia="Times New Roman"/>
        </w:rPr>
      </w:pPr>
      <w:r>
        <w:rPr>
          <w:rFonts w:eastAsia="Times New Roman"/>
          <w:color w:val="000000"/>
          <w:sz w:val="20"/>
          <w:szCs w:val="20"/>
        </w:rPr>
        <w:t>124</w:t>
      </w:r>
    </w:p>
    <w:p w:rsidR="00000000" w:rsidRDefault="00AE54EE">
      <w:pPr>
        <w:rPr>
          <w:rFonts w:eastAsia="Times New Roman"/>
        </w:rPr>
      </w:pPr>
      <w:r>
        <w:rPr>
          <w:rFonts w:eastAsia="Times New Roman"/>
        </w:rPr>
        <w:pict>
          <v:rect id="_x0000_i1152" style="width:0;height:1.5pt" o:hralign="center" o:hrstd="t" o:hr="t" fillcolor="#a0a0a0" stroked="f"/>
        </w:pict>
      </w:r>
    </w:p>
    <w:p w:rsidR="00000000" w:rsidRDefault="00AE54EE">
      <w:pPr>
        <w:ind w:firstLine="450"/>
        <w:divId w:val="321154372"/>
        <w:rPr>
          <w:rFonts w:eastAsia="Times New Roman"/>
        </w:rPr>
      </w:pPr>
    </w:p>
    <w:p w:rsidR="00000000" w:rsidRDefault="00AE54EE">
      <w:pPr>
        <w:divId w:val="726150372"/>
        <w:rPr>
          <w:rFonts w:eastAsia="Times New Roman"/>
        </w:rPr>
      </w:pPr>
      <w:r>
        <w:rPr>
          <w:rFonts w:eastAsia="Times New Roman"/>
          <w:color w:val="000000"/>
          <w:sz w:val="20"/>
          <w:szCs w:val="20"/>
        </w:rPr>
        <w:t>Effective for fiscal 2022, which began January 1, 2022, we will report our financial</w:t>
      </w:r>
      <w:r>
        <w:rPr>
          <w:rFonts w:eastAsia="Times New Roman"/>
          <w:color w:val="000000"/>
          <w:sz w:val="20"/>
          <w:szCs w:val="20"/>
        </w:rPr>
        <w:t xml:space="preserve"> results in the following three reportable segments:</w:t>
      </w:r>
    </w:p>
    <w:p w:rsidR="00000000" w:rsidRDefault="00AE54EE">
      <w:pPr>
        <w:ind w:hanging="180"/>
        <w:divId w:val="1073550912"/>
        <w:rPr>
          <w:rFonts w:eastAsia="Times New Roman"/>
        </w:rPr>
      </w:pPr>
      <w:r>
        <w:rPr>
          <w:rFonts w:eastAsia="Times New Roman"/>
          <w:color w:val="000000"/>
          <w:sz w:val="20"/>
          <w:szCs w:val="20"/>
        </w:rPr>
        <w:t>•Integrated Mission Systems, including multi-mission ISR and communication systems; integrated electrical and electronic systems for maritime platforms; advanced EO/IR and infrared solutions; defense avi</w:t>
      </w:r>
      <w:r>
        <w:rPr>
          <w:rFonts w:eastAsia="Times New Roman"/>
          <w:color w:val="000000"/>
          <w:sz w:val="20"/>
          <w:szCs w:val="20"/>
        </w:rPr>
        <w:t>ation; commercial aviation products; and commercial pilot training operations;</w:t>
      </w:r>
    </w:p>
    <w:p w:rsidR="00000000" w:rsidRDefault="00AE54EE">
      <w:pPr>
        <w:ind w:hanging="180"/>
        <w:divId w:val="351566630"/>
        <w:rPr>
          <w:rFonts w:eastAsia="Times New Roman"/>
        </w:rPr>
      </w:pPr>
      <w:r>
        <w:rPr>
          <w:rFonts w:eastAsia="Times New Roman"/>
          <w:color w:val="000000"/>
          <w:sz w:val="20"/>
          <w:szCs w:val="20"/>
        </w:rPr>
        <w:t>•Space &amp; Airborne Systems, including space payloads, sensors and full-mission solutions; classified intelligence and cyber defense; avionics; electronic warfare; and mission net</w:t>
      </w:r>
      <w:r>
        <w:rPr>
          <w:rFonts w:eastAsia="Times New Roman"/>
          <w:color w:val="000000"/>
          <w:sz w:val="20"/>
          <w:szCs w:val="20"/>
        </w:rPr>
        <w:t>works for air traffic management operations; and</w:t>
      </w:r>
    </w:p>
    <w:p w:rsidR="00000000" w:rsidRDefault="00AE54EE">
      <w:pPr>
        <w:ind w:hanging="180"/>
        <w:divId w:val="519665027"/>
        <w:rPr>
          <w:rFonts w:eastAsia="Times New Roman"/>
        </w:rPr>
      </w:pPr>
      <w:r>
        <w:rPr>
          <w:rFonts w:eastAsia="Times New Roman"/>
          <w:color w:val="000000"/>
          <w:sz w:val="20"/>
          <w:szCs w:val="20"/>
        </w:rPr>
        <w:t>•Communication Systems, including tactical communications with global communications solutions; broadband communications; integrated vision solutions; and public safety radios.</w:t>
      </w:r>
    </w:p>
    <w:p w:rsidR="00000000" w:rsidRDefault="00AE54EE">
      <w:pPr>
        <w:ind w:firstLine="450"/>
        <w:divId w:val="1143617992"/>
        <w:rPr>
          <w:rFonts w:eastAsia="Times New Roman"/>
        </w:rPr>
      </w:pPr>
      <w:r>
        <w:rPr>
          <w:rFonts w:eastAsia="Times New Roman"/>
          <w:color w:val="000000"/>
          <w:sz w:val="20"/>
          <w:szCs w:val="20"/>
        </w:rPr>
        <w:t>Our new business segment struc</w:t>
      </w:r>
      <w:r>
        <w:rPr>
          <w:rFonts w:eastAsia="Times New Roman"/>
          <w:color w:val="000000"/>
          <w:sz w:val="20"/>
          <w:szCs w:val="20"/>
        </w:rPr>
        <w:t>ture reflects that the ongoing operations that had been part of the Aviation Systems segment were integrated into the remaining segments. Defense aviation, commercial aviation products and commercial pilot training operations were moved into the Integrated</w:t>
      </w:r>
      <w:r>
        <w:rPr>
          <w:rFonts w:eastAsia="Times New Roman"/>
          <w:color w:val="000000"/>
          <w:sz w:val="20"/>
          <w:szCs w:val="20"/>
        </w:rPr>
        <w:t xml:space="preserve"> Mission Solutions segment; and mission networks for air traffic management operations was</w:t>
      </w:r>
      <w:r>
        <w:rPr>
          <w:rFonts w:eastAsia="Times New Roman"/>
          <w:color w:val="000000"/>
        </w:rPr>
        <w:t xml:space="preserve"> </w:t>
      </w:r>
      <w:r>
        <w:rPr>
          <w:rFonts w:eastAsia="Times New Roman"/>
          <w:color w:val="000000"/>
          <w:sz w:val="20"/>
          <w:szCs w:val="20"/>
        </w:rPr>
        <w:t xml:space="preserve">moved into the Space &amp; Airborne Systems segment. </w:t>
      </w:r>
    </w:p>
    <w:tbl>
      <w:tblPr>
        <w:tblW w:w="4899" w:type="pct"/>
        <w:tblCellMar>
          <w:top w:w="15" w:type="dxa"/>
          <w:left w:w="15" w:type="dxa"/>
          <w:bottom w:w="15" w:type="dxa"/>
          <w:right w:w="15" w:type="dxa"/>
        </w:tblCellMar>
        <w:tblLook w:val="04A0" w:firstRow="1" w:lastRow="0" w:firstColumn="1" w:lastColumn="0" w:noHBand="0" w:noVBand="1"/>
      </w:tblPr>
      <w:tblGrid>
        <w:gridCol w:w="70"/>
        <w:gridCol w:w="859"/>
        <w:gridCol w:w="36"/>
        <w:gridCol w:w="67"/>
        <w:gridCol w:w="7070"/>
        <w:gridCol w:w="36"/>
      </w:tblGrid>
      <w:tr w:rsidR="00000000">
        <w:trPr>
          <w:divId w:val="1484157394"/>
        </w:trPr>
        <w:tc>
          <w:tcPr>
            <w:tcW w:w="50" w:type="pct"/>
            <w:vAlign w:val="center"/>
            <w:hideMark/>
          </w:tcPr>
          <w:p w:rsidR="00000000" w:rsidRDefault="00AE54EE">
            <w:pPr>
              <w:ind w:firstLine="450"/>
              <w:rPr>
                <w:rFonts w:eastAsia="Times New Roman"/>
              </w:rPr>
            </w:pPr>
          </w:p>
        </w:tc>
        <w:tc>
          <w:tcPr>
            <w:tcW w:w="53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5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484157394"/>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9.</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CHANGES IN AND DISAGREEMENTS WITH ACCOUNTANTS ON ACCOUNTING AND FINANCIAL DISCLOSURE.</w:t>
            </w:r>
          </w:p>
        </w:tc>
      </w:tr>
    </w:tbl>
    <w:p w:rsidR="00000000" w:rsidRDefault="00AE54EE">
      <w:pPr>
        <w:ind w:firstLine="450"/>
        <w:divId w:val="736127893"/>
        <w:rPr>
          <w:rFonts w:eastAsia="Times New Roman"/>
        </w:rPr>
      </w:pPr>
      <w:r>
        <w:rPr>
          <w:rFonts w:eastAsia="Times New Roman"/>
          <w:color w:val="000000"/>
          <w:sz w:val="20"/>
          <w:szCs w:val="20"/>
        </w:rPr>
        <w:t>Not applicable.</w:t>
      </w:r>
      <w:r>
        <w:rPr>
          <w:rFonts w:eastAsia="Times New Roman"/>
          <w:color w:val="000000"/>
          <w:sz w:val="18"/>
          <w:szCs w:val="18"/>
        </w:rPr>
        <w:t> </w:t>
      </w:r>
    </w:p>
    <w:tbl>
      <w:tblPr>
        <w:tblW w:w="2162"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2470"/>
        <w:gridCol w:w="36"/>
      </w:tblGrid>
      <w:tr w:rsidR="00000000">
        <w:trPr>
          <w:divId w:val="655380541"/>
        </w:trPr>
        <w:tc>
          <w:tcPr>
            <w:tcW w:w="50" w:type="pct"/>
            <w:vAlign w:val="center"/>
            <w:hideMark/>
          </w:tcPr>
          <w:p w:rsidR="00000000" w:rsidRDefault="00AE54EE">
            <w:pPr>
              <w:ind w:firstLine="450"/>
              <w:rPr>
                <w:rFonts w:eastAsia="Times New Roman"/>
              </w:rPr>
            </w:pPr>
          </w:p>
        </w:tc>
        <w:tc>
          <w:tcPr>
            <w:tcW w:w="140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48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655380541"/>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9A.</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CONTROLS AND PROCEDURES.</w:t>
            </w:r>
          </w:p>
        </w:tc>
      </w:tr>
    </w:tbl>
    <w:p w:rsidR="00000000" w:rsidRDefault="00AE54EE">
      <w:pPr>
        <w:ind w:firstLine="450"/>
        <w:divId w:val="1393892169"/>
        <w:rPr>
          <w:rFonts w:eastAsia="Times New Roman"/>
        </w:rPr>
      </w:pPr>
      <w:r>
        <w:rPr>
          <w:rFonts w:eastAsia="Times New Roman"/>
          <w:color w:val="000000"/>
          <w:sz w:val="20"/>
          <w:szCs w:val="20"/>
        </w:rPr>
        <w:t>(a) </w:t>
      </w:r>
      <w:r>
        <w:rPr>
          <w:rFonts w:eastAsia="Times New Roman"/>
          <w:i/>
          <w:iCs/>
          <w:color w:val="000000"/>
          <w:sz w:val="20"/>
          <w:szCs w:val="20"/>
        </w:rPr>
        <w:t>Evaluation of Disclosure Controls and Procedures:</w:t>
      </w:r>
      <w:r>
        <w:rPr>
          <w:rFonts w:eastAsia="Times New Roman"/>
          <w:color w:val="000000"/>
          <w:sz w:val="20"/>
          <w:szCs w:val="20"/>
        </w:rPr>
        <w:t> </w:t>
      </w:r>
      <w:r>
        <w:rPr>
          <w:rFonts w:eastAsia="Times New Roman"/>
          <w:color w:val="000000"/>
          <w:sz w:val="20"/>
          <w:szCs w:val="20"/>
        </w:rPr>
        <w:t xml:space="preserve">We maintain disclosure controls and procedures that are designed to ensure that information required to be disclosed in our reports filed or submitted under the Exchange Act is recorded, processed, summarized and reported within the time periods specified </w:t>
      </w:r>
      <w:r>
        <w:rPr>
          <w:rFonts w:eastAsia="Times New Roman"/>
          <w:color w:val="000000"/>
          <w:sz w:val="20"/>
          <w:szCs w:val="20"/>
        </w:rPr>
        <w:t>in SEC rules and forms. Our disclosure controls and procedures include, without limitation, controls and procedures designed to ensure that information required to be disclosed in our reports filed or submitted under the Exchange Act is accumulated and com</w:t>
      </w:r>
      <w:r>
        <w:rPr>
          <w:rFonts w:eastAsia="Times New Roman"/>
          <w:color w:val="000000"/>
          <w:sz w:val="20"/>
          <w:szCs w:val="20"/>
        </w:rPr>
        <w:t>municated to management, including our Chief Executive Officer and Chief Financial Officer, as appropriate to allow timely decisions regarding required disclosures. There are inherent limitations to the effectiveness of any system of disclosure controls an</w:t>
      </w:r>
      <w:r>
        <w:rPr>
          <w:rFonts w:eastAsia="Times New Roman"/>
          <w:color w:val="000000"/>
          <w:sz w:val="20"/>
          <w:szCs w:val="20"/>
        </w:rPr>
        <w:t>d procedures, including the possibility of human error and the circumvention or overriding of the controls and procedures. Accordingly, even effective disclosure controls and procedures can provide only reasonable assurance of achieving their control objec</w:t>
      </w:r>
      <w:r>
        <w:rPr>
          <w:rFonts w:eastAsia="Times New Roman"/>
          <w:color w:val="000000"/>
          <w:sz w:val="20"/>
          <w:szCs w:val="20"/>
        </w:rPr>
        <w:t>tives, and management necessarily is required to use its judgment in evaluating the cost-benefit relationship of possible controls and procedures. As required by Rule 13a-15 under the Exchange Act, as of December 31, 2021, we carried out an evaluation of t</w:t>
      </w:r>
      <w:r>
        <w:rPr>
          <w:rFonts w:eastAsia="Times New Roman"/>
          <w:color w:val="000000"/>
          <w:sz w:val="20"/>
          <w:szCs w:val="20"/>
        </w:rPr>
        <w:t>he effectiveness of the design and operation of our disclosure controls and procedures. This evaluation was carried out under the supervision and with the participation of our management, including our Chief Executive Officer and our Chief Financial Office</w:t>
      </w:r>
      <w:r>
        <w:rPr>
          <w:rFonts w:eastAsia="Times New Roman"/>
          <w:color w:val="000000"/>
          <w:sz w:val="20"/>
          <w:szCs w:val="20"/>
        </w:rPr>
        <w:t>r. Based on this work and other evaluation procedures, our management, including our Chief Executive Officer and our Chief Financial Officer, has concluded that as of December 31, 2021 our disclosure controls and procedures were effective.</w:t>
      </w:r>
    </w:p>
    <w:p w:rsidR="00000000" w:rsidRDefault="00AE54EE">
      <w:pPr>
        <w:ind w:firstLine="450"/>
        <w:divId w:val="1088188551"/>
        <w:rPr>
          <w:rFonts w:eastAsia="Times New Roman"/>
        </w:rPr>
      </w:pPr>
      <w:r>
        <w:rPr>
          <w:rFonts w:eastAsia="Times New Roman"/>
          <w:color w:val="000000"/>
          <w:sz w:val="20"/>
          <w:szCs w:val="20"/>
        </w:rPr>
        <w:t>(b) </w:t>
      </w:r>
      <w:r>
        <w:rPr>
          <w:rFonts w:eastAsia="Times New Roman"/>
          <w:i/>
          <w:iCs/>
          <w:color w:val="000000"/>
          <w:sz w:val="20"/>
          <w:szCs w:val="20"/>
        </w:rPr>
        <w:t>Changes in I</w:t>
      </w:r>
      <w:r>
        <w:rPr>
          <w:rFonts w:eastAsia="Times New Roman"/>
          <w:i/>
          <w:iCs/>
          <w:color w:val="000000"/>
          <w:sz w:val="20"/>
          <w:szCs w:val="20"/>
        </w:rPr>
        <w:t>nternal Control:</w:t>
      </w:r>
      <w:r>
        <w:rPr>
          <w:rFonts w:eastAsia="Times New Roman"/>
          <w:color w:val="000000"/>
          <w:sz w:val="20"/>
          <w:szCs w:val="20"/>
        </w:rPr>
        <w:t> We periodically review our internal control over financial reporting as part of our efforts to ensure compliance with the requirements of Section 404 of the Sarbanes-Oxley Act of 2002. In addition, we routinely review our system of interna</w:t>
      </w:r>
      <w:r>
        <w:rPr>
          <w:rFonts w:eastAsia="Times New Roman"/>
          <w:color w:val="000000"/>
          <w:sz w:val="20"/>
          <w:szCs w:val="20"/>
        </w:rPr>
        <w:t xml:space="preserve">l control over financial reporting to identify potential changes to our processes and systems that may improve controls and increase efficiency, while ensuring that we maintain an effective internal control environment. Changes may include such activities </w:t>
      </w:r>
      <w:r>
        <w:rPr>
          <w:rFonts w:eastAsia="Times New Roman"/>
          <w:color w:val="000000"/>
          <w:sz w:val="20"/>
          <w:szCs w:val="20"/>
        </w:rPr>
        <w:t>as implementing new, more efficient systems, consolidating the activities of business units, migrating certain processes to our shared services organizations, formalizing policies and procedures, improving segregation of duties and increasing monitoring co</w:t>
      </w:r>
      <w:r>
        <w:rPr>
          <w:rFonts w:eastAsia="Times New Roman"/>
          <w:color w:val="000000"/>
          <w:sz w:val="20"/>
          <w:szCs w:val="20"/>
        </w:rPr>
        <w:t>ntrols. In addition, when we acquire new businesses, we incorporate our controls and procedures into the acquired business as part of our integration activities. There have been no changes in our internal control over financial reporting that occurred duri</w:t>
      </w:r>
      <w:r>
        <w:rPr>
          <w:rFonts w:eastAsia="Times New Roman"/>
          <w:color w:val="000000"/>
          <w:sz w:val="20"/>
          <w:szCs w:val="20"/>
        </w:rPr>
        <w:t>ng the quarter ended December 31, 2021 that have materially affected, or are reasonably likely to materially affect, our internal control over financial reporting.</w:t>
      </w:r>
    </w:p>
    <w:p w:rsidR="00000000" w:rsidRDefault="00AE54EE">
      <w:pPr>
        <w:ind w:firstLine="450"/>
        <w:divId w:val="124352312"/>
        <w:rPr>
          <w:rFonts w:eastAsia="Times New Roman"/>
        </w:rPr>
      </w:pPr>
      <w:r>
        <w:rPr>
          <w:rFonts w:eastAsia="Times New Roman"/>
          <w:color w:val="000000"/>
          <w:sz w:val="20"/>
          <w:szCs w:val="20"/>
        </w:rPr>
        <w:t>(c) </w:t>
      </w:r>
      <w:r>
        <w:rPr>
          <w:rFonts w:eastAsia="Times New Roman"/>
          <w:i/>
          <w:iCs/>
          <w:color w:val="000000"/>
          <w:sz w:val="20"/>
          <w:szCs w:val="20"/>
        </w:rPr>
        <w:t>Evaluation of Internal Control over Financial Reporting:</w:t>
      </w:r>
      <w:r>
        <w:rPr>
          <w:rFonts w:eastAsia="Times New Roman"/>
          <w:color w:val="000000"/>
          <w:sz w:val="20"/>
          <w:szCs w:val="20"/>
        </w:rPr>
        <w:t> Our management is responsible f</w:t>
      </w:r>
      <w:r>
        <w:rPr>
          <w:rFonts w:eastAsia="Times New Roman"/>
          <w:color w:val="000000"/>
          <w:sz w:val="20"/>
          <w:szCs w:val="20"/>
        </w:rPr>
        <w:t>or establishing and maintaining adequate internal control over financial reporting. Our management, with the participation of our Chief Executive Officer and our Chief Financial Officer, assessed the effectiveness of our internal control over financial rep</w:t>
      </w:r>
      <w:r>
        <w:rPr>
          <w:rFonts w:eastAsia="Times New Roman"/>
          <w:color w:val="000000"/>
          <w:sz w:val="20"/>
          <w:szCs w:val="20"/>
        </w:rPr>
        <w:t xml:space="preserve">orting as of December 31, 2021. In making this assessment, our management used the criteria set forth by the Committee of Sponsoring Organizations of the Treadway Commission (COSO) in </w:t>
      </w:r>
      <w:r>
        <w:rPr>
          <w:rFonts w:eastAsia="Times New Roman"/>
          <w:i/>
          <w:iCs/>
          <w:color w:val="000000"/>
          <w:sz w:val="20"/>
          <w:szCs w:val="20"/>
        </w:rPr>
        <w:t>Internal Control-Integrated Framework</w:t>
      </w:r>
      <w:r>
        <w:rPr>
          <w:rFonts w:eastAsia="Times New Roman"/>
          <w:color w:val="000000"/>
          <w:sz w:val="20"/>
          <w:szCs w:val="20"/>
        </w:rPr>
        <w:t xml:space="preserve"> (2013 framework). Based on our man</w:t>
      </w:r>
      <w:r>
        <w:rPr>
          <w:rFonts w:eastAsia="Times New Roman"/>
          <w:color w:val="000000"/>
          <w:sz w:val="20"/>
          <w:szCs w:val="20"/>
        </w:rPr>
        <w:t>agement’s assessment and those criteria, our management concluded that our internal control over financial reporting was effective as of December 31, 2021. “Management’s Report on Internal Control Over Financial Reporting” is included within “Item 8. Finan</w:t>
      </w:r>
      <w:r>
        <w:rPr>
          <w:rFonts w:eastAsia="Times New Roman"/>
          <w:color w:val="000000"/>
          <w:sz w:val="20"/>
          <w:szCs w:val="20"/>
        </w:rPr>
        <w:t>cial Statements and Supplementary Data” of this Report. The effectiveness of our internal control over financial reporting was audited by Ernst &amp; Young LLP, our independent registered public accounting firm, whose unqualified report is included within “Ite</w:t>
      </w:r>
      <w:r>
        <w:rPr>
          <w:rFonts w:eastAsia="Times New Roman"/>
          <w:color w:val="000000"/>
          <w:sz w:val="20"/>
          <w:szCs w:val="20"/>
        </w:rPr>
        <w:t>m 8. Financial Statements and Supplementary Data” of this Report.</w:t>
      </w:r>
      <w:r>
        <w:rPr>
          <w:rFonts w:eastAsia="Times New Roman"/>
          <w:color w:val="000000"/>
          <w:sz w:val="18"/>
          <w:szCs w:val="18"/>
        </w:rPr>
        <w:t> </w:t>
      </w:r>
    </w:p>
    <w:p w:rsidR="00000000" w:rsidRDefault="00AE54EE">
      <w:pPr>
        <w:ind w:firstLine="450"/>
        <w:jc w:val="center"/>
        <w:divId w:val="984119436"/>
        <w:rPr>
          <w:rFonts w:eastAsia="Times New Roman"/>
        </w:rPr>
      </w:pPr>
      <w:r>
        <w:rPr>
          <w:rFonts w:eastAsia="Times New Roman"/>
          <w:color w:val="000000"/>
          <w:sz w:val="20"/>
          <w:szCs w:val="20"/>
        </w:rPr>
        <w:t>125</w:t>
      </w:r>
    </w:p>
    <w:p w:rsidR="00000000" w:rsidRDefault="00AE54EE">
      <w:pPr>
        <w:rPr>
          <w:rFonts w:eastAsia="Times New Roman"/>
        </w:rPr>
      </w:pPr>
      <w:r>
        <w:rPr>
          <w:rFonts w:eastAsia="Times New Roman"/>
        </w:rPr>
        <w:pict>
          <v:rect id="_x0000_i1153" style="width:0;height:1.5pt" o:hralign="center" o:hrstd="t" o:hr="t" fillcolor="#a0a0a0" stroked="f"/>
        </w:pict>
      </w:r>
    </w:p>
    <w:p w:rsidR="00000000" w:rsidRDefault="00AE54EE">
      <w:pPr>
        <w:ind w:firstLine="450"/>
        <w:divId w:val="99644550"/>
        <w:rPr>
          <w:rFonts w:eastAsia="Times New Roman"/>
        </w:rPr>
      </w:pPr>
    </w:p>
    <w:tbl>
      <w:tblPr>
        <w:tblW w:w="1788"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848"/>
        <w:gridCol w:w="36"/>
      </w:tblGrid>
      <w:tr w:rsidR="00000000">
        <w:trPr>
          <w:divId w:val="1912692587"/>
        </w:trPr>
        <w:tc>
          <w:tcPr>
            <w:tcW w:w="50" w:type="pct"/>
            <w:vAlign w:val="center"/>
            <w:hideMark/>
          </w:tcPr>
          <w:p w:rsidR="00000000" w:rsidRDefault="00AE54EE">
            <w:pPr>
              <w:ind w:firstLine="450"/>
              <w:rPr>
                <w:rFonts w:eastAsia="Times New Roman"/>
              </w:rPr>
            </w:pPr>
          </w:p>
        </w:tc>
        <w:tc>
          <w:tcPr>
            <w:tcW w:w="171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17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912692587"/>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9B.</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OTHER INFORMATION.</w:t>
            </w:r>
          </w:p>
        </w:tc>
      </w:tr>
    </w:tbl>
    <w:p w:rsidR="00000000" w:rsidRDefault="00AE54EE">
      <w:pPr>
        <w:ind w:firstLine="450"/>
        <w:divId w:val="1009602520"/>
        <w:rPr>
          <w:rFonts w:eastAsia="Times New Roman"/>
        </w:rPr>
      </w:pPr>
      <w:r>
        <w:rPr>
          <w:rFonts w:eastAsia="Times New Roman"/>
          <w:color w:val="000000"/>
          <w:sz w:val="20"/>
          <w:szCs w:val="20"/>
        </w:rPr>
        <w:t>Not applicable.</w:t>
      </w:r>
    </w:p>
    <w:tbl>
      <w:tblPr>
        <w:tblW w:w="4806" w:type="pct"/>
        <w:tblCellMar>
          <w:top w:w="15" w:type="dxa"/>
          <w:left w:w="15" w:type="dxa"/>
          <w:bottom w:w="15" w:type="dxa"/>
          <w:right w:w="15" w:type="dxa"/>
        </w:tblCellMar>
        <w:tblLook w:val="04A0" w:firstRow="1" w:lastRow="0" w:firstColumn="1" w:lastColumn="0" w:noHBand="0" w:noVBand="1"/>
      </w:tblPr>
      <w:tblGrid>
        <w:gridCol w:w="74"/>
        <w:gridCol w:w="939"/>
        <w:gridCol w:w="36"/>
        <w:gridCol w:w="66"/>
        <w:gridCol w:w="6833"/>
        <w:gridCol w:w="36"/>
      </w:tblGrid>
      <w:tr w:rsidR="00000000">
        <w:trPr>
          <w:divId w:val="1867331125"/>
        </w:trPr>
        <w:tc>
          <w:tcPr>
            <w:tcW w:w="50" w:type="pct"/>
            <w:vAlign w:val="center"/>
            <w:hideMark/>
          </w:tcPr>
          <w:p w:rsidR="00000000" w:rsidRDefault="00AE54EE">
            <w:pPr>
              <w:ind w:firstLine="450"/>
              <w:rPr>
                <w:rFonts w:eastAsia="Times New Roman"/>
              </w:rPr>
            </w:pPr>
          </w:p>
        </w:tc>
        <w:tc>
          <w:tcPr>
            <w:tcW w:w="60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8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867331125"/>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9C.</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DISCLOSURE REGARDING FOREIGN JURISDICTIONS THAT PREVENT INSPECTIONS.</w:t>
            </w:r>
          </w:p>
        </w:tc>
      </w:tr>
    </w:tbl>
    <w:p w:rsidR="00000000" w:rsidRDefault="00AE54EE">
      <w:pPr>
        <w:ind w:firstLine="450"/>
        <w:divId w:val="487016260"/>
        <w:rPr>
          <w:rFonts w:eastAsia="Times New Roman"/>
        </w:rPr>
      </w:pPr>
      <w:r>
        <w:rPr>
          <w:rFonts w:eastAsia="Times New Roman"/>
          <w:color w:val="000000"/>
          <w:sz w:val="20"/>
          <w:szCs w:val="20"/>
        </w:rPr>
        <w:t>Not applicable.</w:t>
      </w:r>
    </w:p>
    <w:p w:rsidR="00000000" w:rsidRDefault="00AE54EE">
      <w:pPr>
        <w:ind w:firstLine="450"/>
        <w:jc w:val="center"/>
        <w:divId w:val="543181107"/>
        <w:rPr>
          <w:rFonts w:eastAsia="Times New Roman"/>
        </w:rPr>
      </w:pPr>
      <w:r>
        <w:rPr>
          <w:rFonts w:eastAsia="Times New Roman"/>
          <w:b/>
          <w:bCs/>
          <w:color w:val="000000"/>
        </w:rPr>
        <w:t>PART III</w:t>
      </w:r>
    </w:p>
    <w:tbl>
      <w:tblPr>
        <w:tblW w:w="3987" w:type="pct"/>
        <w:tblCellMar>
          <w:top w:w="15" w:type="dxa"/>
          <w:left w:w="15" w:type="dxa"/>
          <w:bottom w:w="15" w:type="dxa"/>
          <w:right w:w="15" w:type="dxa"/>
        </w:tblCellMar>
        <w:tblLook w:val="04A0" w:firstRow="1" w:lastRow="0" w:firstColumn="1" w:lastColumn="0" w:noHBand="0" w:noVBand="1"/>
      </w:tblPr>
      <w:tblGrid>
        <w:gridCol w:w="59"/>
        <w:gridCol w:w="953"/>
        <w:gridCol w:w="36"/>
        <w:gridCol w:w="52"/>
        <w:gridCol w:w="5487"/>
        <w:gridCol w:w="36"/>
      </w:tblGrid>
      <w:tr w:rsidR="00000000">
        <w:trPr>
          <w:divId w:val="421530646"/>
        </w:trPr>
        <w:tc>
          <w:tcPr>
            <w:tcW w:w="50" w:type="pct"/>
            <w:vAlign w:val="center"/>
            <w:hideMark/>
          </w:tcPr>
          <w:p w:rsidR="00000000" w:rsidRDefault="00AE54EE">
            <w:pPr>
              <w:ind w:firstLine="450"/>
              <w:jc w:val="center"/>
              <w:rPr>
                <w:rFonts w:eastAsia="Times New Roman"/>
              </w:rPr>
            </w:pPr>
          </w:p>
        </w:tc>
        <w:tc>
          <w:tcPr>
            <w:tcW w:w="73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152"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421530646"/>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10.</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DIRECTORS, EXECUTIVE OFFICERS AND CORPORATE GOVERNANCE.</w:t>
            </w:r>
          </w:p>
        </w:tc>
      </w:tr>
    </w:tbl>
    <w:p w:rsidR="00000000" w:rsidRDefault="00AE54EE">
      <w:pPr>
        <w:ind w:firstLine="450"/>
        <w:divId w:val="707414013"/>
        <w:rPr>
          <w:rFonts w:eastAsia="Times New Roman"/>
        </w:rPr>
      </w:pPr>
      <w:r>
        <w:rPr>
          <w:rFonts w:eastAsia="Times New Roman"/>
          <w:color w:val="000000"/>
          <w:sz w:val="20"/>
          <w:szCs w:val="20"/>
        </w:rPr>
        <w:t>Information regarding our directors, executive officers and corporate governance is included in our Proxy Statement for our 2022 Annual Meeting of Shareholders scheduled to be held on April 22, 2022 (our “2022 Proxy Statement”), which is expected to be fil</w:t>
      </w:r>
      <w:r>
        <w:rPr>
          <w:rFonts w:eastAsia="Times New Roman"/>
          <w:color w:val="000000"/>
          <w:sz w:val="20"/>
          <w:szCs w:val="20"/>
        </w:rPr>
        <w:t>ed within 120 days after the end of our fiscal 2021.</w:t>
      </w:r>
    </w:p>
    <w:p w:rsidR="00000000" w:rsidRDefault="00AE54EE">
      <w:pPr>
        <w:ind w:firstLine="450"/>
        <w:divId w:val="1133447719"/>
        <w:rPr>
          <w:rFonts w:eastAsia="Times New Roman"/>
        </w:rPr>
      </w:pPr>
      <w:r>
        <w:rPr>
          <w:rFonts w:eastAsia="Times New Roman"/>
          <w:color w:val="000000"/>
          <w:sz w:val="20"/>
          <w:szCs w:val="20"/>
        </w:rPr>
        <w:t>(a) </w:t>
      </w:r>
      <w:r>
        <w:rPr>
          <w:rFonts w:eastAsia="Times New Roman"/>
          <w:i/>
          <w:iCs/>
          <w:color w:val="000000"/>
          <w:sz w:val="20"/>
          <w:szCs w:val="20"/>
        </w:rPr>
        <w:t>Identification of Directors:</w:t>
      </w:r>
      <w:r>
        <w:rPr>
          <w:rFonts w:eastAsia="Times New Roman"/>
          <w:color w:val="000000"/>
          <w:sz w:val="20"/>
          <w:szCs w:val="20"/>
        </w:rPr>
        <w:t xml:space="preserve"> The information required by this Item with respect to our directors is incorporated herein by reference to the discussion under the headings </w:t>
      </w:r>
      <w:r>
        <w:rPr>
          <w:rFonts w:eastAsia="Times New Roman"/>
          <w:i/>
          <w:iCs/>
          <w:color w:val="000000"/>
          <w:sz w:val="20"/>
          <w:szCs w:val="20"/>
        </w:rPr>
        <w:t>Proposal 1: Election of Direc</w:t>
      </w:r>
      <w:r>
        <w:rPr>
          <w:rFonts w:eastAsia="Times New Roman"/>
          <w:i/>
          <w:iCs/>
          <w:color w:val="000000"/>
          <w:sz w:val="20"/>
          <w:szCs w:val="20"/>
        </w:rPr>
        <w:t>tors</w:t>
      </w:r>
      <w:r>
        <w:rPr>
          <w:rFonts w:eastAsia="Times New Roman"/>
          <w:color w:val="000000"/>
          <w:sz w:val="20"/>
          <w:szCs w:val="20"/>
        </w:rPr>
        <w:t xml:space="preserve"> and </w:t>
      </w:r>
      <w:r>
        <w:rPr>
          <w:rFonts w:eastAsia="Times New Roman"/>
          <w:i/>
          <w:iCs/>
          <w:color w:val="000000"/>
          <w:sz w:val="20"/>
          <w:szCs w:val="20"/>
        </w:rPr>
        <w:t xml:space="preserve">Nominees for Election </w:t>
      </w:r>
      <w:r>
        <w:rPr>
          <w:rFonts w:eastAsia="Times New Roman"/>
          <w:color w:val="000000"/>
          <w:sz w:val="20"/>
          <w:szCs w:val="20"/>
        </w:rPr>
        <w:t>in our 2022 Proxy Statement.</w:t>
      </w:r>
    </w:p>
    <w:p w:rsidR="00000000" w:rsidRDefault="00AE54EE">
      <w:pPr>
        <w:ind w:firstLine="450"/>
        <w:divId w:val="1941331471"/>
        <w:rPr>
          <w:rFonts w:eastAsia="Times New Roman"/>
        </w:rPr>
      </w:pPr>
      <w:r>
        <w:rPr>
          <w:rFonts w:eastAsia="Times New Roman"/>
          <w:color w:val="000000"/>
          <w:sz w:val="20"/>
          <w:szCs w:val="20"/>
        </w:rPr>
        <w:t>(b) </w:t>
      </w:r>
      <w:r>
        <w:rPr>
          <w:rFonts w:eastAsia="Times New Roman"/>
          <w:i/>
          <w:iCs/>
          <w:color w:val="000000"/>
          <w:sz w:val="20"/>
          <w:szCs w:val="20"/>
        </w:rPr>
        <w:t>Identification of Executive Officers:</w:t>
      </w:r>
      <w:r>
        <w:rPr>
          <w:rFonts w:eastAsia="Times New Roman"/>
          <w:color w:val="000000"/>
          <w:sz w:val="20"/>
          <w:szCs w:val="20"/>
        </w:rPr>
        <w:t xml:space="preserve"> Certain information regarding our executive officers is included in Part I of this Report under the heading “Information about our Executive Officers” in </w:t>
      </w:r>
      <w:r>
        <w:rPr>
          <w:rFonts w:eastAsia="Times New Roman"/>
          <w:color w:val="000000"/>
          <w:sz w:val="20"/>
          <w:szCs w:val="20"/>
        </w:rPr>
        <w:t>accordance with General Instruction G(3) of Form 10-K.</w:t>
      </w:r>
    </w:p>
    <w:p w:rsidR="00000000" w:rsidRDefault="00AE54EE">
      <w:pPr>
        <w:ind w:firstLine="450"/>
        <w:divId w:val="2092191378"/>
        <w:rPr>
          <w:rFonts w:eastAsia="Times New Roman"/>
        </w:rPr>
      </w:pPr>
      <w:r>
        <w:rPr>
          <w:rFonts w:eastAsia="Times New Roman"/>
          <w:color w:val="000000"/>
          <w:sz w:val="20"/>
          <w:szCs w:val="20"/>
        </w:rPr>
        <w:t>(c) </w:t>
      </w:r>
      <w:r>
        <w:rPr>
          <w:rFonts w:eastAsia="Times New Roman"/>
          <w:i/>
          <w:iCs/>
          <w:color w:val="000000"/>
          <w:sz w:val="20"/>
          <w:szCs w:val="20"/>
        </w:rPr>
        <w:t>Audit Committee Information; Financial Expert:</w:t>
      </w:r>
      <w:r>
        <w:rPr>
          <w:rFonts w:eastAsia="Times New Roman"/>
          <w:color w:val="000000"/>
          <w:sz w:val="20"/>
          <w:szCs w:val="20"/>
        </w:rPr>
        <w:t> The information required by this Item with respect to the Audit Committee of our Board of Directors and “audit committee financial experts” is incorpo</w:t>
      </w:r>
      <w:r>
        <w:rPr>
          <w:rFonts w:eastAsia="Times New Roman"/>
          <w:color w:val="000000"/>
          <w:sz w:val="20"/>
          <w:szCs w:val="20"/>
        </w:rPr>
        <w:t xml:space="preserve">rated herein by reference to the discussions under the headings </w:t>
      </w:r>
      <w:r>
        <w:rPr>
          <w:rFonts w:eastAsia="Times New Roman"/>
          <w:i/>
          <w:iCs/>
          <w:color w:val="000000"/>
          <w:sz w:val="20"/>
          <w:szCs w:val="20"/>
        </w:rPr>
        <w:t xml:space="preserve">Corporate Governance </w:t>
      </w:r>
      <w:r>
        <w:rPr>
          <w:rFonts w:eastAsia="Times New Roman"/>
          <w:color w:val="000000"/>
          <w:sz w:val="20"/>
          <w:szCs w:val="20"/>
        </w:rPr>
        <w:t xml:space="preserve">and </w:t>
      </w:r>
      <w:r>
        <w:rPr>
          <w:rFonts w:eastAsia="Times New Roman"/>
          <w:i/>
          <w:iCs/>
          <w:color w:val="000000"/>
          <w:sz w:val="20"/>
          <w:szCs w:val="20"/>
        </w:rPr>
        <w:t>Board Committees</w:t>
      </w:r>
      <w:r>
        <w:rPr>
          <w:rFonts w:eastAsia="Times New Roman"/>
          <w:color w:val="000000"/>
          <w:sz w:val="20"/>
          <w:szCs w:val="20"/>
        </w:rPr>
        <w:t xml:space="preserve">, </w:t>
      </w:r>
      <w:r>
        <w:rPr>
          <w:rFonts w:eastAsia="Times New Roman"/>
          <w:i/>
          <w:iCs/>
          <w:color w:val="000000"/>
          <w:sz w:val="20"/>
          <w:szCs w:val="20"/>
        </w:rPr>
        <w:t>Audit Committee</w:t>
      </w:r>
      <w:r>
        <w:rPr>
          <w:rFonts w:eastAsia="Times New Roman"/>
          <w:color w:val="000000"/>
          <w:sz w:val="20"/>
          <w:szCs w:val="20"/>
        </w:rPr>
        <w:t xml:space="preserve"> in our 2022 Proxy Statement.</w:t>
      </w:r>
    </w:p>
    <w:p w:rsidR="00000000" w:rsidRDefault="00AE54EE">
      <w:pPr>
        <w:ind w:firstLine="450"/>
        <w:divId w:val="1348211370"/>
        <w:rPr>
          <w:rFonts w:eastAsia="Times New Roman"/>
        </w:rPr>
      </w:pPr>
      <w:r>
        <w:rPr>
          <w:rFonts w:eastAsia="Times New Roman"/>
          <w:color w:val="000000"/>
          <w:sz w:val="20"/>
          <w:szCs w:val="20"/>
        </w:rPr>
        <w:t>(d) </w:t>
      </w:r>
      <w:r>
        <w:rPr>
          <w:rFonts w:eastAsia="Times New Roman"/>
          <w:i/>
          <w:iCs/>
          <w:color w:val="000000"/>
          <w:sz w:val="20"/>
          <w:szCs w:val="20"/>
        </w:rPr>
        <w:t>Delinquent Section 16(a) Reports:</w:t>
      </w:r>
      <w:r>
        <w:rPr>
          <w:rFonts w:eastAsia="Times New Roman"/>
          <w:color w:val="000000"/>
          <w:sz w:val="20"/>
          <w:szCs w:val="20"/>
        </w:rPr>
        <w:t> Information related to compliance with Section 16(a) of the Exchan</w:t>
      </w:r>
      <w:r>
        <w:rPr>
          <w:rFonts w:eastAsia="Times New Roman"/>
          <w:color w:val="000000"/>
          <w:sz w:val="20"/>
          <w:szCs w:val="20"/>
        </w:rPr>
        <w:t xml:space="preserve">ge Act is incorporated herein by reference to the discussion under the heading </w:t>
      </w:r>
      <w:r>
        <w:rPr>
          <w:rFonts w:eastAsia="Times New Roman"/>
          <w:i/>
          <w:iCs/>
          <w:color w:val="000000"/>
          <w:sz w:val="20"/>
          <w:szCs w:val="20"/>
        </w:rPr>
        <w:t>Delinquent Section 16(a) Reports</w:t>
      </w:r>
      <w:r>
        <w:rPr>
          <w:rFonts w:eastAsia="Times New Roman"/>
          <w:color w:val="000000"/>
          <w:sz w:val="20"/>
          <w:szCs w:val="20"/>
        </w:rPr>
        <w:t xml:space="preserve"> in our 2022 Proxy Statement.</w:t>
      </w:r>
    </w:p>
    <w:p w:rsidR="00000000" w:rsidRDefault="00AE54EE">
      <w:pPr>
        <w:ind w:firstLine="450"/>
        <w:divId w:val="111752118"/>
        <w:rPr>
          <w:rFonts w:eastAsia="Times New Roman"/>
        </w:rPr>
      </w:pPr>
      <w:r>
        <w:rPr>
          <w:rFonts w:eastAsia="Times New Roman"/>
          <w:color w:val="000000"/>
          <w:sz w:val="20"/>
          <w:szCs w:val="20"/>
        </w:rPr>
        <w:t>(e) </w:t>
      </w:r>
      <w:r>
        <w:rPr>
          <w:rFonts w:eastAsia="Times New Roman"/>
          <w:i/>
          <w:iCs/>
          <w:color w:val="000000"/>
          <w:sz w:val="20"/>
          <w:szCs w:val="20"/>
        </w:rPr>
        <w:t>Code of Ethics:</w:t>
      </w:r>
      <w:r>
        <w:rPr>
          <w:rFonts w:eastAsia="Times New Roman"/>
          <w:color w:val="000000"/>
          <w:sz w:val="20"/>
          <w:szCs w:val="20"/>
        </w:rPr>
        <w:t> All of our directors and employees, including our Chief Executive Officer, Chief Financial Offi</w:t>
      </w:r>
      <w:r>
        <w:rPr>
          <w:rFonts w:eastAsia="Times New Roman"/>
          <w:color w:val="000000"/>
          <w:sz w:val="20"/>
          <w:szCs w:val="20"/>
        </w:rPr>
        <w:t xml:space="preserve">cer, Principal Accounting Officer and other senior accounting and financial officers, are required to abide by our Code of Conduct. Our Code of Conduct is posted on our website at </w:t>
      </w:r>
      <w:r>
        <w:rPr>
          <w:rFonts w:eastAsia="Times New Roman"/>
          <w:i/>
          <w:iCs/>
          <w:color w:val="000000"/>
          <w:sz w:val="20"/>
          <w:szCs w:val="20"/>
        </w:rPr>
        <w:t>https://www.l3harris.com/resources/other/l3harris-code-conduct</w:t>
      </w:r>
      <w:r>
        <w:rPr>
          <w:rFonts w:eastAsia="Times New Roman"/>
          <w:color w:val="000000"/>
          <w:sz w:val="20"/>
          <w:szCs w:val="20"/>
        </w:rPr>
        <w:t xml:space="preserve"> and is also a</w:t>
      </w:r>
      <w:r>
        <w:rPr>
          <w:rFonts w:eastAsia="Times New Roman"/>
          <w:color w:val="000000"/>
          <w:sz w:val="20"/>
          <w:szCs w:val="20"/>
        </w:rPr>
        <w:t xml:space="preserve">vailable free of charge by written request to our Director of Ethics and Compliance, L3Harris Technologies, Inc., 1025 West NASA Boulevard, Melbourne, Florida 32919. We intend to disclose on the Code of Conduct section of our website at </w:t>
      </w:r>
      <w:r>
        <w:rPr>
          <w:rFonts w:eastAsia="Times New Roman"/>
          <w:i/>
          <w:iCs/>
          <w:color w:val="000000"/>
          <w:sz w:val="20"/>
          <w:szCs w:val="20"/>
        </w:rPr>
        <w:t>https://www.l3harri</w:t>
      </w:r>
      <w:r>
        <w:rPr>
          <w:rFonts w:eastAsia="Times New Roman"/>
          <w:i/>
          <w:iCs/>
          <w:color w:val="000000"/>
          <w:sz w:val="20"/>
          <w:szCs w:val="20"/>
        </w:rPr>
        <w:t>s.com/resources/other/l3harris-code-conduct</w:t>
      </w:r>
      <w:r>
        <w:rPr>
          <w:rFonts w:eastAsia="Times New Roman"/>
          <w:color w:val="000000"/>
          <w:sz w:val="20"/>
          <w:szCs w:val="20"/>
        </w:rPr>
        <w:t xml:space="preserve"> any amendment to, or waiver from, our Code of Conduct that is required to be disclosed to shareholders, within four business days following such amendment or waiver. The information required by this Item with res</w:t>
      </w:r>
      <w:r>
        <w:rPr>
          <w:rFonts w:eastAsia="Times New Roman"/>
          <w:color w:val="000000"/>
          <w:sz w:val="20"/>
          <w:szCs w:val="20"/>
        </w:rPr>
        <w:t xml:space="preserve">pect to codes of ethics is incorporated herein by reference to the discussion under the heading </w:t>
      </w:r>
      <w:r>
        <w:rPr>
          <w:rFonts w:eastAsia="Times New Roman"/>
          <w:i/>
          <w:iCs/>
          <w:color w:val="000000"/>
          <w:sz w:val="20"/>
          <w:szCs w:val="20"/>
        </w:rPr>
        <w:t>Code of Conduct</w:t>
      </w:r>
      <w:r>
        <w:rPr>
          <w:rFonts w:eastAsia="Times New Roman"/>
          <w:color w:val="000000"/>
          <w:sz w:val="20"/>
          <w:szCs w:val="20"/>
        </w:rPr>
        <w:t xml:space="preserve"> in our 2022 Proxy Statement.</w:t>
      </w:r>
    </w:p>
    <w:p w:rsidR="00000000" w:rsidRDefault="00AE54EE">
      <w:pPr>
        <w:ind w:firstLine="450"/>
        <w:divId w:val="1695575863"/>
        <w:rPr>
          <w:rFonts w:eastAsia="Times New Roman"/>
        </w:rPr>
      </w:pPr>
      <w:r>
        <w:rPr>
          <w:rFonts w:eastAsia="Times New Roman"/>
          <w:color w:val="000000"/>
          <w:sz w:val="20"/>
          <w:szCs w:val="20"/>
        </w:rPr>
        <w:t>(f) </w:t>
      </w:r>
      <w:r>
        <w:rPr>
          <w:rFonts w:eastAsia="Times New Roman"/>
          <w:i/>
          <w:iCs/>
          <w:color w:val="000000"/>
          <w:sz w:val="20"/>
          <w:szCs w:val="20"/>
        </w:rPr>
        <w:t>Policy for Nominees:</w:t>
      </w:r>
      <w:r>
        <w:rPr>
          <w:rFonts w:eastAsia="Times New Roman"/>
          <w:color w:val="000000"/>
          <w:sz w:val="20"/>
          <w:szCs w:val="20"/>
        </w:rPr>
        <w:t xml:space="preserve"> The information required under Item 407(c)(3) of Regulation S-K is incorporated herein by </w:t>
      </w:r>
      <w:r>
        <w:rPr>
          <w:rFonts w:eastAsia="Times New Roman"/>
          <w:color w:val="000000"/>
          <w:sz w:val="20"/>
          <w:szCs w:val="20"/>
        </w:rPr>
        <w:t xml:space="preserve">reference to the discussion under the heading </w:t>
      </w:r>
      <w:r>
        <w:rPr>
          <w:rFonts w:eastAsia="Times New Roman"/>
          <w:i/>
          <w:iCs/>
          <w:color w:val="000000"/>
          <w:sz w:val="20"/>
          <w:szCs w:val="20"/>
        </w:rPr>
        <w:t xml:space="preserve">Director Nomination Process </w:t>
      </w:r>
      <w:r>
        <w:rPr>
          <w:rFonts w:eastAsia="Times New Roman"/>
          <w:color w:val="000000"/>
          <w:sz w:val="20"/>
          <w:szCs w:val="20"/>
        </w:rPr>
        <w:t>in our 2022 Proxy Statement concerning procedures by which shareholders may recommend nominees to our Board of Directors, submit nominees for inclusion in our proxy materials pursuan</w:t>
      </w:r>
      <w:r>
        <w:rPr>
          <w:rFonts w:eastAsia="Times New Roman"/>
          <w:color w:val="000000"/>
          <w:sz w:val="20"/>
          <w:szCs w:val="20"/>
        </w:rPr>
        <w:t>t to our “proxy access” provision of our By-Laws or directly propose nominees for consideration pursuant to our By-Laws but not pursuant to the proxy access provision. No material changes to those procedures have occurred since the disclosure regarding tho</w:t>
      </w:r>
      <w:r>
        <w:rPr>
          <w:rFonts w:eastAsia="Times New Roman"/>
          <w:color w:val="000000"/>
          <w:sz w:val="20"/>
          <w:szCs w:val="20"/>
        </w:rPr>
        <w:t>se procedures in our Proxy Statement for our 2021 Annual Meeting of Shareholders.</w:t>
      </w:r>
    </w:p>
    <w:p w:rsidR="00000000" w:rsidRDefault="00AE54EE">
      <w:pPr>
        <w:ind w:firstLine="450"/>
        <w:divId w:val="750853861"/>
        <w:rPr>
          <w:rFonts w:eastAsia="Times New Roman"/>
        </w:rPr>
      </w:pPr>
      <w:r>
        <w:rPr>
          <w:rFonts w:eastAsia="Times New Roman"/>
          <w:color w:val="000000"/>
          <w:sz w:val="20"/>
          <w:szCs w:val="20"/>
        </w:rPr>
        <w:t xml:space="preserve">Additional information concerning requirements and procedures for shareholders directly nominating directors is contained under the heading </w:t>
      </w:r>
      <w:r>
        <w:rPr>
          <w:rFonts w:eastAsia="Times New Roman"/>
          <w:i/>
          <w:iCs/>
          <w:color w:val="000000"/>
          <w:sz w:val="20"/>
          <w:szCs w:val="20"/>
        </w:rPr>
        <w:t>Shareholder Nominations and Propos</w:t>
      </w:r>
      <w:r>
        <w:rPr>
          <w:rFonts w:eastAsia="Times New Roman"/>
          <w:i/>
          <w:iCs/>
          <w:color w:val="000000"/>
          <w:sz w:val="20"/>
          <w:szCs w:val="20"/>
        </w:rPr>
        <w:t xml:space="preserve">als </w:t>
      </w:r>
      <w:r>
        <w:rPr>
          <w:rFonts w:eastAsia="Times New Roman"/>
          <w:color w:val="000000"/>
          <w:sz w:val="20"/>
          <w:szCs w:val="20"/>
        </w:rPr>
        <w:t>in our 2022 Proxy Statement.</w:t>
      </w:r>
    </w:p>
    <w:p w:rsidR="00000000" w:rsidRDefault="00AE54EE">
      <w:pPr>
        <w:ind w:firstLine="450"/>
        <w:divId w:val="1255169188"/>
        <w:rPr>
          <w:rFonts w:eastAsia="Times New Roman"/>
        </w:rPr>
      </w:pPr>
      <w:r>
        <w:rPr>
          <w:rFonts w:eastAsia="Times New Roman"/>
          <w:color w:val="000000"/>
          <w:sz w:val="18"/>
          <w:szCs w:val="18"/>
        </w:rPr>
        <w:t> </w:t>
      </w:r>
    </w:p>
    <w:p w:rsidR="00000000" w:rsidRDefault="00AE54EE">
      <w:pPr>
        <w:ind w:firstLine="450"/>
        <w:jc w:val="center"/>
        <w:divId w:val="440421998"/>
        <w:rPr>
          <w:rFonts w:eastAsia="Times New Roman"/>
        </w:rPr>
      </w:pPr>
      <w:r>
        <w:rPr>
          <w:rFonts w:eastAsia="Times New Roman"/>
          <w:color w:val="000000"/>
          <w:sz w:val="20"/>
          <w:szCs w:val="20"/>
        </w:rPr>
        <w:t>126</w:t>
      </w:r>
    </w:p>
    <w:p w:rsidR="00000000" w:rsidRDefault="00AE54EE">
      <w:pPr>
        <w:rPr>
          <w:rFonts w:eastAsia="Times New Roman"/>
        </w:rPr>
      </w:pPr>
      <w:r>
        <w:rPr>
          <w:rFonts w:eastAsia="Times New Roman"/>
        </w:rPr>
        <w:pict>
          <v:rect id="_x0000_i1154" style="width:0;height:1.5pt" o:hralign="center" o:hrstd="t" o:hr="t" fillcolor="#a0a0a0" stroked="f"/>
        </w:pict>
      </w:r>
    </w:p>
    <w:p w:rsidR="00000000" w:rsidRDefault="00AE54EE">
      <w:pPr>
        <w:ind w:firstLine="450"/>
        <w:divId w:val="42218577"/>
        <w:rPr>
          <w:rFonts w:eastAsia="Times New Roman"/>
        </w:rPr>
      </w:pPr>
    </w:p>
    <w:p w:rsidR="00000000" w:rsidRDefault="00AE54EE">
      <w:pPr>
        <w:ind w:firstLine="450"/>
        <w:divId w:val="761537221"/>
        <w:rPr>
          <w:rFonts w:eastAsia="Times New Roman"/>
        </w:rPr>
      </w:pPr>
    </w:p>
    <w:tbl>
      <w:tblPr>
        <w:tblW w:w="2097"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2362"/>
        <w:gridCol w:w="36"/>
      </w:tblGrid>
      <w:tr w:rsidR="00000000">
        <w:trPr>
          <w:divId w:val="1932927966"/>
        </w:trPr>
        <w:tc>
          <w:tcPr>
            <w:tcW w:w="50" w:type="pct"/>
            <w:vAlign w:val="center"/>
            <w:hideMark/>
          </w:tcPr>
          <w:p w:rsidR="00000000" w:rsidRDefault="00AE54EE">
            <w:pPr>
              <w:ind w:firstLine="450"/>
              <w:rPr>
                <w:rFonts w:eastAsia="Times New Roman"/>
              </w:rPr>
            </w:pPr>
          </w:p>
        </w:tc>
        <w:tc>
          <w:tcPr>
            <w:tcW w:w="145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43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932927966"/>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11.</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EXECUTIVE COMPENSATION.</w:t>
            </w:r>
          </w:p>
        </w:tc>
      </w:tr>
    </w:tbl>
    <w:p w:rsidR="00000000" w:rsidRDefault="00AE54EE">
      <w:pPr>
        <w:ind w:firstLine="450"/>
        <w:divId w:val="4603064"/>
        <w:rPr>
          <w:rFonts w:eastAsia="Times New Roman"/>
        </w:rPr>
      </w:pPr>
      <w:r>
        <w:rPr>
          <w:rFonts w:eastAsia="Times New Roman"/>
          <w:color w:val="000000"/>
          <w:sz w:val="20"/>
          <w:szCs w:val="20"/>
        </w:rPr>
        <w:t xml:space="preserve">The information required by this Item with respect to compensation of our directors and executive officers is incorporated herein by reference to the discussions under the headings </w:t>
      </w:r>
      <w:r>
        <w:rPr>
          <w:rFonts w:eastAsia="Times New Roman"/>
          <w:i/>
          <w:iCs/>
          <w:color w:val="000000"/>
          <w:sz w:val="20"/>
          <w:szCs w:val="20"/>
        </w:rPr>
        <w:t>Director Compensation and Benefits</w:t>
      </w:r>
      <w:r>
        <w:rPr>
          <w:rFonts w:eastAsia="Times New Roman"/>
          <w:color w:val="000000"/>
          <w:sz w:val="20"/>
          <w:szCs w:val="20"/>
        </w:rPr>
        <w:t xml:space="preserve">, </w:t>
      </w:r>
      <w:r>
        <w:rPr>
          <w:rFonts w:eastAsia="Times New Roman"/>
          <w:i/>
          <w:iCs/>
          <w:color w:val="000000"/>
          <w:sz w:val="20"/>
          <w:szCs w:val="20"/>
        </w:rPr>
        <w:t>Compensation Discussion and Analysis, C</w:t>
      </w:r>
      <w:r>
        <w:rPr>
          <w:rFonts w:eastAsia="Times New Roman"/>
          <w:i/>
          <w:iCs/>
          <w:color w:val="000000"/>
          <w:sz w:val="20"/>
          <w:szCs w:val="20"/>
        </w:rPr>
        <w:t xml:space="preserve">ompensation Committee Report, Compensation Tables </w:t>
      </w:r>
      <w:r>
        <w:rPr>
          <w:rFonts w:eastAsia="Times New Roman"/>
          <w:color w:val="000000"/>
          <w:sz w:val="20"/>
          <w:szCs w:val="20"/>
        </w:rPr>
        <w:t>and</w:t>
      </w:r>
      <w:r>
        <w:rPr>
          <w:rFonts w:eastAsia="Times New Roman"/>
          <w:i/>
          <w:iCs/>
          <w:color w:val="000000"/>
          <w:sz w:val="20"/>
          <w:szCs w:val="20"/>
        </w:rPr>
        <w:t xml:space="preserve"> CEO Pay Ratio</w:t>
      </w:r>
      <w:r>
        <w:rPr>
          <w:rFonts w:eastAsia="Times New Roman"/>
          <w:color w:val="000000"/>
          <w:sz w:val="20"/>
          <w:szCs w:val="20"/>
        </w:rPr>
        <w:t xml:space="preserve"> in our 2022 Proxy Statement.</w:t>
      </w:r>
    </w:p>
    <w:tbl>
      <w:tblPr>
        <w:tblW w:w="4906" w:type="pct"/>
        <w:tblCellMar>
          <w:top w:w="15" w:type="dxa"/>
          <w:left w:w="15" w:type="dxa"/>
          <w:bottom w:w="15" w:type="dxa"/>
          <w:right w:w="15" w:type="dxa"/>
        </w:tblCellMar>
        <w:tblLook w:val="04A0" w:firstRow="1" w:lastRow="0" w:firstColumn="1" w:lastColumn="0" w:noHBand="0" w:noVBand="1"/>
      </w:tblPr>
      <w:tblGrid>
        <w:gridCol w:w="72"/>
        <w:gridCol w:w="941"/>
        <w:gridCol w:w="36"/>
        <w:gridCol w:w="68"/>
        <w:gridCol w:w="6997"/>
        <w:gridCol w:w="36"/>
      </w:tblGrid>
      <w:tr w:rsidR="00000000">
        <w:trPr>
          <w:divId w:val="1066226132"/>
        </w:trPr>
        <w:tc>
          <w:tcPr>
            <w:tcW w:w="50" w:type="pct"/>
            <w:vAlign w:val="center"/>
            <w:hideMark/>
          </w:tcPr>
          <w:p w:rsidR="00000000" w:rsidRDefault="00AE54EE">
            <w:pPr>
              <w:ind w:firstLine="450"/>
              <w:rPr>
                <w:rFonts w:eastAsia="Times New Roman"/>
              </w:rPr>
            </w:pPr>
          </w:p>
        </w:tc>
        <w:tc>
          <w:tcPr>
            <w:tcW w:w="58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0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066226132"/>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12.</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SECURITY OWNERSHIP OF CERTAIN BENEFICIAL OWNERS AND MANAGEMENT AND RELATED STOCKHOLDER MATTERS.</w:t>
            </w:r>
          </w:p>
        </w:tc>
      </w:tr>
    </w:tbl>
    <w:p w:rsidR="00000000" w:rsidRDefault="00AE54EE">
      <w:pPr>
        <w:ind w:firstLine="450"/>
        <w:divId w:val="1444152195"/>
        <w:rPr>
          <w:rFonts w:eastAsia="Times New Roman"/>
        </w:rPr>
      </w:pPr>
      <w:r>
        <w:rPr>
          <w:rFonts w:eastAsia="Times New Roman"/>
          <w:color w:val="000000"/>
          <w:sz w:val="20"/>
          <w:szCs w:val="20"/>
        </w:rPr>
        <w:t>The following table provides information as of December </w:t>
      </w:r>
      <w:r>
        <w:rPr>
          <w:rFonts w:eastAsia="Times New Roman"/>
          <w:color w:val="000000"/>
          <w:sz w:val="20"/>
          <w:szCs w:val="20"/>
        </w:rPr>
        <w:t xml:space="preserve">31, 2021 about our common stock that may be issued, whether upon the exercise of options, warrants and rights or otherwise, under our existing equity compensation plans. </w:t>
      </w:r>
    </w:p>
    <w:tbl>
      <w:tblPr>
        <w:tblW w:w="5000" w:type="pct"/>
        <w:tblCellMar>
          <w:top w:w="15" w:type="dxa"/>
          <w:left w:w="15" w:type="dxa"/>
          <w:bottom w:w="15" w:type="dxa"/>
          <w:right w:w="15" w:type="dxa"/>
        </w:tblCellMar>
        <w:tblLook w:val="04A0" w:firstRow="1" w:lastRow="0" w:firstColumn="1" w:lastColumn="0" w:noHBand="0" w:noVBand="1"/>
      </w:tblPr>
      <w:tblGrid>
        <w:gridCol w:w="69"/>
        <w:gridCol w:w="3617"/>
        <w:gridCol w:w="36"/>
        <w:gridCol w:w="69"/>
        <w:gridCol w:w="1327"/>
        <w:gridCol w:w="36"/>
        <w:gridCol w:w="69"/>
        <w:gridCol w:w="1268"/>
        <w:gridCol w:w="36"/>
        <w:gridCol w:w="70"/>
        <w:gridCol w:w="1673"/>
        <w:gridCol w:w="36"/>
      </w:tblGrid>
      <w:tr w:rsidR="00000000">
        <w:trPr>
          <w:divId w:val="1992978766"/>
        </w:trPr>
        <w:tc>
          <w:tcPr>
            <w:tcW w:w="50" w:type="pct"/>
            <w:vAlign w:val="center"/>
            <w:hideMark/>
          </w:tcPr>
          <w:p w:rsidR="00000000" w:rsidRDefault="00AE54EE">
            <w:pPr>
              <w:ind w:firstLine="450"/>
              <w:rPr>
                <w:rFonts w:eastAsia="Times New Roman"/>
              </w:rPr>
            </w:pPr>
          </w:p>
        </w:tc>
        <w:tc>
          <w:tcPr>
            <w:tcW w:w="218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80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7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01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992978766"/>
        </w:trPr>
        <w:tc>
          <w:tcPr>
            <w:tcW w:w="0" w:type="auto"/>
            <w:gridSpan w:val="3"/>
            <w:tcMar>
              <w:top w:w="30" w:type="dxa"/>
              <w:left w:w="20" w:type="dxa"/>
              <w:bottom w:w="30" w:type="dxa"/>
              <w:right w:w="20" w:type="dxa"/>
            </w:tcMar>
            <w:vAlign w:val="bottom"/>
            <w:hideMark/>
          </w:tcPr>
          <w:p w:rsidR="00000000" w:rsidRDefault="00AE54EE">
            <w:pPr>
              <w:spacing w:after="100"/>
              <w:divId w:val="871259917"/>
              <w:rPr>
                <w:rFonts w:eastAsia="Times New Roman"/>
              </w:rPr>
            </w:pPr>
            <w:r>
              <w:rPr>
                <w:rFonts w:eastAsia="Times New Roman"/>
                <w:b/>
                <w:bCs/>
                <w:color w:val="000000"/>
                <w:sz w:val="14"/>
                <w:szCs w:val="14"/>
              </w:rPr>
              <w:t>Plan Category</w:t>
            </w:r>
          </w:p>
          <w:p w:rsidR="00000000" w:rsidRDefault="00AE54EE">
            <w:pPr>
              <w:spacing w:after="100"/>
              <w:jc w:val="center"/>
              <w:divId w:val="624888590"/>
              <w:rPr>
                <w:rFonts w:eastAsia="Times New Roman"/>
              </w:rPr>
            </w:pPr>
            <w:r>
              <w:rPr>
                <w:rFonts w:eastAsia="Times New Roman"/>
                <w:color w:val="000000"/>
                <w:sz w:val="8"/>
                <w:szCs w:val="8"/>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4"/>
                <w:szCs w:val="14"/>
              </w:rPr>
              <w:t>Number of securities to be</w:t>
            </w:r>
          </w:p>
          <w:p w:rsidR="00000000" w:rsidRDefault="00AE54EE">
            <w:pPr>
              <w:spacing w:after="100"/>
              <w:jc w:val="center"/>
              <w:rPr>
                <w:rFonts w:eastAsia="Times New Roman"/>
              </w:rPr>
            </w:pPr>
            <w:r>
              <w:rPr>
                <w:rFonts w:eastAsia="Times New Roman"/>
                <w:b/>
                <w:bCs/>
                <w:color w:val="000000"/>
                <w:sz w:val="14"/>
                <w:szCs w:val="14"/>
              </w:rPr>
              <w:t>issued upon exercise of</w:t>
            </w:r>
          </w:p>
          <w:p w:rsidR="00000000" w:rsidRDefault="00AE54EE">
            <w:pPr>
              <w:spacing w:after="100"/>
              <w:jc w:val="center"/>
              <w:rPr>
                <w:rFonts w:eastAsia="Times New Roman"/>
              </w:rPr>
            </w:pPr>
            <w:r>
              <w:rPr>
                <w:rFonts w:eastAsia="Times New Roman"/>
                <w:b/>
                <w:bCs/>
                <w:color w:val="000000"/>
                <w:sz w:val="14"/>
                <w:szCs w:val="14"/>
              </w:rPr>
              <w:t>outstanding options,</w:t>
            </w:r>
          </w:p>
          <w:p w:rsidR="00000000" w:rsidRDefault="00AE54EE">
            <w:pPr>
              <w:spacing w:after="100"/>
              <w:jc w:val="center"/>
              <w:rPr>
                <w:rFonts w:eastAsia="Times New Roman"/>
              </w:rPr>
            </w:pPr>
            <w:r>
              <w:rPr>
                <w:rFonts w:eastAsia="Times New Roman"/>
                <w:b/>
                <w:bCs/>
                <w:color w:val="000000"/>
                <w:sz w:val="14"/>
                <w:szCs w:val="14"/>
              </w:rPr>
              <w:t>warrants and rights</w:t>
            </w:r>
          </w:p>
          <w:p w:rsidR="00000000" w:rsidRDefault="00AE54EE">
            <w:pPr>
              <w:spacing w:after="100"/>
              <w:jc w:val="center"/>
              <w:rPr>
                <w:rFonts w:eastAsia="Times New Roman"/>
              </w:rPr>
            </w:pPr>
            <w:r>
              <w:rPr>
                <w:rFonts w:eastAsia="Times New Roman"/>
                <w:b/>
                <w:bCs/>
                <w:color w:val="000000"/>
                <w:sz w:val="14"/>
                <w:szCs w:val="14"/>
              </w:rPr>
              <w:t>(a)(2)</w:t>
            </w:r>
          </w:p>
          <w:p w:rsidR="00000000" w:rsidRDefault="00AE54EE">
            <w:pPr>
              <w:spacing w:after="100"/>
              <w:jc w:val="center"/>
              <w:divId w:val="800807698"/>
              <w:rPr>
                <w:rFonts w:eastAsia="Times New Roman"/>
              </w:rPr>
            </w:pPr>
            <w:r>
              <w:rPr>
                <w:rFonts w:eastAsia="Times New Roman"/>
                <w:color w:val="000000"/>
                <w:sz w:val="8"/>
                <w:szCs w:val="8"/>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4"/>
                <w:szCs w:val="14"/>
              </w:rPr>
              <w:t>Weighted-average</w:t>
            </w:r>
          </w:p>
          <w:p w:rsidR="00000000" w:rsidRDefault="00AE54EE">
            <w:pPr>
              <w:spacing w:after="100"/>
              <w:jc w:val="center"/>
              <w:rPr>
                <w:rFonts w:eastAsia="Times New Roman"/>
              </w:rPr>
            </w:pPr>
            <w:r>
              <w:rPr>
                <w:rFonts w:eastAsia="Times New Roman"/>
                <w:b/>
                <w:bCs/>
                <w:color w:val="000000"/>
                <w:sz w:val="14"/>
                <w:szCs w:val="14"/>
              </w:rPr>
              <w:t>exercise price of</w:t>
            </w:r>
          </w:p>
          <w:p w:rsidR="00000000" w:rsidRDefault="00AE54EE">
            <w:pPr>
              <w:spacing w:after="100"/>
              <w:jc w:val="center"/>
              <w:rPr>
                <w:rFonts w:eastAsia="Times New Roman"/>
              </w:rPr>
            </w:pPr>
            <w:r>
              <w:rPr>
                <w:rFonts w:eastAsia="Times New Roman"/>
                <w:b/>
                <w:bCs/>
                <w:color w:val="000000"/>
                <w:sz w:val="14"/>
                <w:szCs w:val="14"/>
              </w:rPr>
              <w:t>outstanding options,</w:t>
            </w:r>
          </w:p>
          <w:p w:rsidR="00000000" w:rsidRDefault="00AE54EE">
            <w:pPr>
              <w:spacing w:after="100"/>
              <w:jc w:val="center"/>
              <w:rPr>
                <w:rFonts w:eastAsia="Times New Roman"/>
              </w:rPr>
            </w:pPr>
            <w:r>
              <w:rPr>
                <w:rFonts w:eastAsia="Times New Roman"/>
                <w:b/>
                <w:bCs/>
                <w:color w:val="000000"/>
                <w:sz w:val="14"/>
                <w:szCs w:val="14"/>
              </w:rPr>
              <w:t>warrants and rights</w:t>
            </w:r>
          </w:p>
          <w:p w:rsidR="00000000" w:rsidRDefault="00AE54EE">
            <w:pPr>
              <w:spacing w:after="100"/>
              <w:jc w:val="center"/>
              <w:rPr>
                <w:rFonts w:eastAsia="Times New Roman"/>
              </w:rPr>
            </w:pPr>
            <w:r>
              <w:rPr>
                <w:rFonts w:eastAsia="Times New Roman"/>
                <w:b/>
                <w:bCs/>
                <w:color w:val="000000"/>
                <w:sz w:val="14"/>
                <w:szCs w:val="14"/>
              </w:rPr>
              <w:t xml:space="preserve">(b)(2) </w:t>
            </w:r>
          </w:p>
          <w:p w:rsidR="00000000" w:rsidRDefault="00AE54EE">
            <w:pPr>
              <w:spacing w:after="100"/>
              <w:jc w:val="center"/>
              <w:divId w:val="1905524832"/>
              <w:rPr>
                <w:rFonts w:eastAsia="Times New Roman"/>
              </w:rPr>
            </w:pPr>
            <w:r>
              <w:rPr>
                <w:rFonts w:eastAsia="Times New Roman"/>
                <w:b/>
                <w:bCs/>
                <w:color w:val="000000"/>
                <w:sz w:val="14"/>
                <w:szCs w:val="14"/>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4"/>
                <w:szCs w:val="14"/>
              </w:rPr>
              <w:t>Number of securities</w:t>
            </w:r>
          </w:p>
          <w:p w:rsidR="00000000" w:rsidRDefault="00AE54EE">
            <w:pPr>
              <w:spacing w:after="100"/>
              <w:jc w:val="center"/>
              <w:rPr>
                <w:rFonts w:eastAsia="Times New Roman"/>
              </w:rPr>
            </w:pPr>
            <w:r>
              <w:rPr>
                <w:rFonts w:eastAsia="Times New Roman"/>
                <w:b/>
                <w:bCs/>
                <w:color w:val="000000"/>
                <w:sz w:val="14"/>
                <w:szCs w:val="14"/>
              </w:rPr>
              <w:t>remaining available for</w:t>
            </w:r>
          </w:p>
          <w:p w:rsidR="00000000" w:rsidRDefault="00AE54EE">
            <w:pPr>
              <w:spacing w:after="100"/>
              <w:jc w:val="center"/>
              <w:rPr>
                <w:rFonts w:eastAsia="Times New Roman"/>
              </w:rPr>
            </w:pPr>
            <w:r>
              <w:rPr>
                <w:rFonts w:eastAsia="Times New Roman"/>
                <w:b/>
                <w:bCs/>
                <w:color w:val="000000"/>
                <w:sz w:val="14"/>
                <w:szCs w:val="14"/>
              </w:rPr>
              <w:t>future issuance under</w:t>
            </w:r>
          </w:p>
          <w:p w:rsidR="00000000" w:rsidRDefault="00AE54EE">
            <w:pPr>
              <w:spacing w:after="100"/>
              <w:jc w:val="center"/>
              <w:rPr>
                <w:rFonts w:eastAsia="Times New Roman"/>
              </w:rPr>
            </w:pPr>
            <w:r>
              <w:rPr>
                <w:rFonts w:eastAsia="Times New Roman"/>
                <w:b/>
                <w:bCs/>
                <w:color w:val="000000"/>
                <w:sz w:val="14"/>
                <w:szCs w:val="14"/>
              </w:rPr>
              <w:t>equity compensation plans</w:t>
            </w:r>
          </w:p>
          <w:p w:rsidR="00000000" w:rsidRDefault="00AE54EE">
            <w:pPr>
              <w:spacing w:after="100"/>
              <w:jc w:val="center"/>
              <w:rPr>
                <w:rFonts w:eastAsia="Times New Roman"/>
              </w:rPr>
            </w:pPr>
            <w:r>
              <w:rPr>
                <w:rFonts w:eastAsia="Times New Roman"/>
                <w:b/>
                <w:bCs/>
                <w:color w:val="000000"/>
                <w:sz w:val="14"/>
                <w:szCs w:val="14"/>
              </w:rPr>
              <w:t>(excluding securities</w:t>
            </w:r>
          </w:p>
          <w:p w:rsidR="00000000" w:rsidRDefault="00AE54EE">
            <w:pPr>
              <w:spacing w:after="100"/>
              <w:jc w:val="center"/>
              <w:rPr>
                <w:rFonts w:eastAsia="Times New Roman"/>
              </w:rPr>
            </w:pPr>
            <w:r>
              <w:rPr>
                <w:rFonts w:eastAsia="Times New Roman"/>
                <w:b/>
                <w:bCs/>
                <w:color w:val="000000"/>
                <w:sz w:val="14"/>
                <w:szCs w:val="14"/>
              </w:rPr>
              <w:t>reflected in column (a))</w:t>
            </w:r>
          </w:p>
          <w:p w:rsidR="00000000" w:rsidRDefault="00AE54EE">
            <w:pPr>
              <w:spacing w:after="100"/>
              <w:jc w:val="center"/>
              <w:rPr>
                <w:rFonts w:eastAsia="Times New Roman"/>
              </w:rPr>
            </w:pPr>
            <w:r>
              <w:rPr>
                <w:rFonts w:eastAsia="Times New Roman"/>
                <w:b/>
                <w:bCs/>
                <w:color w:val="000000"/>
                <w:sz w:val="14"/>
                <w:szCs w:val="14"/>
              </w:rPr>
              <w:t xml:space="preserve">(c) </w:t>
            </w:r>
          </w:p>
          <w:p w:rsidR="00000000" w:rsidRDefault="00AE54EE">
            <w:pPr>
              <w:spacing w:after="100"/>
              <w:jc w:val="center"/>
              <w:divId w:val="1662350623"/>
              <w:rPr>
                <w:rFonts w:eastAsia="Times New Roman"/>
              </w:rPr>
            </w:pPr>
            <w:r>
              <w:rPr>
                <w:rFonts w:eastAsia="Times New Roman"/>
                <w:b/>
                <w:bCs/>
                <w:color w:val="000000"/>
                <w:sz w:val="14"/>
                <w:szCs w:val="14"/>
              </w:rPr>
              <w:t> </w:t>
            </w:r>
          </w:p>
        </w:tc>
      </w:tr>
      <w:tr w:rsidR="00000000">
        <w:trPr>
          <w:divId w:val="19929787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E54EE">
            <w:pPr>
              <w:spacing w:after="100"/>
              <w:divId w:val="1667399242"/>
              <w:rPr>
                <w:rFonts w:eastAsia="Times New Roman"/>
              </w:rPr>
            </w:pPr>
            <w:r>
              <w:rPr>
                <w:rFonts w:eastAsia="Times New Roman"/>
                <w:color w:val="000000"/>
                <w:sz w:val="20"/>
                <w:szCs w:val="20"/>
              </w:rPr>
              <w:t>Equity compensation plans approved by shareholder</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4,764,183 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$150.68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16,321,141 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r>
      <w:tr w:rsidR="00000000">
        <w:trPr>
          <w:divId w:val="1992978766"/>
        </w:trPr>
        <w:tc>
          <w:tcPr>
            <w:tcW w:w="0" w:type="auto"/>
            <w:gridSpan w:val="3"/>
            <w:shd w:val="clear" w:color="auto" w:fill="FFFFFF"/>
            <w:tcMar>
              <w:top w:w="30" w:type="dxa"/>
              <w:left w:w="20" w:type="dxa"/>
              <w:bottom w:w="30" w:type="dxa"/>
              <w:right w:w="20" w:type="dxa"/>
            </w:tcMar>
            <w:vAlign w:val="center"/>
            <w:hideMark/>
          </w:tcPr>
          <w:p w:rsidR="00000000" w:rsidRDefault="00AE54EE">
            <w:pPr>
              <w:spacing w:after="100"/>
              <w:ind w:hanging="360"/>
              <w:divId w:val="188953218"/>
              <w:rPr>
                <w:rFonts w:eastAsia="Times New Roman"/>
              </w:rPr>
            </w:pPr>
            <w:r>
              <w:rPr>
                <w:rFonts w:eastAsia="Times New Roman"/>
                <w:color w:val="000000"/>
                <w:sz w:val="20"/>
                <w:szCs w:val="20"/>
              </w:rPr>
              <w:t>Equity compensation plans not approved by shareholders</w:t>
            </w:r>
          </w:p>
        </w:tc>
        <w:tc>
          <w:tcPr>
            <w:tcW w:w="0" w:type="auto"/>
            <w:gridSpan w:val="2"/>
            <w:shd w:val="clear" w:color="auto" w:fill="FFFF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AE54EE">
            <w:pPr>
              <w:spacing w:after="100"/>
              <w:jc w:val="right"/>
              <w:rPr>
                <w:rFonts w:eastAsia="Times New Roman"/>
              </w:rPr>
            </w:pPr>
          </w:p>
        </w:tc>
      </w:tr>
      <w:tr w:rsidR="00000000">
        <w:trPr>
          <w:divId w:val="1992978766"/>
        </w:trPr>
        <w:tc>
          <w:tcPr>
            <w:tcW w:w="0" w:type="auto"/>
            <w:gridSpan w:val="3"/>
            <w:shd w:val="clear" w:color="auto" w:fill="CCEEFF"/>
            <w:tcMar>
              <w:top w:w="30" w:type="dxa"/>
              <w:left w:w="20" w:type="dxa"/>
              <w:bottom w:w="30" w:type="dxa"/>
              <w:right w:w="20" w:type="dxa"/>
            </w:tcMar>
            <w:vAlign w:val="center"/>
            <w:hideMark/>
          </w:tcPr>
          <w:p w:rsidR="00000000" w:rsidRDefault="00AE54EE">
            <w:pPr>
              <w:spacing w:after="100"/>
              <w:divId w:val="838958822"/>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4,764,183 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$150.68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E54EE">
            <w:pPr>
              <w:spacing w:after="100"/>
              <w:jc w:val="right"/>
              <w:rPr>
                <w:rFonts w:eastAsia="Times New Roman"/>
              </w:rPr>
            </w:pPr>
            <w:r>
              <w:rPr>
                <w:rFonts w:eastAsia="Times New Roman"/>
                <w:color w:val="000000"/>
                <w:sz w:val="20"/>
                <w:szCs w:val="20"/>
              </w:rPr>
              <w:t>16,321,141 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E54EE">
            <w:pPr>
              <w:spacing w:after="100"/>
              <w:jc w:val="right"/>
              <w:rPr>
                <w:rFonts w:eastAsia="Times New Roman"/>
              </w:rPr>
            </w:pPr>
          </w:p>
        </w:tc>
      </w:tr>
    </w:tbl>
    <w:p w:rsidR="00000000" w:rsidRDefault="00AE54EE">
      <w:pPr>
        <w:divId w:val="1907715255"/>
        <w:rPr>
          <w:rFonts w:eastAsia="Times New Roman"/>
        </w:rPr>
      </w:pPr>
      <w:r>
        <w:rPr>
          <w:rFonts w:eastAsia="Times New Roman"/>
          <w:color w:val="000000"/>
          <w:sz w:val="16"/>
          <w:szCs w:val="16"/>
        </w:rPr>
        <w:t>_______________</w:t>
      </w:r>
    </w:p>
    <w:p w:rsidR="00000000" w:rsidRDefault="00AE54EE">
      <w:pPr>
        <w:ind w:hanging="360"/>
        <w:divId w:val="1165706435"/>
        <w:rPr>
          <w:rFonts w:eastAsia="Times New Roman"/>
        </w:rPr>
      </w:pPr>
      <w:r>
        <w:rPr>
          <w:rFonts w:eastAsia="Times New Roman"/>
          <w:color w:val="000000"/>
          <w:sz w:val="16"/>
          <w:szCs w:val="16"/>
        </w:rPr>
        <w:t xml:space="preserve">(1) </w:t>
      </w:r>
      <w:r>
        <w:rPr>
          <w:rFonts w:eastAsia="Times New Roman"/>
          <w:color w:val="000000"/>
          <w:sz w:val="16"/>
          <w:szCs w:val="16"/>
        </w:rPr>
        <w:t>Consists of the Harris Corporation 2005 Equity Incentive Plan (As Amended and Restated Effective August 27, 2010) (the “2005 EIP”) and the L3Harris Technologies, Inc. 2015 Equity Incentive Plan (As Amended and Restated Effective August 28, 2020) (the “2015</w:t>
      </w:r>
      <w:r>
        <w:rPr>
          <w:rFonts w:eastAsia="Times New Roman"/>
          <w:color w:val="000000"/>
          <w:sz w:val="16"/>
          <w:szCs w:val="16"/>
        </w:rPr>
        <w:t xml:space="preserve"> EIP”), as well as employee stock incentive plans of L3 assumed by L3Harris (collectively with the 2005 EIP and the 2015 EIP, the “L3Harris SIPs”). No additional awards may be granted under the 2005 EIP.</w:t>
      </w:r>
    </w:p>
    <w:p w:rsidR="00000000" w:rsidRDefault="00AE54EE">
      <w:pPr>
        <w:ind w:hanging="360"/>
        <w:divId w:val="422411234"/>
        <w:rPr>
          <w:rFonts w:eastAsia="Times New Roman"/>
        </w:rPr>
      </w:pPr>
      <w:r>
        <w:rPr>
          <w:rFonts w:eastAsia="Times New Roman"/>
          <w:color w:val="000000"/>
          <w:sz w:val="16"/>
          <w:szCs w:val="16"/>
        </w:rPr>
        <w:t>(2) Under the L3Harris SIPs, in addition to options,</w:t>
      </w:r>
      <w:r>
        <w:rPr>
          <w:rFonts w:eastAsia="Times New Roman"/>
          <w:color w:val="000000"/>
          <w:sz w:val="16"/>
          <w:szCs w:val="16"/>
        </w:rPr>
        <w:t xml:space="preserve"> we have granted share-based compensation awards in the form of performance shares, shares of restricted stock, performance share units, restricted stock units, shares of immediately vested common stock and other similar types of share-based awards. As of </w:t>
      </w:r>
      <w:r>
        <w:rPr>
          <w:rFonts w:eastAsia="Times New Roman"/>
          <w:color w:val="000000"/>
          <w:sz w:val="16"/>
          <w:szCs w:val="16"/>
        </w:rPr>
        <w:t>December 31, 2021, there were awards outstanding under those plans with respect to 1,261,397 shares, consisting of (i) awards of 26,302 shares of restricted stock, for which all 26,302 shares were issued and outstanding; and (ii) awards of 1,235,095 perfor</w:t>
      </w:r>
      <w:r>
        <w:rPr>
          <w:rFonts w:eastAsia="Times New Roman"/>
          <w:color w:val="000000"/>
          <w:sz w:val="16"/>
          <w:szCs w:val="16"/>
        </w:rPr>
        <w:t>mance share units and restricted stock units, for which all 1,235,095 were payable in shares but for which no shares were yet issued and outstanding. The 4,764,183 shares to be issued upon exercise of outstanding options, warrants and rights as listed in c</w:t>
      </w:r>
      <w:r>
        <w:rPr>
          <w:rFonts w:eastAsia="Times New Roman"/>
          <w:color w:val="000000"/>
          <w:sz w:val="16"/>
          <w:szCs w:val="16"/>
        </w:rPr>
        <w:t>olumn (a) consisted of shares to be issued in respect of the exercise of 3,529,088 outstanding options and in respect of awards of 1,235,095 performance share units and restricted stock units payable in shares. Because there is no exercise price associated</w:t>
      </w:r>
      <w:r>
        <w:rPr>
          <w:rFonts w:eastAsia="Times New Roman"/>
          <w:color w:val="000000"/>
          <w:sz w:val="16"/>
          <w:szCs w:val="16"/>
        </w:rPr>
        <w:t xml:space="preserve"> with awards of shares of restricted stock, performance share units or restricted stock units, all of which are granted to employees at no cost, such awards are not included in the weighted-average exercise price calculation in column (b).</w:t>
      </w:r>
    </w:p>
    <w:p w:rsidR="00000000" w:rsidRDefault="00AE54EE">
      <w:pPr>
        <w:ind w:firstLine="450"/>
        <w:divId w:val="1060977822"/>
        <w:rPr>
          <w:rFonts w:eastAsia="Times New Roman"/>
        </w:rPr>
      </w:pPr>
      <w:r>
        <w:rPr>
          <w:rFonts w:eastAsia="Times New Roman"/>
          <w:color w:val="000000"/>
          <w:sz w:val="20"/>
          <w:szCs w:val="20"/>
        </w:rPr>
        <w:t xml:space="preserve">See </w:t>
      </w:r>
      <w:r>
        <w:rPr>
          <w:rFonts w:eastAsia="Times New Roman"/>
          <w:i/>
          <w:iCs/>
          <w:color w:val="000000"/>
          <w:sz w:val="20"/>
          <w:szCs w:val="20"/>
        </w:rPr>
        <w:t>Note 15: Sto</w:t>
      </w:r>
      <w:r>
        <w:rPr>
          <w:rFonts w:eastAsia="Times New Roman"/>
          <w:i/>
          <w:iCs/>
          <w:color w:val="000000"/>
          <w:sz w:val="20"/>
          <w:szCs w:val="20"/>
        </w:rPr>
        <w:t>ck Options and Other Share-Based Compensation</w:t>
      </w:r>
      <w:r>
        <w:rPr>
          <w:rFonts w:eastAsia="Times New Roman"/>
          <w:color w:val="000000"/>
          <w:sz w:val="20"/>
          <w:szCs w:val="20"/>
        </w:rPr>
        <w:t xml:space="preserve"> in the Notes for a general description of our share-based incentive plans. </w:t>
      </w:r>
    </w:p>
    <w:p w:rsidR="00000000" w:rsidRDefault="00AE54EE">
      <w:pPr>
        <w:ind w:firstLine="450"/>
        <w:divId w:val="129131596"/>
        <w:rPr>
          <w:rFonts w:eastAsia="Times New Roman"/>
        </w:rPr>
      </w:pPr>
      <w:r>
        <w:rPr>
          <w:rFonts w:eastAsia="Times New Roman"/>
          <w:color w:val="000000"/>
          <w:sz w:val="20"/>
          <w:szCs w:val="20"/>
        </w:rPr>
        <w:t>The other information required by this Item with respect to security ownership of certain of our beneficial owners and management is i</w:t>
      </w:r>
      <w:r>
        <w:rPr>
          <w:rFonts w:eastAsia="Times New Roman"/>
          <w:color w:val="000000"/>
          <w:sz w:val="20"/>
          <w:szCs w:val="20"/>
        </w:rPr>
        <w:t xml:space="preserve">ncorporated herein by reference to the discussions under the headings </w:t>
      </w:r>
      <w:r>
        <w:rPr>
          <w:rFonts w:eastAsia="Times New Roman"/>
          <w:i/>
          <w:iCs/>
          <w:color w:val="000000"/>
          <w:sz w:val="20"/>
          <w:szCs w:val="20"/>
        </w:rPr>
        <w:t>Principal Shareholders</w:t>
      </w:r>
      <w:r>
        <w:rPr>
          <w:rFonts w:eastAsia="Times New Roman"/>
          <w:color w:val="000000"/>
          <w:sz w:val="20"/>
          <w:szCs w:val="20"/>
        </w:rPr>
        <w:t xml:space="preserve"> and </w:t>
      </w:r>
      <w:r>
        <w:rPr>
          <w:rFonts w:eastAsia="Times New Roman"/>
          <w:i/>
          <w:iCs/>
          <w:color w:val="000000"/>
          <w:sz w:val="20"/>
          <w:szCs w:val="20"/>
        </w:rPr>
        <w:t>Shares Owned By Directors, Nominees and Executive Officers</w:t>
      </w:r>
      <w:r>
        <w:rPr>
          <w:rFonts w:eastAsia="Times New Roman"/>
          <w:color w:val="000000"/>
          <w:sz w:val="20"/>
          <w:szCs w:val="20"/>
        </w:rPr>
        <w:t xml:space="preserve"> in our 2022 Proxy Statement. </w:t>
      </w:r>
    </w:p>
    <w:tbl>
      <w:tblPr>
        <w:tblW w:w="4849" w:type="pct"/>
        <w:tblCellMar>
          <w:top w:w="15" w:type="dxa"/>
          <w:left w:w="15" w:type="dxa"/>
          <w:bottom w:w="15" w:type="dxa"/>
          <w:right w:w="15" w:type="dxa"/>
        </w:tblCellMar>
        <w:tblLook w:val="04A0" w:firstRow="1" w:lastRow="0" w:firstColumn="1" w:lastColumn="0" w:noHBand="0" w:noVBand="1"/>
      </w:tblPr>
      <w:tblGrid>
        <w:gridCol w:w="71"/>
        <w:gridCol w:w="941"/>
        <w:gridCol w:w="36"/>
        <w:gridCol w:w="67"/>
        <w:gridCol w:w="6904"/>
        <w:gridCol w:w="36"/>
      </w:tblGrid>
      <w:tr w:rsidR="00000000">
        <w:trPr>
          <w:divId w:val="959647331"/>
        </w:trPr>
        <w:tc>
          <w:tcPr>
            <w:tcW w:w="50" w:type="pct"/>
            <w:vAlign w:val="center"/>
            <w:hideMark/>
          </w:tcPr>
          <w:p w:rsidR="00000000" w:rsidRDefault="00AE54EE">
            <w:pPr>
              <w:ind w:firstLine="450"/>
              <w:rPr>
                <w:rFonts w:eastAsia="Times New Roman"/>
              </w:rPr>
            </w:pPr>
          </w:p>
        </w:tc>
        <w:tc>
          <w:tcPr>
            <w:tcW w:w="59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29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959647331"/>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13.</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CERTAIN RELATIONSHIPS AND RELATED TRANSACTIONS, AND DIRECTOR INDEPENDENCE.</w:t>
            </w:r>
          </w:p>
        </w:tc>
      </w:tr>
    </w:tbl>
    <w:p w:rsidR="00000000" w:rsidRDefault="00AE54EE">
      <w:pPr>
        <w:ind w:firstLine="450"/>
        <w:divId w:val="135417619"/>
        <w:rPr>
          <w:rFonts w:eastAsia="Times New Roman"/>
        </w:rPr>
      </w:pPr>
      <w:r>
        <w:rPr>
          <w:rFonts w:eastAsia="Times New Roman"/>
          <w:color w:val="000000"/>
          <w:sz w:val="20"/>
          <w:szCs w:val="20"/>
        </w:rPr>
        <w:t xml:space="preserve">The information required by this Item is incorporated herein by reference to the discussions under the headings </w:t>
      </w:r>
      <w:r>
        <w:rPr>
          <w:rFonts w:eastAsia="Times New Roman"/>
          <w:i/>
          <w:iCs/>
          <w:color w:val="000000"/>
          <w:sz w:val="20"/>
          <w:szCs w:val="20"/>
        </w:rPr>
        <w:t>Director Independence Standards</w:t>
      </w:r>
      <w:r>
        <w:rPr>
          <w:rFonts w:eastAsia="Times New Roman"/>
          <w:color w:val="000000"/>
          <w:sz w:val="20"/>
          <w:szCs w:val="20"/>
        </w:rPr>
        <w:t xml:space="preserve"> and </w:t>
      </w:r>
      <w:r>
        <w:rPr>
          <w:rFonts w:eastAsia="Times New Roman"/>
          <w:i/>
          <w:iCs/>
          <w:color w:val="000000"/>
          <w:sz w:val="20"/>
          <w:szCs w:val="20"/>
        </w:rPr>
        <w:t>Related Person Transaction Policy</w:t>
      </w:r>
      <w:r>
        <w:rPr>
          <w:rFonts w:eastAsia="Times New Roman"/>
          <w:color w:val="000000"/>
          <w:sz w:val="20"/>
          <w:szCs w:val="20"/>
        </w:rPr>
        <w:t xml:space="preserve"> in our 2022 Proxy Statement.</w:t>
      </w:r>
    </w:p>
    <w:tbl>
      <w:tblPr>
        <w:tblW w:w="3297" w:type="pct"/>
        <w:tblCellMar>
          <w:top w:w="15" w:type="dxa"/>
          <w:left w:w="15" w:type="dxa"/>
          <w:bottom w:w="15" w:type="dxa"/>
          <w:right w:w="15" w:type="dxa"/>
        </w:tblCellMar>
        <w:tblLook w:val="04A0" w:firstRow="1" w:lastRow="0" w:firstColumn="1" w:lastColumn="0" w:noHBand="0" w:noVBand="1"/>
      </w:tblPr>
      <w:tblGrid>
        <w:gridCol w:w="49"/>
        <w:gridCol w:w="964"/>
        <w:gridCol w:w="36"/>
        <w:gridCol w:w="40"/>
        <w:gridCol w:w="4352"/>
        <w:gridCol w:w="36"/>
      </w:tblGrid>
      <w:tr w:rsidR="00000000">
        <w:trPr>
          <w:divId w:val="1112699601"/>
        </w:trPr>
        <w:tc>
          <w:tcPr>
            <w:tcW w:w="50" w:type="pct"/>
            <w:vAlign w:val="center"/>
            <w:hideMark/>
          </w:tcPr>
          <w:p w:rsidR="00000000" w:rsidRDefault="00AE54EE">
            <w:pPr>
              <w:ind w:firstLine="450"/>
              <w:rPr>
                <w:rFonts w:eastAsia="Times New Roman"/>
              </w:rPr>
            </w:pPr>
          </w:p>
        </w:tc>
        <w:tc>
          <w:tcPr>
            <w:tcW w:w="90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398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112699601"/>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14.</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PRINCIPAL ACCOUNTING FEES AND SERVICES.</w:t>
            </w:r>
          </w:p>
        </w:tc>
      </w:tr>
    </w:tbl>
    <w:p w:rsidR="00000000" w:rsidRDefault="00AE54EE">
      <w:pPr>
        <w:ind w:firstLine="450"/>
        <w:divId w:val="1457529870"/>
        <w:rPr>
          <w:rFonts w:eastAsia="Times New Roman"/>
        </w:rPr>
      </w:pPr>
      <w:r>
        <w:rPr>
          <w:rFonts w:eastAsia="Times New Roman"/>
          <w:color w:val="000000"/>
          <w:sz w:val="20"/>
          <w:szCs w:val="20"/>
        </w:rPr>
        <w:t xml:space="preserve">The information required by this Item is incorporated herein by reference to the discussion under the heading </w:t>
      </w:r>
      <w:r>
        <w:rPr>
          <w:rFonts w:eastAsia="Times New Roman"/>
          <w:i/>
          <w:iCs/>
          <w:color w:val="000000"/>
          <w:sz w:val="20"/>
          <w:szCs w:val="20"/>
        </w:rPr>
        <w:t>Proposal 4: Ratification of Appointment of Independent Registered Public Accounting Firm</w:t>
      </w:r>
      <w:r>
        <w:rPr>
          <w:rFonts w:eastAsia="Times New Roman"/>
          <w:color w:val="000000"/>
          <w:sz w:val="20"/>
          <w:szCs w:val="20"/>
        </w:rPr>
        <w:t xml:space="preserve"> in our 2022 Proxy Statement. </w:t>
      </w:r>
    </w:p>
    <w:p w:rsidR="00000000" w:rsidRDefault="00AE54EE">
      <w:pPr>
        <w:ind w:firstLine="450"/>
        <w:jc w:val="center"/>
        <w:divId w:val="982583524"/>
        <w:rPr>
          <w:rFonts w:eastAsia="Times New Roman"/>
        </w:rPr>
      </w:pPr>
      <w:r>
        <w:rPr>
          <w:rFonts w:eastAsia="Times New Roman"/>
          <w:color w:val="000000"/>
          <w:sz w:val="20"/>
          <w:szCs w:val="20"/>
        </w:rPr>
        <w:t>127</w:t>
      </w:r>
    </w:p>
    <w:p w:rsidR="00000000" w:rsidRDefault="00AE54EE">
      <w:pPr>
        <w:rPr>
          <w:rFonts w:eastAsia="Times New Roman"/>
        </w:rPr>
      </w:pPr>
      <w:r>
        <w:rPr>
          <w:rFonts w:eastAsia="Times New Roman"/>
        </w:rPr>
        <w:pict>
          <v:rect id="_x0000_i1155" style="width:0;height:1.5pt" o:hralign="center" o:hrstd="t" o:hr="t" fillcolor="#a0a0a0" stroked="f"/>
        </w:pict>
      </w:r>
    </w:p>
    <w:p w:rsidR="00000000" w:rsidRDefault="00AE54EE">
      <w:pPr>
        <w:ind w:firstLine="450"/>
        <w:divId w:val="78450770"/>
        <w:rPr>
          <w:rFonts w:eastAsia="Times New Roman"/>
        </w:rPr>
      </w:pPr>
    </w:p>
    <w:p w:rsidR="00000000" w:rsidRDefault="00AE54EE">
      <w:pPr>
        <w:ind w:firstLine="450"/>
        <w:jc w:val="center"/>
        <w:divId w:val="717902351"/>
        <w:rPr>
          <w:rFonts w:eastAsia="Times New Roman"/>
        </w:rPr>
      </w:pPr>
      <w:r>
        <w:rPr>
          <w:rFonts w:eastAsia="Times New Roman"/>
          <w:b/>
          <w:bCs/>
          <w:color w:val="000000"/>
        </w:rPr>
        <w:t>PART IV</w:t>
      </w:r>
      <w:r>
        <w:rPr>
          <w:rFonts w:eastAsia="Times New Roman"/>
          <w:color w:val="000000"/>
          <w:sz w:val="18"/>
          <w:szCs w:val="18"/>
        </w:rPr>
        <w:t> </w:t>
      </w:r>
    </w:p>
    <w:tbl>
      <w:tblPr>
        <w:tblW w:w="4906" w:type="pct"/>
        <w:tblCellMar>
          <w:top w:w="15" w:type="dxa"/>
          <w:left w:w="15" w:type="dxa"/>
          <w:bottom w:w="15" w:type="dxa"/>
          <w:right w:w="15" w:type="dxa"/>
        </w:tblCellMar>
        <w:tblLook w:val="04A0" w:firstRow="1" w:lastRow="0" w:firstColumn="1" w:lastColumn="0" w:noHBand="0" w:noVBand="1"/>
      </w:tblPr>
      <w:tblGrid>
        <w:gridCol w:w="72"/>
        <w:gridCol w:w="941"/>
        <w:gridCol w:w="36"/>
        <w:gridCol w:w="68"/>
        <w:gridCol w:w="6997"/>
        <w:gridCol w:w="36"/>
      </w:tblGrid>
      <w:tr w:rsidR="00000000">
        <w:trPr>
          <w:divId w:val="1966042306"/>
        </w:trPr>
        <w:tc>
          <w:tcPr>
            <w:tcW w:w="50" w:type="pct"/>
            <w:vAlign w:val="center"/>
            <w:hideMark/>
          </w:tcPr>
          <w:p w:rsidR="00000000" w:rsidRDefault="00AE54EE">
            <w:pPr>
              <w:ind w:firstLine="450"/>
              <w:jc w:val="center"/>
              <w:rPr>
                <w:rFonts w:eastAsia="Times New Roman"/>
              </w:rPr>
            </w:pPr>
          </w:p>
        </w:tc>
        <w:tc>
          <w:tcPr>
            <w:tcW w:w="58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0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966042306"/>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 ITEM 15.</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EXHIBITS, FINANCIAL STATEMENT SCHEDULES.</w:t>
            </w:r>
          </w:p>
        </w:tc>
      </w:tr>
    </w:tbl>
    <w:p w:rsidR="00000000" w:rsidRDefault="00AE54EE">
      <w:pPr>
        <w:ind w:firstLine="450"/>
        <w:divId w:val="1838954914"/>
        <w:rPr>
          <w:rFonts w:eastAsia="Times New Roman"/>
        </w:rPr>
      </w:pPr>
      <w:r>
        <w:rPr>
          <w:rFonts w:eastAsia="Times New Roman"/>
          <w:b/>
          <w:bCs/>
          <w:color w:val="000000"/>
          <w:sz w:val="20"/>
          <w:szCs w:val="20"/>
        </w:rPr>
        <w:t>The following documents are filed as a part of this Report:</w:t>
      </w:r>
    </w:p>
    <w:tbl>
      <w:tblPr>
        <w:tblW w:w="4913" w:type="pct"/>
        <w:tblCellMar>
          <w:top w:w="15" w:type="dxa"/>
          <w:left w:w="15" w:type="dxa"/>
          <w:bottom w:w="15" w:type="dxa"/>
          <w:right w:w="15" w:type="dxa"/>
        </w:tblCellMar>
        <w:tblLook w:val="04A0" w:firstRow="1" w:lastRow="0" w:firstColumn="1" w:lastColumn="0" w:noHBand="0" w:noVBand="1"/>
      </w:tblPr>
      <w:tblGrid>
        <w:gridCol w:w="58"/>
        <w:gridCol w:w="7668"/>
        <w:gridCol w:w="37"/>
        <w:gridCol w:w="80"/>
        <w:gridCol w:w="282"/>
        <w:gridCol w:w="36"/>
      </w:tblGrid>
      <w:tr w:rsidR="00000000">
        <w:trPr>
          <w:divId w:val="1391153193"/>
        </w:trPr>
        <w:tc>
          <w:tcPr>
            <w:tcW w:w="50" w:type="pct"/>
            <w:vAlign w:val="center"/>
            <w:hideMark/>
          </w:tcPr>
          <w:p w:rsidR="00000000" w:rsidRDefault="00AE54EE">
            <w:pPr>
              <w:ind w:firstLine="450"/>
              <w:rPr>
                <w:rFonts w:eastAsia="Times New Roman"/>
              </w:rPr>
            </w:pPr>
          </w:p>
        </w:tc>
        <w:tc>
          <w:tcPr>
            <w:tcW w:w="4711"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78"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391153193"/>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rPr>
              <w:t>Page</w:t>
            </w:r>
          </w:p>
        </w:tc>
      </w:tr>
      <w:tr w:rsidR="00000000">
        <w:trPr>
          <w:divId w:val="1391153193"/>
        </w:trPr>
        <w:tc>
          <w:tcPr>
            <w:tcW w:w="0" w:type="auto"/>
            <w:gridSpan w:val="3"/>
            <w:tcMar>
              <w:top w:w="30" w:type="dxa"/>
              <w:left w:w="155"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(1)    </w:t>
            </w:r>
            <w:r>
              <w:rPr>
                <w:rFonts w:eastAsia="Times New Roman"/>
                <w:b/>
                <w:bCs/>
                <w:color w:val="000000"/>
                <w:sz w:val="20"/>
                <w:szCs w:val="20"/>
              </w:rPr>
              <w:t>List of Financial Statements Filed as Part of this Report: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E54EE">
            <w:pPr>
              <w:spacing w:after="100"/>
              <w:rPr>
                <w:rFonts w:eastAsia="Times New Roman"/>
              </w:rPr>
            </w:pPr>
          </w:p>
        </w:tc>
      </w:tr>
      <w:tr w:rsidR="00000000">
        <w:trPr>
          <w:divId w:val="1391153193"/>
        </w:trPr>
        <w:tc>
          <w:tcPr>
            <w:tcW w:w="0" w:type="auto"/>
            <w:gridSpan w:val="3"/>
            <w:tcMar>
              <w:top w:w="30" w:type="dxa"/>
              <w:left w:w="605" w:type="dxa"/>
              <w:bottom w:w="30" w:type="dxa"/>
              <w:right w:w="20" w:type="dxa"/>
            </w:tcMar>
            <w:hideMark/>
          </w:tcPr>
          <w:p w:rsidR="00000000" w:rsidRDefault="00AE54EE">
            <w:pPr>
              <w:spacing w:after="100"/>
              <w:rPr>
                <w:rFonts w:eastAsia="Times New Roman"/>
              </w:rPr>
            </w:pPr>
            <w:r>
              <w:rPr>
                <w:rFonts w:eastAsia="Times New Roman"/>
                <w:color w:val="000000"/>
                <w:sz w:val="20"/>
                <w:szCs w:val="20"/>
              </w:rPr>
              <w:t>The following financial statements and reports of L3Harris Technologies, Inc. and its consolidated subsidiaries are included in Item 8 of this Report at the page numbers referenced below:</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r>
      <w:tr w:rsidR="00000000">
        <w:trPr>
          <w:divId w:val="1391153193"/>
        </w:trPr>
        <w:tc>
          <w:tcPr>
            <w:tcW w:w="0" w:type="auto"/>
            <w:gridSpan w:val="3"/>
            <w:tcMar>
              <w:top w:w="30" w:type="dxa"/>
              <w:left w:w="20" w:type="dxa"/>
              <w:bottom w:w="30" w:type="dxa"/>
              <w:right w:w="20" w:type="dxa"/>
            </w:tcMar>
            <w:hideMark/>
          </w:tcPr>
          <w:p w:rsidR="00000000" w:rsidRDefault="00AE54EE">
            <w:pPr>
              <w:spacing w:after="100"/>
              <w:divId w:val="569194117"/>
              <w:rPr>
                <w:rFonts w:eastAsia="Times New Roman"/>
              </w:rPr>
            </w:pPr>
            <w:hyperlink w:anchor="i44c89fdeb27a46959d9ea3331e76be4e_73" w:history="1">
              <w:r>
                <w:rPr>
                  <w:rStyle w:val="a3"/>
                  <w:rFonts w:eastAsia="Times New Roman"/>
                  <w:color w:val="000000"/>
                  <w:sz w:val="20"/>
                  <w:szCs w:val="20"/>
                  <w:u w:val="none"/>
                </w:rPr>
                <w:t>Management’s Report on Internal Control Over Financial Reporting</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73" w:history="1">
              <w:r>
                <w:rPr>
                  <w:rStyle w:val="a3"/>
                  <w:rFonts w:eastAsia="Times New Roman"/>
                  <w:color w:val="000000"/>
                  <w:sz w:val="20"/>
                  <w:szCs w:val="20"/>
                  <w:u w:val="none"/>
                </w:rPr>
                <w:t>64</w:t>
              </w:r>
            </w:hyperlink>
          </w:p>
        </w:tc>
      </w:tr>
      <w:tr w:rsidR="00000000">
        <w:trPr>
          <w:divId w:val="1391153193"/>
        </w:trPr>
        <w:tc>
          <w:tcPr>
            <w:tcW w:w="0" w:type="auto"/>
            <w:gridSpan w:val="3"/>
            <w:tcMar>
              <w:top w:w="30" w:type="dxa"/>
              <w:left w:w="20" w:type="dxa"/>
              <w:bottom w:w="30" w:type="dxa"/>
              <w:right w:w="20" w:type="dxa"/>
            </w:tcMar>
            <w:hideMark/>
          </w:tcPr>
          <w:p w:rsidR="00000000" w:rsidRDefault="00AE54EE">
            <w:pPr>
              <w:spacing w:after="100"/>
              <w:ind w:hanging="270"/>
              <w:divId w:val="446583327"/>
              <w:rPr>
                <w:rFonts w:eastAsia="Times New Roman"/>
              </w:rPr>
            </w:pPr>
            <w:hyperlink w:anchor="i44c89fdeb27a46959d9ea3331e76be4e_76" w:history="1">
              <w:r>
                <w:rPr>
                  <w:rStyle w:val="a3"/>
                  <w:rFonts w:eastAsia="Times New Roman"/>
                  <w:color w:val="000000"/>
                  <w:sz w:val="20"/>
                  <w:szCs w:val="20"/>
                  <w:u w:val="none"/>
                </w:rPr>
                <w:t>Report of Independent Registered Public Accounting Firm</w:t>
              </w:r>
            </w:hyperlink>
            <w:hyperlink w:anchor="i44c89fdeb27a46959d9ea3331e76be4e_76" w:history="1">
              <w:r>
                <w:rPr>
                  <w:rStyle w:val="a3"/>
                  <w:rFonts w:eastAsia="Times New Roman"/>
                  <w:color w:val="000000"/>
                  <w:sz w:val="20"/>
                  <w:szCs w:val="20"/>
                  <w:u w:val="none"/>
                </w:rPr>
                <w:t xml:space="preserve"> </w:t>
              </w:r>
            </w:hyperlink>
            <w:hyperlink w:anchor="i44c89fdeb27a46959d9ea3331e76be4e_76" w:history="1">
              <w:r>
                <w:rPr>
                  <w:rStyle w:val="a3"/>
                  <w:rFonts w:eastAsia="Times New Roman"/>
                  <w:color w:val="000000"/>
                  <w:sz w:val="20"/>
                  <w:szCs w:val="20"/>
                  <w:u w:val="none"/>
                </w:rPr>
                <w:t>(</w:t>
              </w:r>
            </w:hyperlink>
            <w:hyperlink w:anchor="i44c89fdeb27a46959d9ea3331e76be4e_76" w:history="1">
              <w:r>
                <w:rPr>
                  <w:rStyle w:val="a3"/>
                  <w:rFonts w:eastAsia="Times New Roman"/>
                  <w:color w:val="000000"/>
                  <w:sz w:val="20"/>
                  <w:szCs w:val="20"/>
                  <w:u w:val="none"/>
                </w:rPr>
                <w:t>PCAOB ID:</w:t>
              </w:r>
            </w:hyperlink>
            <w:hyperlink w:anchor="i44c89fdeb27a46959d9ea3331e76be4e_76" w:history="1">
              <w:r>
                <w:rPr>
                  <w:rStyle w:val="a3"/>
                  <w:rFonts w:eastAsia="Times New Roman"/>
                  <w:color w:val="000000"/>
                  <w:sz w:val="20"/>
                  <w:szCs w:val="20"/>
                  <w:u w:val="none"/>
                </w:rPr>
                <w:t xml:space="preserve"> </w:t>
              </w:r>
            </w:hyperlink>
            <w:r>
              <w:rPr>
                <w:rFonts w:eastAsia="Times New Roman"/>
                <w:color w:val="000000"/>
                <w:sz w:val="20"/>
                <w:szCs w:val="20"/>
              </w:rPr>
              <w:t>42</w:t>
            </w:r>
            <w:hyperlink w:anchor="i44c89fdeb27a46959d9ea3331e76be4e_76" w:history="1">
              <w:r>
                <w:rPr>
                  <w:rStyle w:val="a3"/>
                  <w:rFonts w:eastAsia="Times New Roman"/>
                  <w:color w:val="000000"/>
                  <w:sz w:val="20"/>
                  <w:szCs w:val="20"/>
                  <w:u w:val="none"/>
                </w:rPr>
                <w:t xml:space="preserve">) </w:t>
              </w:r>
            </w:hyperlink>
            <w:hyperlink w:anchor="i44c89fdeb27a46959d9ea3331e76be4e_76" w:history="1">
              <w:r>
                <w:rPr>
                  <w:rStyle w:val="a3"/>
                  <w:rFonts w:eastAsia="Times New Roman"/>
                  <w:color w:val="000000"/>
                  <w:sz w:val="20"/>
                  <w:szCs w:val="20"/>
                  <w:u w:val="none"/>
                </w:rPr>
                <w:t>on the Consolidated Financia</w:t>
              </w:r>
              <w:r>
                <w:rPr>
                  <w:rStyle w:val="a3"/>
                  <w:rFonts w:eastAsia="Times New Roman"/>
                  <w:color w:val="000000"/>
                  <w:sz w:val="20"/>
                  <w:szCs w:val="20"/>
                  <w:u w:val="none"/>
                </w:rPr>
                <w:t>l Statements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76" w:history="1">
              <w:r>
                <w:rPr>
                  <w:rStyle w:val="a3"/>
                  <w:rFonts w:eastAsia="Times New Roman"/>
                  <w:color w:val="000000"/>
                  <w:sz w:val="20"/>
                  <w:szCs w:val="20"/>
                  <w:u w:val="none"/>
                </w:rPr>
                <w:t>65</w:t>
              </w:r>
            </w:hyperlink>
          </w:p>
        </w:tc>
      </w:tr>
      <w:tr w:rsidR="00000000">
        <w:trPr>
          <w:divId w:val="1391153193"/>
        </w:trPr>
        <w:tc>
          <w:tcPr>
            <w:tcW w:w="0" w:type="auto"/>
            <w:gridSpan w:val="3"/>
            <w:tcMar>
              <w:top w:w="30" w:type="dxa"/>
              <w:left w:w="20" w:type="dxa"/>
              <w:bottom w:w="30" w:type="dxa"/>
              <w:right w:w="20" w:type="dxa"/>
            </w:tcMar>
            <w:hideMark/>
          </w:tcPr>
          <w:p w:rsidR="00000000" w:rsidRDefault="00AE54EE">
            <w:pPr>
              <w:spacing w:after="100"/>
              <w:ind w:hanging="270"/>
              <w:divId w:val="138617455"/>
              <w:rPr>
                <w:rFonts w:eastAsia="Times New Roman"/>
              </w:rPr>
            </w:pPr>
            <w:hyperlink w:anchor="i44c89fdeb27a46959d9ea3331e76be4e_79" w:history="1">
              <w:r>
                <w:rPr>
                  <w:rStyle w:val="a3"/>
                  <w:rFonts w:eastAsia="Times New Roman"/>
                  <w:color w:val="000000"/>
                  <w:sz w:val="20"/>
                  <w:szCs w:val="20"/>
                  <w:u w:val="none"/>
                </w:rPr>
                <w:t>Report of Independent Registered Public Accounting Firm on the Effectiveness of Internal Control Over Financial Repor</w:t>
              </w:r>
              <w:r>
                <w:rPr>
                  <w:rStyle w:val="a3"/>
                  <w:rFonts w:eastAsia="Times New Roman"/>
                  <w:color w:val="000000"/>
                  <w:sz w:val="20"/>
                  <w:szCs w:val="20"/>
                  <w:u w:val="none"/>
                </w:rPr>
                <w:t>ting</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79" w:history="1">
              <w:r>
                <w:rPr>
                  <w:rStyle w:val="a3"/>
                  <w:rFonts w:eastAsia="Times New Roman"/>
                  <w:color w:val="000000"/>
                  <w:sz w:val="20"/>
                  <w:szCs w:val="20"/>
                  <w:u w:val="none"/>
                </w:rPr>
                <w:t>68</w:t>
              </w:r>
            </w:hyperlink>
          </w:p>
        </w:tc>
      </w:tr>
      <w:tr w:rsidR="00000000">
        <w:trPr>
          <w:divId w:val="1391153193"/>
        </w:trPr>
        <w:tc>
          <w:tcPr>
            <w:tcW w:w="0" w:type="auto"/>
            <w:gridSpan w:val="3"/>
            <w:tcMar>
              <w:top w:w="30" w:type="dxa"/>
              <w:left w:w="20" w:type="dxa"/>
              <w:bottom w:w="30" w:type="dxa"/>
              <w:right w:w="20" w:type="dxa"/>
            </w:tcMar>
            <w:hideMark/>
          </w:tcPr>
          <w:p w:rsidR="00000000" w:rsidRDefault="00AE54EE">
            <w:pPr>
              <w:spacing w:after="100"/>
              <w:ind w:hanging="270"/>
              <w:divId w:val="2097968695"/>
              <w:rPr>
                <w:rFonts w:eastAsia="Times New Roman"/>
              </w:rPr>
            </w:pPr>
            <w:hyperlink w:anchor="i44c89fdeb27a46959d9ea3331e76be4e_82" w:history="1">
              <w:r>
                <w:rPr>
                  <w:rStyle w:val="a3"/>
                  <w:rFonts w:eastAsia="Times New Roman"/>
                  <w:color w:val="000000"/>
                  <w:sz w:val="20"/>
                  <w:szCs w:val="20"/>
                  <w:u w:val="none"/>
                </w:rPr>
                <w:t xml:space="preserve">Consolidated Statement of Income — </w:t>
              </w:r>
              <w:r>
                <w:rPr>
                  <w:rStyle w:val="a3"/>
                  <w:rFonts w:eastAsia="Times New Roman"/>
                  <w:color w:val="000000"/>
                  <w:sz w:val="20"/>
                  <w:szCs w:val="20"/>
                  <w:u w:val="none"/>
                </w:rPr>
                <w:t>Fiscal Years Ended December 31, 2021 and January 1, 2021; Two Quarters Ended January 3, 2020; and Fiscal Year Ended June 28, 2019</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82" w:history="1">
              <w:r>
                <w:rPr>
                  <w:rStyle w:val="a3"/>
                  <w:rFonts w:eastAsia="Times New Roman"/>
                  <w:color w:val="000000"/>
                  <w:sz w:val="20"/>
                  <w:szCs w:val="20"/>
                  <w:u w:val="none"/>
                </w:rPr>
                <w:t>69</w:t>
              </w:r>
            </w:hyperlink>
          </w:p>
        </w:tc>
      </w:tr>
      <w:tr w:rsidR="00000000">
        <w:trPr>
          <w:divId w:val="1391153193"/>
        </w:trPr>
        <w:tc>
          <w:tcPr>
            <w:tcW w:w="0" w:type="auto"/>
            <w:gridSpan w:val="3"/>
            <w:tcMar>
              <w:top w:w="30" w:type="dxa"/>
              <w:left w:w="20" w:type="dxa"/>
              <w:bottom w:w="30" w:type="dxa"/>
              <w:right w:w="20" w:type="dxa"/>
            </w:tcMar>
            <w:hideMark/>
          </w:tcPr>
          <w:p w:rsidR="00000000" w:rsidRDefault="00AE54EE">
            <w:pPr>
              <w:spacing w:after="100"/>
              <w:ind w:hanging="270"/>
              <w:divId w:val="1161652674"/>
              <w:rPr>
                <w:rFonts w:eastAsia="Times New Roman"/>
              </w:rPr>
            </w:pPr>
            <w:hyperlink w:anchor="i44c89fdeb27a46959d9ea3331e76be4e_85" w:history="1">
              <w:r>
                <w:rPr>
                  <w:rStyle w:val="a3"/>
                  <w:rFonts w:eastAsia="Times New Roman"/>
                  <w:color w:val="000000"/>
                  <w:sz w:val="20"/>
                  <w:szCs w:val="20"/>
                  <w:u w:val="none"/>
                </w:rPr>
                <w:t>Consolidated Statement of Comprehensive Income — Fiscal Years Ended December 31, 2021 and January 1, 2021; Two Quarters Ended January 3, 2020; and Fiscal Year Ended June 28, 2019</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85" w:history="1">
              <w:r>
                <w:rPr>
                  <w:rStyle w:val="a3"/>
                  <w:rFonts w:eastAsia="Times New Roman"/>
                  <w:color w:val="000000"/>
                  <w:sz w:val="20"/>
                  <w:szCs w:val="20"/>
                  <w:u w:val="none"/>
                </w:rPr>
                <w:t>70</w:t>
              </w:r>
            </w:hyperlink>
          </w:p>
        </w:tc>
      </w:tr>
      <w:tr w:rsidR="00000000">
        <w:trPr>
          <w:divId w:val="1391153193"/>
        </w:trPr>
        <w:tc>
          <w:tcPr>
            <w:tcW w:w="0" w:type="auto"/>
            <w:gridSpan w:val="3"/>
            <w:tcMar>
              <w:top w:w="30" w:type="dxa"/>
              <w:left w:w="20" w:type="dxa"/>
              <w:bottom w:w="30" w:type="dxa"/>
              <w:right w:w="20" w:type="dxa"/>
            </w:tcMar>
            <w:hideMark/>
          </w:tcPr>
          <w:p w:rsidR="00000000" w:rsidRDefault="00AE54EE">
            <w:pPr>
              <w:spacing w:after="100"/>
              <w:divId w:val="1396661254"/>
              <w:rPr>
                <w:rFonts w:eastAsia="Times New Roman"/>
              </w:rPr>
            </w:pPr>
            <w:hyperlink w:anchor="i44c89fdeb27a46959d9ea3331e76be4e_88" w:history="1">
              <w:r>
                <w:rPr>
                  <w:rStyle w:val="a3"/>
                  <w:rFonts w:eastAsia="Times New Roman"/>
                  <w:color w:val="000000"/>
                  <w:sz w:val="20"/>
                  <w:szCs w:val="20"/>
                  <w:u w:val="none"/>
                </w:rPr>
                <w:t>Consolidated Balance Sheet — December 31, 2021 and January 1, 2021</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88" w:history="1">
              <w:r>
                <w:rPr>
                  <w:rStyle w:val="a3"/>
                  <w:rFonts w:eastAsia="Times New Roman"/>
                  <w:color w:val="000000"/>
                  <w:sz w:val="20"/>
                  <w:szCs w:val="20"/>
                  <w:u w:val="none"/>
                </w:rPr>
                <w:t>71</w:t>
              </w:r>
            </w:hyperlink>
          </w:p>
        </w:tc>
      </w:tr>
      <w:tr w:rsidR="00000000">
        <w:trPr>
          <w:divId w:val="1391153193"/>
        </w:trPr>
        <w:tc>
          <w:tcPr>
            <w:tcW w:w="0" w:type="auto"/>
            <w:gridSpan w:val="3"/>
            <w:tcMar>
              <w:top w:w="30" w:type="dxa"/>
              <w:left w:w="20" w:type="dxa"/>
              <w:bottom w:w="30" w:type="dxa"/>
              <w:right w:w="20" w:type="dxa"/>
            </w:tcMar>
            <w:hideMark/>
          </w:tcPr>
          <w:p w:rsidR="00000000" w:rsidRDefault="00AE54EE">
            <w:pPr>
              <w:spacing w:after="100"/>
              <w:ind w:hanging="270"/>
              <w:divId w:val="2029598203"/>
              <w:rPr>
                <w:rFonts w:eastAsia="Times New Roman"/>
              </w:rPr>
            </w:pPr>
            <w:hyperlink w:anchor="i44c89fdeb27a46959d9ea3331e76be4e_91" w:history="1">
              <w:r>
                <w:rPr>
                  <w:rStyle w:val="a3"/>
                  <w:rFonts w:eastAsia="Times New Roman"/>
                  <w:color w:val="000000"/>
                  <w:sz w:val="20"/>
                  <w:szCs w:val="20"/>
                  <w:u w:val="none"/>
                </w:rPr>
                <w:t>Consolidated Statement of Cash Flows — Fiscal Years Ended December 31, 2021 and January 1, 2021; Two Quarters ended January 3, 2020; and Fiscal Year Ended June 28, 2019</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91" w:history="1">
              <w:r>
                <w:rPr>
                  <w:rStyle w:val="a3"/>
                  <w:rFonts w:eastAsia="Times New Roman"/>
                  <w:color w:val="000000"/>
                  <w:sz w:val="20"/>
                  <w:szCs w:val="20"/>
                  <w:u w:val="none"/>
                </w:rPr>
                <w:t>72</w:t>
              </w:r>
            </w:hyperlink>
          </w:p>
        </w:tc>
      </w:tr>
      <w:tr w:rsidR="00000000">
        <w:trPr>
          <w:divId w:val="1391153193"/>
        </w:trPr>
        <w:tc>
          <w:tcPr>
            <w:tcW w:w="0" w:type="auto"/>
            <w:gridSpan w:val="3"/>
            <w:tcMar>
              <w:top w:w="30" w:type="dxa"/>
              <w:left w:w="20" w:type="dxa"/>
              <w:bottom w:w="30" w:type="dxa"/>
              <w:right w:w="20" w:type="dxa"/>
            </w:tcMar>
            <w:hideMark/>
          </w:tcPr>
          <w:p w:rsidR="00000000" w:rsidRDefault="00AE54EE">
            <w:pPr>
              <w:spacing w:after="100"/>
              <w:ind w:hanging="270"/>
              <w:divId w:val="1953586635"/>
              <w:rPr>
                <w:rFonts w:eastAsia="Times New Roman"/>
              </w:rPr>
            </w:pPr>
            <w:hyperlink w:anchor="i44c89fdeb27a46959d9ea3331e76be4e_94" w:history="1">
              <w:r>
                <w:rPr>
                  <w:rStyle w:val="a3"/>
                  <w:rFonts w:eastAsia="Times New Roman"/>
                  <w:color w:val="000000"/>
                  <w:sz w:val="20"/>
                  <w:szCs w:val="20"/>
                  <w:u w:val="none"/>
                </w:rPr>
                <w:t>Consolidated Statement of Equity — Fiscal Years Ended December 31, 2021 and January 1, 2021; Two Quarters ended January 3, 2020; and</w:t>
              </w:r>
              <w:r>
                <w:rPr>
                  <w:rStyle w:val="a3"/>
                  <w:rFonts w:eastAsia="Times New Roman"/>
                  <w:color w:val="000000"/>
                  <w:sz w:val="20"/>
                  <w:szCs w:val="20"/>
                  <w:u w:val="none"/>
                </w:rPr>
                <w:t xml:space="preserve"> Fiscal Year Ended June 28, 2019</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94" w:history="1">
              <w:r>
                <w:rPr>
                  <w:rStyle w:val="a3"/>
                  <w:rFonts w:eastAsia="Times New Roman"/>
                  <w:color w:val="000000"/>
                  <w:sz w:val="20"/>
                  <w:szCs w:val="20"/>
                  <w:u w:val="none"/>
                </w:rPr>
                <w:t>73</w:t>
              </w:r>
            </w:hyperlink>
          </w:p>
        </w:tc>
      </w:tr>
      <w:tr w:rsidR="00000000">
        <w:trPr>
          <w:divId w:val="1391153193"/>
        </w:trPr>
        <w:tc>
          <w:tcPr>
            <w:tcW w:w="0" w:type="auto"/>
            <w:gridSpan w:val="3"/>
            <w:tcMar>
              <w:top w:w="30" w:type="dxa"/>
              <w:left w:w="20" w:type="dxa"/>
              <w:bottom w:w="30" w:type="dxa"/>
              <w:right w:w="20" w:type="dxa"/>
            </w:tcMar>
            <w:hideMark/>
          </w:tcPr>
          <w:p w:rsidR="00000000" w:rsidRDefault="00AE54EE">
            <w:pPr>
              <w:spacing w:after="100"/>
              <w:divId w:val="1186485320"/>
              <w:rPr>
                <w:rFonts w:eastAsia="Times New Roman"/>
              </w:rPr>
            </w:pPr>
            <w:hyperlink w:anchor="i44c89fdeb27a46959d9ea3331e76be4e_97"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AE54EE">
            <w:pPr>
              <w:spacing w:after="100"/>
              <w:jc w:val="right"/>
              <w:rPr>
                <w:rFonts w:eastAsia="Times New Roman"/>
              </w:rPr>
            </w:pPr>
            <w:hyperlink w:anchor="i44c89fdeb27a46959d9ea3331e76be4e_97" w:history="1">
              <w:r>
                <w:rPr>
                  <w:rStyle w:val="a3"/>
                  <w:rFonts w:eastAsia="Times New Roman"/>
                  <w:color w:val="000000"/>
                  <w:sz w:val="20"/>
                  <w:szCs w:val="20"/>
                  <w:u w:val="none"/>
                </w:rPr>
                <w:t>74</w:t>
              </w:r>
            </w:hyperlink>
          </w:p>
        </w:tc>
      </w:tr>
      <w:tr w:rsidR="00000000">
        <w:trPr>
          <w:divId w:val="1391153193"/>
        </w:trPr>
        <w:tc>
          <w:tcPr>
            <w:tcW w:w="0" w:type="auto"/>
            <w:gridSpan w:val="3"/>
            <w:tcMar>
              <w:top w:w="30" w:type="dxa"/>
              <w:left w:w="155" w:type="dxa"/>
              <w:bottom w:w="30" w:type="dxa"/>
              <w:right w:w="20" w:type="dxa"/>
            </w:tcMar>
            <w:hideMark/>
          </w:tcPr>
          <w:p w:rsidR="00000000" w:rsidRDefault="00AE54EE">
            <w:pPr>
              <w:spacing w:after="100"/>
              <w:rPr>
                <w:rFonts w:eastAsia="Times New Roman"/>
              </w:rPr>
            </w:pPr>
            <w:r>
              <w:rPr>
                <w:rFonts w:eastAsia="Times New Roman"/>
                <w:b/>
                <w:bCs/>
                <w:color w:val="000000"/>
                <w:sz w:val="20"/>
                <w:szCs w:val="20"/>
              </w:rPr>
              <w:t>(2)    Financial Statement Schedules:</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r>
      <w:tr w:rsidR="00000000">
        <w:trPr>
          <w:divId w:val="1391153193"/>
        </w:trPr>
        <w:tc>
          <w:tcPr>
            <w:tcW w:w="0" w:type="auto"/>
            <w:gridSpan w:val="3"/>
            <w:tcMar>
              <w:top w:w="30" w:type="dxa"/>
              <w:left w:w="605" w:type="dxa"/>
              <w:bottom w:w="30" w:type="dxa"/>
              <w:right w:w="20" w:type="dxa"/>
            </w:tcMar>
            <w:hideMark/>
          </w:tcPr>
          <w:p w:rsidR="00000000" w:rsidRDefault="00AE54EE">
            <w:pPr>
              <w:spacing w:after="100"/>
              <w:rPr>
                <w:rFonts w:eastAsia="Times New Roman"/>
              </w:rPr>
            </w:pPr>
            <w:r>
              <w:rPr>
                <w:rFonts w:eastAsia="Times New Roman"/>
                <w:color w:val="000000"/>
                <w:sz w:val="20"/>
                <w:szCs w:val="20"/>
              </w:rPr>
              <w:t>All schedules are omitted because they are not applicable, the amounts are not significant or the required information is shown in the Consolidated Financial Statements or the Notes thereto.</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r>
    </w:tbl>
    <w:p w:rsidR="00000000" w:rsidRDefault="00AE54EE">
      <w:pPr>
        <w:ind w:firstLine="180"/>
        <w:divId w:val="1142306409"/>
        <w:rPr>
          <w:rFonts w:eastAsia="Times New Roman"/>
        </w:rPr>
      </w:pPr>
      <w:r>
        <w:rPr>
          <w:rFonts w:eastAsia="Times New Roman"/>
          <w:b/>
          <w:bCs/>
          <w:color w:val="000000"/>
          <w:sz w:val="20"/>
          <w:szCs w:val="20"/>
        </w:rPr>
        <w:t xml:space="preserve">(3)    Exhibits: </w:t>
      </w:r>
    </w:p>
    <w:p w:rsidR="00000000" w:rsidRDefault="00AE54EE">
      <w:pPr>
        <w:ind w:firstLine="450"/>
        <w:divId w:val="1968315363"/>
        <w:rPr>
          <w:rFonts w:eastAsia="Times New Roman"/>
        </w:rPr>
      </w:pPr>
      <w:r>
        <w:rPr>
          <w:rFonts w:eastAsia="Times New Roman"/>
          <w:color w:val="000000"/>
          <w:sz w:val="20"/>
          <w:szCs w:val="20"/>
        </w:rPr>
        <w:t>The following exhibits are filed herewith or are incorporated herein by reference to exhibits previously filed with the SEC:</w:t>
      </w:r>
    </w:p>
    <w:p w:rsidR="00000000" w:rsidRDefault="00AE54EE">
      <w:pPr>
        <w:ind w:hanging="900"/>
        <w:divId w:val="1982418628"/>
        <w:rPr>
          <w:rFonts w:eastAsia="Times New Roman"/>
        </w:rPr>
      </w:pPr>
      <w:hyperlink r:id="rId6" w:history="1">
        <w:r>
          <w:rPr>
            <w:rStyle w:val="a3"/>
            <w:rFonts w:eastAsia="Times New Roman"/>
            <w:sz w:val="20"/>
            <w:szCs w:val="20"/>
          </w:rPr>
          <w:t>***(2)(a) Agreement a</w:t>
        </w:r>
        <w:r>
          <w:rPr>
            <w:rStyle w:val="a3"/>
            <w:rFonts w:eastAsia="Times New Roman"/>
            <w:sz w:val="20"/>
            <w:szCs w:val="20"/>
          </w:rPr>
          <w:t>nd Plan of Merger, dated as of October 12, 2018, by and among Harris Corporation, L3 Technologies, Inc. and Leopard Merger Sub, Inc., incorporated herein by reference to Exhibit 2.1 to Harris Corporation’s Current Report on Form 8-K filed with the SEC on O</w:t>
        </w:r>
        <w:r>
          <w:rPr>
            <w:rStyle w:val="a3"/>
            <w:rFonts w:eastAsia="Times New Roman"/>
            <w:sz w:val="20"/>
            <w:szCs w:val="20"/>
          </w:rPr>
          <w:t>ctober 16, 2018. (Commission File Number 1-3863)</w:t>
        </w:r>
      </w:hyperlink>
    </w:p>
    <w:p w:rsidR="00000000" w:rsidRDefault="00AE54EE">
      <w:pPr>
        <w:ind w:hanging="900"/>
        <w:divId w:val="1117026085"/>
        <w:rPr>
          <w:rFonts w:eastAsia="Times New Roman"/>
        </w:rPr>
      </w:pPr>
      <w:hyperlink r:id="rId7" w:history="1">
        <w:r>
          <w:rPr>
            <w:rStyle w:val="a3"/>
            <w:rFonts w:eastAsia="Times New Roman"/>
            <w:sz w:val="20"/>
            <w:szCs w:val="20"/>
          </w:rPr>
          <w:t>(2)(b) First Amendment to Agreement and Plan of Merger, dated as of June 28, 2019, among L3 Technologies, Inc., Harr</w:t>
        </w:r>
        <w:r>
          <w:rPr>
            <w:rStyle w:val="a3"/>
            <w:rFonts w:eastAsia="Times New Roman"/>
            <w:sz w:val="20"/>
            <w:szCs w:val="20"/>
          </w:rPr>
          <w:t>is Corporation and Leopard Merger Sub Inc., incorporated herein by reference to Exhibit 2.2 to L3Harris Technologies, Inc.’s Current Report on Form 8-K filed with the SEC on July 1, 2019. (Commission File Number 1-3863)</w:t>
        </w:r>
      </w:hyperlink>
    </w:p>
    <w:p w:rsidR="00000000" w:rsidRDefault="00AE54EE">
      <w:pPr>
        <w:ind w:hanging="900"/>
        <w:divId w:val="1936863458"/>
        <w:rPr>
          <w:rFonts w:eastAsia="Times New Roman"/>
        </w:rPr>
      </w:pPr>
      <w:hyperlink r:id="rId8" w:history="1">
        <w:r>
          <w:rPr>
            <w:rStyle w:val="a3"/>
            <w:rFonts w:eastAsia="Times New Roman"/>
            <w:sz w:val="20"/>
            <w:szCs w:val="20"/>
          </w:rPr>
          <w:t>(3)(a</w:t>
        </w:r>
      </w:hyperlink>
      <w:hyperlink r:id="rId9" w:history="1">
        <w:r>
          <w:rPr>
            <w:rStyle w:val="a3"/>
            <w:rFonts w:eastAsia="Times New Roman"/>
            <w:sz w:val="20"/>
            <w:szCs w:val="20"/>
          </w:rPr>
          <w:t>) Restated Certificate of Incorporation of L3Harris Technologies, I</w:t>
        </w:r>
        <w:r>
          <w:rPr>
            <w:rStyle w:val="a3"/>
            <w:rFonts w:eastAsia="Times New Roman"/>
            <w:sz w:val="20"/>
            <w:szCs w:val="20"/>
          </w:rPr>
          <w:t>nc. (1995), as amended, incorporated herein by reference to Exhibit 3(a) to L3Harris Technologies, Inc.’s Quarterly Report on Form 10-Q filed with the SEC on May 7, 2020. (Commission File Number 1-3863)</w:t>
        </w:r>
      </w:hyperlink>
    </w:p>
    <w:p w:rsidR="00000000" w:rsidRDefault="00AE54EE">
      <w:pPr>
        <w:ind w:hanging="900"/>
        <w:divId w:val="1510178563"/>
        <w:rPr>
          <w:rFonts w:eastAsia="Times New Roman"/>
        </w:rPr>
      </w:pPr>
      <w:hyperlink r:id="rId10" w:history="1">
        <w:r>
          <w:rPr>
            <w:rStyle w:val="a3"/>
            <w:rFonts w:eastAsia="Times New Roman"/>
            <w:sz w:val="20"/>
            <w:szCs w:val="20"/>
          </w:rPr>
          <w:t>(3)(b) Amended and Restated By-Laws of L3Harris Technologies, Inc., incorporated herein by reference to Exhibit 3.1 to L3Harris Technologies Inc.’s Current Report on Form 8-K filed with the SEC on A</w:t>
        </w:r>
        <w:r>
          <w:rPr>
            <w:rStyle w:val="a3"/>
            <w:rFonts w:eastAsia="Times New Roman"/>
            <w:sz w:val="20"/>
            <w:szCs w:val="20"/>
          </w:rPr>
          <w:t>pril 7, 2020. (Commission File Number 1-3863)</w:t>
        </w:r>
      </w:hyperlink>
    </w:p>
    <w:p w:rsidR="00000000" w:rsidRDefault="00AE54EE">
      <w:pPr>
        <w:ind w:hanging="900"/>
        <w:divId w:val="1462841256"/>
        <w:rPr>
          <w:rFonts w:eastAsia="Times New Roman"/>
        </w:rPr>
      </w:pPr>
      <w:hyperlink r:id="rId11" w:history="1">
        <w:r>
          <w:rPr>
            <w:rStyle w:val="a3"/>
            <w:rFonts w:eastAsia="Times New Roman"/>
            <w:sz w:val="20"/>
            <w:szCs w:val="20"/>
          </w:rPr>
          <w:t>(4)(a) Specimen Stock Certificate for L3Harris Technologies, Inc.’s common stock, incorporated herein by reference to Exh</w:t>
        </w:r>
        <w:r>
          <w:rPr>
            <w:rStyle w:val="a3"/>
            <w:rFonts w:eastAsia="Times New Roman"/>
            <w:sz w:val="20"/>
            <w:szCs w:val="20"/>
          </w:rPr>
          <w:t>ibit 4 to L3Harris Technologies, Inc.’s Current Report on Form 8-K filed with the SEC on July 1, 2019. (Commission File Number 1-3863)</w:t>
        </w:r>
      </w:hyperlink>
    </w:p>
    <w:p w:rsidR="00000000" w:rsidRDefault="00AE54EE">
      <w:pPr>
        <w:ind w:hanging="900"/>
        <w:divId w:val="1638680300"/>
        <w:rPr>
          <w:rFonts w:eastAsia="Times New Roman"/>
        </w:rPr>
      </w:pPr>
      <w:hyperlink r:id="rId12" w:history="1">
        <w:r>
          <w:rPr>
            <w:rStyle w:val="a3"/>
            <w:rFonts w:eastAsia="Times New Roman"/>
            <w:sz w:val="20"/>
            <w:szCs w:val="20"/>
          </w:rPr>
          <w:t xml:space="preserve">(4)(b) (i) Indenture, dated as of </w:t>
        </w:r>
        <w:r>
          <w:rPr>
            <w:rStyle w:val="a3"/>
            <w:rFonts w:eastAsia="Times New Roman"/>
            <w:sz w:val="20"/>
            <w:szCs w:val="20"/>
          </w:rPr>
          <w:t xml:space="preserve">May 1, 1996, between Harris Corporation and The Bank of New York, as Trustee, relating to unlimited amounts of debt securities which may be issued from time to time by Harris Corporation when and as authorized by Harris Corporation’s Board of Directors or </w:t>
        </w:r>
        <w:r>
          <w:rPr>
            <w:rStyle w:val="a3"/>
            <w:rFonts w:eastAsia="Times New Roman"/>
            <w:sz w:val="20"/>
            <w:szCs w:val="20"/>
          </w:rPr>
          <w:t>a Committee of the Board, incorporated herein by reference to Exhibit 4 to Harris Corporation’s Registration Statement on Form S-3, Registration Statement No. 333-03111, filed with the SEC on May 3, 1996.</w:t>
        </w:r>
      </w:hyperlink>
    </w:p>
    <w:p w:rsidR="00000000" w:rsidRDefault="00AE54EE">
      <w:pPr>
        <w:ind w:firstLine="450"/>
        <w:jc w:val="center"/>
        <w:divId w:val="1831677007"/>
        <w:rPr>
          <w:rFonts w:eastAsia="Times New Roman"/>
        </w:rPr>
      </w:pPr>
      <w:r>
        <w:rPr>
          <w:rFonts w:eastAsia="Times New Roman"/>
          <w:color w:val="000000"/>
          <w:sz w:val="20"/>
          <w:szCs w:val="20"/>
        </w:rPr>
        <w:t>128</w:t>
      </w:r>
    </w:p>
    <w:p w:rsidR="00000000" w:rsidRDefault="00AE54EE">
      <w:pPr>
        <w:rPr>
          <w:rFonts w:eastAsia="Times New Roman"/>
        </w:rPr>
      </w:pPr>
      <w:r>
        <w:rPr>
          <w:rFonts w:eastAsia="Times New Roman"/>
        </w:rPr>
        <w:pict>
          <v:rect id="_x0000_i1156" style="width:0;height:1.5pt" o:hralign="center" o:hrstd="t" o:hr="t" fillcolor="#a0a0a0" stroked="f"/>
        </w:pict>
      </w:r>
    </w:p>
    <w:p w:rsidR="00000000" w:rsidRDefault="00AE54EE">
      <w:pPr>
        <w:ind w:firstLine="450"/>
        <w:divId w:val="699748581"/>
        <w:rPr>
          <w:rFonts w:eastAsia="Times New Roman"/>
        </w:rPr>
      </w:pPr>
    </w:p>
    <w:p w:rsidR="00000000" w:rsidRDefault="00AE54EE">
      <w:pPr>
        <w:divId w:val="906376875"/>
        <w:rPr>
          <w:rFonts w:eastAsia="Times New Roman"/>
        </w:rPr>
      </w:pPr>
      <w:hyperlink r:id="rId13" w:history="1">
        <w:r>
          <w:rPr>
            <w:rStyle w:val="a3"/>
            <w:rFonts w:eastAsia="Times New Roman"/>
            <w:sz w:val="20"/>
            <w:szCs w:val="20"/>
          </w:rPr>
          <w:t>(ii) Instrument of Resignation from Trustee and Appointment and Acceptance of Successor Trustee, dated as of November 1, 2002 (effective November 15, 2002), among H</w:t>
        </w:r>
        <w:r>
          <w:rPr>
            <w:rStyle w:val="a3"/>
            <w:rFonts w:eastAsia="Times New Roman"/>
            <w:sz w:val="20"/>
            <w:szCs w:val="20"/>
          </w:rPr>
          <w:t>arris Corporation, JP Morgan Chase Bank, as Resigning Trustee, and The Bank of New York, as Successor Trustee, incorporated herein by reference to Exhibit 99.4 to Harris Corporation’s Quarterly Report on Form 10-Q for the fiscal quarter ended September 27,</w:t>
        </w:r>
        <w:r>
          <w:rPr>
            <w:rStyle w:val="a3"/>
            <w:rFonts w:eastAsia="Times New Roman"/>
            <w:sz w:val="20"/>
            <w:szCs w:val="20"/>
          </w:rPr>
          <w:t xml:space="preserve"> 2002. (Commission File Number 1-3863)</w:t>
        </w:r>
      </w:hyperlink>
    </w:p>
    <w:p w:rsidR="00000000" w:rsidRDefault="00AE54EE">
      <w:pPr>
        <w:divId w:val="1131242547"/>
        <w:rPr>
          <w:rFonts w:eastAsia="Times New Roman"/>
        </w:rPr>
      </w:pPr>
      <w:hyperlink r:id="rId14" w:history="1">
        <w:r>
          <w:rPr>
            <w:rStyle w:val="a3"/>
            <w:rFonts w:eastAsia="Times New Roman"/>
            <w:sz w:val="20"/>
            <w:szCs w:val="20"/>
          </w:rPr>
          <w:t>(iii) Supplemental Indenture, dated June 2, 2015, among Harris Corporation, Exelis Inc. and The Bank of New York Mellon</w:t>
        </w:r>
        <w:r>
          <w:rPr>
            <w:rStyle w:val="a3"/>
            <w:rFonts w:eastAsia="Times New Roman"/>
            <w:sz w:val="20"/>
            <w:szCs w:val="20"/>
          </w:rPr>
          <w:t xml:space="preserve"> (as successor to Chemical Bank), to the Indenture dated as of May 1, 1996 between Harris Corporation and The Bank of New York (as successor to Chemical Bank), incorporated herein by reference to Exhibit 4.2 to Harris Corporation’s Current Report on Form 8</w:t>
        </w:r>
        <w:r>
          <w:rPr>
            <w:rStyle w:val="a3"/>
            <w:rFonts w:eastAsia="Times New Roman"/>
            <w:sz w:val="20"/>
            <w:szCs w:val="20"/>
          </w:rPr>
          <w:t>-K filed with the SEC on June 2, 2015. (Commission File Number 1-3863)</w:t>
        </w:r>
      </w:hyperlink>
    </w:p>
    <w:p w:rsidR="00000000" w:rsidRDefault="00AE54EE">
      <w:pPr>
        <w:ind w:hanging="900"/>
        <w:divId w:val="453449552"/>
        <w:rPr>
          <w:rFonts w:eastAsia="Times New Roman"/>
        </w:rPr>
      </w:pPr>
      <w:r>
        <w:rPr>
          <w:rFonts w:eastAsia="Times New Roman"/>
          <w:color w:val="000000"/>
          <w:sz w:val="20"/>
          <w:szCs w:val="20"/>
        </w:rPr>
        <w:t>**(4)(c) (i) Indenture, dated as of October 1, 1990, between Harris Corporation and U.S. Bank National Association (as successor to National City Bank), as Trustee, relating to unlimite</w:t>
      </w:r>
      <w:r>
        <w:rPr>
          <w:rFonts w:eastAsia="Times New Roman"/>
          <w:color w:val="000000"/>
          <w:sz w:val="20"/>
          <w:szCs w:val="20"/>
        </w:rPr>
        <w:t>d amounts of debt securities which may be issued from time to time by Harris Corporation when and as authorized by Harris Corporation’s Board of Directors or a Committee of the Board, incorporated herein by reference to Exhibit 4 to Harris Corporation’s Re</w:t>
      </w:r>
      <w:r>
        <w:rPr>
          <w:rFonts w:eastAsia="Times New Roman"/>
          <w:color w:val="000000"/>
          <w:sz w:val="20"/>
          <w:szCs w:val="20"/>
        </w:rPr>
        <w:t>gistration Statement on Form S-3, Registration Statement No. 33-35315, filed with the SEC on June 8, 1990.</w:t>
      </w:r>
    </w:p>
    <w:p w:rsidR="00000000" w:rsidRDefault="00AE54EE">
      <w:pPr>
        <w:divId w:val="1717461183"/>
        <w:rPr>
          <w:rFonts w:eastAsia="Times New Roman"/>
        </w:rPr>
      </w:pPr>
      <w:hyperlink r:id="rId15" w:history="1">
        <w:r>
          <w:rPr>
            <w:rStyle w:val="a3"/>
            <w:rFonts w:eastAsia="Times New Roman"/>
            <w:sz w:val="20"/>
            <w:szCs w:val="20"/>
          </w:rPr>
          <w:t>(ii) Supplemental Indenture, dated June 2, 2015, among Harris Corporation, Exelis Inc. and U.S. Bank National Association (as successor to National City Bank), to the Indenture dated as of October 1, 1990 between Harris Corporation and U.S. National Associ</w:t>
        </w:r>
        <w:r>
          <w:rPr>
            <w:rStyle w:val="a3"/>
            <w:rFonts w:eastAsia="Times New Roman"/>
            <w:sz w:val="20"/>
            <w:szCs w:val="20"/>
          </w:rPr>
          <w:t>ation (as successor to National City Bank), incorporated herein by reference to Exhibit 4.1 to Harris Corporation’s Current Report on Form 8-K filed with the SEC on June 2, 2015. (Commission File Number 1-3863)</w:t>
        </w:r>
      </w:hyperlink>
    </w:p>
    <w:p w:rsidR="00000000" w:rsidRDefault="00AE54EE">
      <w:pPr>
        <w:ind w:hanging="900"/>
        <w:divId w:val="299576779"/>
        <w:rPr>
          <w:rFonts w:eastAsia="Times New Roman"/>
        </w:rPr>
      </w:pPr>
      <w:hyperlink r:id="rId16" w:history="1">
        <w:r>
          <w:rPr>
            <w:rStyle w:val="a3"/>
            <w:rFonts w:eastAsia="Times New Roman"/>
            <w:sz w:val="20"/>
            <w:szCs w:val="20"/>
          </w:rPr>
          <w:t>(4)(d)(i) Indenture, dated as of September 3, 2003, between Harris Corporation and The Bank of New York Mellon Trust Company, N.A., as successor to The Bank of New York, as Trustee, relating to unlimite</w:t>
        </w:r>
        <w:r>
          <w:rPr>
            <w:rStyle w:val="a3"/>
            <w:rFonts w:eastAsia="Times New Roman"/>
            <w:sz w:val="20"/>
            <w:szCs w:val="20"/>
          </w:rPr>
          <w:t>d amounts of debt securities which may be issued from time to time by Harris Corporation when and as authorized by Harris Corporation’s Board of Directors or a Committee of the Board, incorporated herein by reference to Exhibit 4(b) to Harris Corporation’s</w:t>
        </w:r>
        <w:r>
          <w:rPr>
            <w:rStyle w:val="a3"/>
            <w:rFonts w:eastAsia="Times New Roman"/>
            <w:sz w:val="20"/>
            <w:szCs w:val="20"/>
          </w:rPr>
          <w:t xml:space="preserve"> Registration Statement on Form S-3, Registration Statement No. 333-108486, filed with the SEC on September 3, 2003</w:t>
        </w:r>
      </w:hyperlink>
    </w:p>
    <w:p w:rsidR="00000000" w:rsidRDefault="00AE54EE">
      <w:pPr>
        <w:divId w:val="1746488861"/>
        <w:rPr>
          <w:rFonts w:eastAsia="Times New Roman"/>
        </w:rPr>
      </w:pPr>
      <w:hyperlink r:id="rId17" w:history="1">
        <w:r>
          <w:rPr>
            <w:rStyle w:val="a3"/>
            <w:rFonts w:eastAsia="Times New Roman"/>
            <w:sz w:val="20"/>
            <w:szCs w:val="20"/>
          </w:rPr>
          <w:t>(ii) Instrument of Resignation of Trustee,</w:t>
        </w:r>
        <w:r>
          <w:rPr>
            <w:rStyle w:val="a3"/>
            <w:rFonts w:eastAsia="Times New Roman"/>
            <w:sz w:val="20"/>
            <w:szCs w:val="20"/>
          </w:rPr>
          <w:t xml:space="preserve"> Appointment and Acceptance of Successor Trustee, dated as of June 2, 2009, among Harris Corporation, The Bank of New York Mellon (formerly known as The Bank of New York) and The Bank of New York Mellon Trust Company, N.A., as to Indenture dated as of Sept</w:t>
        </w:r>
        <w:r>
          <w:rPr>
            <w:rStyle w:val="a3"/>
            <w:rFonts w:eastAsia="Times New Roman"/>
            <w:sz w:val="20"/>
            <w:szCs w:val="20"/>
          </w:rPr>
          <w:t>ember 3, 2003, incorporated herein by reference to Exhibit 4(m) to Harris Corporation’s Registration Statement on Form S-3, Registration Statement No. 333-159688, filed with the SEC on June 3, 2009</w:t>
        </w:r>
      </w:hyperlink>
    </w:p>
    <w:p w:rsidR="00000000" w:rsidRDefault="00AE54EE">
      <w:pPr>
        <w:divId w:val="1327247483"/>
        <w:rPr>
          <w:rFonts w:eastAsia="Times New Roman"/>
        </w:rPr>
      </w:pPr>
      <w:hyperlink r:id="rId18" w:history="1">
        <w:r>
          <w:rPr>
            <w:rStyle w:val="a3"/>
            <w:rFonts w:eastAsia="Times New Roman"/>
            <w:sz w:val="20"/>
            <w:szCs w:val="20"/>
          </w:rPr>
          <w:t>(</w:t>
        </w:r>
      </w:hyperlink>
      <w:hyperlink r:id="rId19" w:history="1">
        <w:r>
          <w:rPr>
            <w:rStyle w:val="a3"/>
            <w:rFonts w:eastAsia="Times New Roman"/>
            <w:sz w:val="20"/>
            <w:szCs w:val="20"/>
          </w:rPr>
          <w:t>iii) Supplemental Indenture, dated June 2, 2015, among Harris Corporation, Exelis Inc. and The Bank of New York Mello</w:t>
        </w:r>
        <w:r>
          <w:rPr>
            <w:rStyle w:val="a3"/>
            <w:rFonts w:eastAsia="Times New Roman"/>
            <w:sz w:val="20"/>
            <w:szCs w:val="20"/>
          </w:rPr>
          <w:t>n Trust Company, N.A. (as successor to The Bank of New York), to the Indenture dated as of September 3, 2003 between Harris Corporation and The Bank of New York Mellon Trust Company, N.A. (as successor to The Bank of New York), incorporated herein by refer</w:t>
        </w:r>
        <w:r>
          <w:rPr>
            <w:rStyle w:val="a3"/>
            <w:rFonts w:eastAsia="Times New Roman"/>
            <w:sz w:val="20"/>
            <w:szCs w:val="20"/>
          </w:rPr>
          <w:t>ence to Exhibit 4.3 to Harris Corporation’s Current Report on Form 8-K filed with the SEC on June 2, 2015. (Commission File Number 1-3863)</w:t>
        </w:r>
      </w:hyperlink>
    </w:p>
    <w:p w:rsidR="00000000" w:rsidRDefault="00AE54EE">
      <w:pPr>
        <w:ind w:hanging="900"/>
        <w:divId w:val="1967854211"/>
        <w:rPr>
          <w:rFonts w:eastAsia="Times New Roman"/>
        </w:rPr>
      </w:pPr>
      <w:hyperlink r:id="rId20" w:history="1">
        <w:r>
          <w:rPr>
            <w:rStyle w:val="a3"/>
            <w:rFonts w:eastAsia="Times New Roman"/>
            <w:sz w:val="20"/>
            <w:szCs w:val="20"/>
          </w:rPr>
          <w:t xml:space="preserve">(4)(e) </w:t>
        </w:r>
      </w:hyperlink>
      <w:hyperlink r:id="rId21" w:history="1">
        <w:r>
          <w:rPr>
            <w:rStyle w:val="a3"/>
            <w:rFonts w:eastAsia="Times New Roman"/>
            <w:sz w:val="20"/>
            <w:szCs w:val="20"/>
          </w:rPr>
          <w:t>(i) Subordinated Indenture, dated as of September 3, 2003, between Harris Corporation and The Bank of New York Mellon Trust Company, N.A., as successor to The Bank of New York, as Trustee, relating to unlimit</w:t>
        </w:r>
        <w:r>
          <w:rPr>
            <w:rStyle w:val="a3"/>
            <w:rFonts w:eastAsia="Times New Roman"/>
            <w:sz w:val="20"/>
            <w:szCs w:val="20"/>
          </w:rPr>
          <w:t>ed amounts of debt securities which may be issued from time to time by Harris Corporation when and as authorized by the Harris Corporation’s Board of Directors or a Committee of the Board, incorporated herein by reference to Exhibit 4(c) to the Harris Corp</w:t>
        </w:r>
        <w:r>
          <w:rPr>
            <w:rStyle w:val="a3"/>
            <w:rFonts w:eastAsia="Times New Roman"/>
            <w:sz w:val="20"/>
            <w:szCs w:val="20"/>
          </w:rPr>
          <w:t>oration’s Registration Statement on Form S-3, Registration Statement No. 333-108486, filed with the SEC on September 3, 2003</w:t>
        </w:r>
      </w:hyperlink>
    </w:p>
    <w:p w:rsidR="00000000" w:rsidRDefault="00AE54EE">
      <w:pPr>
        <w:divId w:val="699548964"/>
        <w:rPr>
          <w:rFonts w:eastAsia="Times New Roman"/>
        </w:rPr>
      </w:pPr>
      <w:hyperlink r:id="rId22" w:history="1">
        <w:r>
          <w:rPr>
            <w:rStyle w:val="a3"/>
            <w:rFonts w:eastAsia="Times New Roman"/>
            <w:sz w:val="20"/>
            <w:szCs w:val="20"/>
          </w:rPr>
          <w:t>(</w:t>
        </w:r>
      </w:hyperlink>
      <w:hyperlink r:id="rId23" w:history="1">
        <w:r>
          <w:rPr>
            <w:rStyle w:val="a3"/>
            <w:rFonts w:eastAsia="Times New Roman"/>
            <w:sz w:val="20"/>
            <w:szCs w:val="20"/>
          </w:rPr>
          <w:t>ii) Instrument of Resignation of Trustee, Appointment and Acceptance of Successor Trustee, dated as of June 2, 2009, among Harris Corporation, The Bank of New York Mellon (formerly known as</w:t>
        </w:r>
        <w:r>
          <w:rPr>
            <w:rStyle w:val="a3"/>
            <w:rFonts w:eastAsia="Times New Roman"/>
            <w:sz w:val="20"/>
            <w:szCs w:val="20"/>
          </w:rPr>
          <w:t xml:space="preserve"> The Bank of New York) and The Bank of New York Mellon Trust Company, N.A., as to Subordinated Indenture dated as of September 3, 2003, incorporated herein by reference to Exhibit 4(n) to Harris Corporation’s Registration Statement on Form S-3, Registratio</w:t>
        </w:r>
        <w:r>
          <w:rPr>
            <w:rStyle w:val="a3"/>
            <w:rFonts w:eastAsia="Times New Roman"/>
            <w:sz w:val="20"/>
            <w:szCs w:val="20"/>
          </w:rPr>
          <w:t>n Statement No. 333-159688, filed with the SEC on June 3, 2009</w:t>
        </w:r>
      </w:hyperlink>
    </w:p>
    <w:p w:rsidR="00000000" w:rsidRDefault="00AE54EE">
      <w:pPr>
        <w:ind w:hanging="900"/>
        <w:divId w:val="55206973"/>
        <w:rPr>
          <w:rFonts w:eastAsia="Times New Roman"/>
        </w:rPr>
      </w:pPr>
      <w:hyperlink r:id="rId24" w:history="1">
        <w:r>
          <w:rPr>
            <w:rStyle w:val="a3"/>
            <w:rFonts w:eastAsia="Times New Roman"/>
            <w:sz w:val="20"/>
            <w:szCs w:val="20"/>
          </w:rPr>
          <w:t xml:space="preserve">(4)(f) </w:t>
        </w:r>
      </w:hyperlink>
      <w:hyperlink r:id="rId25" w:history="1">
        <w:r>
          <w:rPr>
            <w:rStyle w:val="a3"/>
            <w:rFonts w:eastAsia="Times New Roman"/>
            <w:sz w:val="20"/>
            <w:szCs w:val="20"/>
          </w:rPr>
          <w:t>Form of Floating Rate Global Note due March 2023, incorporated herein by reference to Exhibit 4.1 to L3Harris</w:t>
        </w:r>
        <w:r>
          <w:rPr>
            <w:rStyle w:val="a3"/>
            <w:rFonts w:eastAsia="Times New Roman"/>
            <w:sz w:val="20"/>
            <w:szCs w:val="20"/>
          </w:rPr>
          <w:t xml:space="preserve"> Technologies, Inc.’s Current Report on Form 8-K filed with the SEC on March 13, 2020. (Commission File Number 1-3863)</w:t>
        </w:r>
      </w:hyperlink>
    </w:p>
    <w:p w:rsidR="00000000" w:rsidRDefault="00AE54EE">
      <w:pPr>
        <w:ind w:hanging="900"/>
        <w:divId w:val="216599171"/>
        <w:rPr>
          <w:rFonts w:eastAsia="Times New Roman"/>
        </w:rPr>
      </w:pPr>
      <w:hyperlink r:id="rId26" w:history="1">
        <w:r>
          <w:rPr>
            <w:rStyle w:val="a3"/>
            <w:rFonts w:eastAsia="Times New Roman"/>
            <w:sz w:val="20"/>
            <w:szCs w:val="20"/>
          </w:rPr>
          <w:t>(4)(g) Form of 3.832% Global Note due 2</w:t>
        </w:r>
        <w:r>
          <w:rPr>
            <w:rStyle w:val="a3"/>
            <w:rFonts w:eastAsia="Times New Roman"/>
            <w:sz w:val="20"/>
            <w:szCs w:val="20"/>
          </w:rPr>
          <w:t>025, incorporated herein by reference to Exhibit 4.3 to Harris Corporation’s Current Report on Form 8-K filed with the SEC on April 27, 2015. (Commission File Number 1-3863)</w:t>
        </w:r>
      </w:hyperlink>
    </w:p>
    <w:p w:rsidR="00000000" w:rsidRDefault="00AE54EE">
      <w:pPr>
        <w:ind w:hanging="900"/>
        <w:divId w:val="1521355538"/>
        <w:rPr>
          <w:rFonts w:eastAsia="Times New Roman"/>
        </w:rPr>
      </w:pPr>
      <w:hyperlink r:id="rId27" w:history="1">
        <w:r>
          <w:rPr>
            <w:rStyle w:val="a3"/>
            <w:rFonts w:eastAsia="Times New Roman"/>
            <w:sz w:val="20"/>
            <w:szCs w:val="20"/>
          </w:rPr>
          <w:t>(4)(h) Form of 4.400% Global Note due 2028, incorporated herein by reference to Exhibit 4.1 to Harris Corporation’s Current Report on Form 8-K filed with the SEC on June 4, 2018. (Commission File Number 1-3863)</w:t>
        </w:r>
      </w:hyperlink>
    </w:p>
    <w:p w:rsidR="00000000" w:rsidRDefault="00AE54EE">
      <w:pPr>
        <w:ind w:firstLine="450"/>
        <w:jc w:val="center"/>
        <w:divId w:val="1105462745"/>
        <w:rPr>
          <w:rFonts w:eastAsia="Times New Roman"/>
        </w:rPr>
      </w:pPr>
      <w:r>
        <w:rPr>
          <w:rFonts w:eastAsia="Times New Roman"/>
          <w:color w:val="000000"/>
          <w:sz w:val="20"/>
          <w:szCs w:val="20"/>
        </w:rPr>
        <w:t>129</w:t>
      </w:r>
    </w:p>
    <w:p w:rsidR="00000000" w:rsidRDefault="00AE54EE">
      <w:pPr>
        <w:rPr>
          <w:rFonts w:eastAsia="Times New Roman"/>
        </w:rPr>
      </w:pPr>
      <w:r>
        <w:rPr>
          <w:rFonts w:eastAsia="Times New Roman"/>
        </w:rPr>
        <w:pict>
          <v:rect id="_x0000_i1157" style="width:0;height:1.5pt" o:hralign="center" o:hrstd="t" o:hr="t" fillcolor="#a0a0a0" stroked="f"/>
        </w:pict>
      </w:r>
    </w:p>
    <w:p w:rsidR="00000000" w:rsidRDefault="00AE54EE">
      <w:pPr>
        <w:ind w:firstLine="450"/>
        <w:divId w:val="1435828330"/>
        <w:rPr>
          <w:rFonts w:eastAsia="Times New Roman"/>
        </w:rPr>
      </w:pPr>
    </w:p>
    <w:p w:rsidR="00000000" w:rsidRDefault="00AE54EE">
      <w:pPr>
        <w:ind w:hanging="900"/>
        <w:divId w:val="127355468"/>
        <w:rPr>
          <w:rFonts w:eastAsia="Times New Roman"/>
        </w:rPr>
      </w:pPr>
      <w:hyperlink r:id="rId28" w:history="1">
        <w:r>
          <w:rPr>
            <w:rStyle w:val="a3"/>
            <w:rFonts w:eastAsia="Times New Roman"/>
            <w:sz w:val="20"/>
            <w:szCs w:val="20"/>
          </w:rPr>
          <w:t xml:space="preserve">(4)(i) </w:t>
        </w:r>
      </w:hyperlink>
      <w:hyperlink r:id="rId29" w:history="1">
        <w:r>
          <w:rPr>
            <w:rStyle w:val="a3"/>
            <w:rFonts w:eastAsia="Times New Roman"/>
            <w:sz w:val="20"/>
            <w:szCs w:val="20"/>
          </w:rPr>
          <w:t>Form of 2.90% Global Note due 2029, incorporated herein by reference to Exhibit 4.1 to L3Harris Technologies, Inc.’s Current Report on Fo</w:t>
        </w:r>
        <w:r>
          <w:rPr>
            <w:rStyle w:val="a3"/>
            <w:rFonts w:eastAsia="Times New Roman"/>
            <w:sz w:val="20"/>
            <w:szCs w:val="20"/>
          </w:rPr>
          <w:t>rm 8-K filed with the SEC on November 27, 2019. (Commission File Number 1-3863)</w:t>
        </w:r>
      </w:hyperlink>
    </w:p>
    <w:p w:rsidR="00000000" w:rsidRDefault="00AE54EE">
      <w:pPr>
        <w:ind w:hanging="900"/>
        <w:divId w:val="1784878340"/>
        <w:rPr>
          <w:rFonts w:eastAsia="Times New Roman"/>
        </w:rPr>
      </w:pPr>
      <w:hyperlink r:id="rId30" w:history="1">
        <w:r>
          <w:rPr>
            <w:rStyle w:val="a3"/>
            <w:rFonts w:eastAsia="Times New Roman"/>
            <w:sz w:val="20"/>
            <w:szCs w:val="20"/>
          </w:rPr>
          <w:t xml:space="preserve">(4)(j) </w:t>
        </w:r>
      </w:hyperlink>
      <w:hyperlink r:id="rId31" w:history="1">
        <w:r>
          <w:rPr>
            <w:rStyle w:val="a3"/>
            <w:rFonts w:eastAsia="Times New Roman"/>
            <w:sz w:val="20"/>
            <w:szCs w:val="20"/>
          </w:rPr>
          <w:t>Form of 1.80% Global Note due 2031, incorporated herein by reference to Exhibit 4.1 to L3Har</w:t>
        </w:r>
        <w:r>
          <w:rPr>
            <w:rStyle w:val="a3"/>
            <w:rFonts w:eastAsia="Times New Roman"/>
            <w:sz w:val="20"/>
            <w:szCs w:val="20"/>
          </w:rPr>
          <w:t>ris Technologies, Inc.’s Current Report on Form 8-K filed with the SEC on November 25, 2020. (Commission File Number 1-3863)</w:t>
        </w:r>
      </w:hyperlink>
    </w:p>
    <w:p w:rsidR="00000000" w:rsidRDefault="00AE54EE">
      <w:pPr>
        <w:ind w:hanging="900"/>
        <w:divId w:val="1019282580"/>
        <w:rPr>
          <w:rFonts w:eastAsia="Times New Roman"/>
        </w:rPr>
      </w:pPr>
      <w:hyperlink r:id="rId32" w:history="1">
        <w:r>
          <w:rPr>
            <w:rStyle w:val="a3"/>
            <w:rFonts w:eastAsia="Times New Roman"/>
            <w:sz w:val="20"/>
            <w:szCs w:val="20"/>
          </w:rPr>
          <w:t>(4)(k) Form of 4.854% Global Note</w:t>
        </w:r>
        <w:r>
          <w:rPr>
            <w:rStyle w:val="a3"/>
            <w:rFonts w:eastAsia="Times New Roman"/>
            <w:sz w:val="20"/>
            <w:szCs w:val="20"/>
          </w:rPr>
          <w:t xml:space="preserve"> due 2035, incorporated herein by reference to Exhibit 4.4 to Harris Corporation’s Current Report on Form 8-K filed with the SEC on April 27, 2015. (Commission File Number 1-3863)</w:t>
        </w:r>
      </w:hyperlink>
    </w:p>
    <w:p w:rsidR="00000000" w:rsidRDefault="00AE54EE">
      <w:pPr>
        <w:ind w:hanging="900"/>
        <w:divId w:val="406420529"/>
        <w:rPr>
          <w:rFonts w:eastAsia="Times New Roman"/>
        </w:rPr>
      </w:pPr>
      <w:hyperlink r:id="rId33" w:history="1">
        <w:r>
          <w:rPr>
            <w:rStyle w:val="a3"/>
            <w:rFonts w:eastAsia="Times New Roman"/>
            <w:sz w:val="20"/>
            <w:szCs w:val="20"/>
          </w:rPr>
          <w:t xml:space="preserve">(4)(l) </w:t>
        </w:r>
      </w:hyperlink>
      <w:hyperlink r:id="rId34" w:history="1">
        <w:r>
          <w:rPr>
            <w:rStyle w:val="a3"/>
            <w:rFonts w:eastAsia="Times New Roman"/>
            <w:sz w:val="20"/>
            <w:szCs w:val="20"/>
          </w:rPr>
          <w:t>Form of 6.15% Global Note due 2</w:t>
        </w:r>
        <w:r>
          <w:rPr>
            <w:rStyle w:val="a3"/>
            <w:rFonts w:eastAsia="Times New Roman"/>
            <w:sz w:val="20"/>
            <w:szCs w:val="20"/>
          </w:rPr>
          <w:t>040, incorporated herein by reference to Exhibit 4.2 to Harris Corporation’s Current Report on Form 8-K filed with the SEC on December 3, 2010. (Commission File Number 1-3863)</w:t>
        </w:r>
      </w:hyperlink>
    </w:p>
    <w:p w:rsidR="00000000" w:rsidRDefault="00AE54EE">
      <w:pPr>
        <w:ind w:hanging="900"/>
        <w:divId w:val="539130414"/>
        <w:rPr>
          <w:rFonts w:eastAsia="Times New Roman"/>
        </w:rPr>
      </w:pPr>
      <w:hyperlink r:id="rId35" w:history="1">
        <w:r>
          <w:rPr>
            <w:rStyle w:val="a3"/>
            <w:rFonts w:eastAsia="Times New Roman"/>
            <w:sz w:val="20"/>
            <w:szCs w:val="20"/>
          </w:rPr>
          <w:t>(4)(m) Form of 5.054% Global Note due 2045, incorporated herein by reference to Exhibit 4.5 to Harris Corporation’s Current Report on Form 8-K filed with the SEC on April 27, 2015. (Commission File Number 1-3863)</w:t>
        </w:r>
      </w:hyperlink>
    </w:p>
    <w:p w:rsidR="00000000" w:rsidRDefault="00AE54EE">
      <w:pPr>
        <w:ind w:hanging="900"/>
        <w:divId w:val="1782530054"/>
        <w:rPr>
          <w:rFonts w:eastAsia="Times New Roman"/>
        </w:rPr>
      </w:pPr>
      <w:hyperlink r:id="rId36" w:history="1">
        <w:r>
          <w:rPr>
            <w:rStyle w:val="a3"/>
            <w:rFonts w:eastAsia="Times New Roman"/>
            <w:sz w:val="20"/>
            <w:szCs w:val="20"/>
          </w:rPr>
          <w:t>(4)(n) Registration Rights Agreement, dated as of July 2, 2019, by and among L3Harris Technologies, Inc. (f/k/a Harris Corporation), BofA Securities, Inc. and Morgan Stanley &amp; Co. LLC, incor</w:t>
        </w:r>
        <w:r>
          <w:rPr>
            <w:rStyle w:val="a3"/>
            <w:rFonts w:eastAsia="Times New Roman"/>
            <w:sz w:val="20"/>
            <w:szCs w:val="20"/>
          </w:rPr>
          <w:t>porated herein by reference to Exhibit 4.1 to L3Harris Technologies, Inc.’s Current Report on Form 8-K filed with the SEC on July 3, 2019. (Commission File Number 1-3863)</w:t>
        </w:r>
      </w:hyperlink>
    </w:p>
    <w:p w:rsidR="00000000" w:rsidRDefault="00AE54EE">
      <w:pPr>
        <w:ind w:hanging="900"/>
        <w:divId w:val="1220361854"/>
        <w:rPr>
          <w:rFonts w:eastAsia="Times New Roman"/>
        </w:rPr>
      </w:pPr>
      <w:hyperlink r:id="rId37" w:history="1">
        <w:r>
          <w:rPr>
            <w:rStyle w:val="a3"/>
            <w:rFonts w:eastAsia="Times New Roman"/>
            <w:sz w:val="20"/>
            <w:szCs w:val="20"/>
          </w:rPr>
          <w:t>(4)(o) Form of New L3Harris 3.850% 2023 Rule 144A Note, incorporated herein by reference to Exhibit 4.4 to L3Harris Technologies, Inc.’s Current Report on Form 8-K filed with the SEC on July 3, 2019. (Commission File Number 1-3863)</w:t>
        </w:r>
      </w:hyperlink>
    </w:p>
    <w:p w:rsidR="00000000" w:rsidRDefault="00AE54EE">
      <w:pPr>
        <w:ind w:hanging="900"/>
        <w:divId w:val="1898855759"/>
        <w:rPr>
          <w:rFonts w:eastAsia="Times New Roman"/>
        </w:rPr>
      </w:pPr>
      <w:hyperlink r:id="rId38" w:history="1">
        <w:r>
          <w:rPr>
            <w:rStyle w:val="a3"/>
            <w:rFonts w:eastAsia="Times New Roman"/>
            <w:sz w:val="20"/>
            <w:szCs w:val="20"/>
          </w:rPr>
          <w:t>(4)(p) Form of New L3Harris 3.850% 2023 Regulation S Note, incorporated herein by reference to Exhibit 4.5 to L3Harris Technologies, Inc.’s Current Report on Form 8-K filed with the S</w:t>
        </w:r>
        <w:r>
          <w:rPr>
            <w:rStyle w:val="a3"/>
            <w:rFonts w:eastAsia="Times New Roman"/>
            <w:sz w:val="20"/>
            <w:szCs w:val="20"/>
          </w:rPr>
          <w:t>EC on July 3, 2019. (Commission File Number 1-3863)</w:t>
        </w:r>
      </w:hyperlink>
    </w:p>
    <w:p w:rsidR="00000000" w:rsidRDefault="00AE54EE">
      <w:pPr>
        <w:ind w:hanging="900"/>
        <w:divId w:val="207184913"/>
        <w:rPr>
          <w:rFonts w:eastAsia="Times New Roman"/>
        </w:rPr>
      </w:pPr>
      <w:hyperlink r:id="rId39" w:history="1">
        <w:r>
          <w:rPr>
            <w:rStyle w:val="a3"/>
            <w:rFonts w:eastAsia="Times New Roman"/>
            <w:sz w:val="20"/>
            <w:szCs w:val="20"/>
          </w:rPr>
          <w:t xml:space="preserve">(4)(q) </w:t>
        </w:r>
      </w:hyperlink>
      <w:hyperlink r:id="rId40" w:history="1">
        <w:r>
          <w:rPr>
            <w:rStyle w:val="a3"/>
            <w:rFonts w:eastAsia="Times New Roman"/>
            <w:sz w:val="20"/>
            <w:szCs w:val="20"/>
          </w:rPr>
          <w:t>Form of New L3Harris 3.950% 2024 Rule 144A Note, incorporated herein by reference to Exhibit 4.6 to L3Harris Technologies, Inc.’s Current Report on Form 8-K filed wi</w:t>
        </w:r>
        <w:r>
          <w:rPr>
            <w:rStyle w:val="a3"/>
            <w:rFonts w:eastAsia="Times New Roman"/>
            <w:sz w:val="20"/>
            <w:szCs w:val="20"/>
          </w:rPr>
          <w:t>th the SEC on July 3, 2019. (Commission File Number 1-3863)</w:t>
        </w:r>
      </w:hyperlink>
    </w:p>
    <w:p w:rsidR="00000000" w:rsidRDefault="00AE54EE">
      <w:pPr>
        <w:ind w:hanging="900"/>
        <w:divId w:val="1962490924"/>
        <w:rPr>
          <w:rFonts w:eastAsia="Times New Roman"/>
        </w:rPr>
      </w:pPr>
      <w:hyperlink r:id="rId41" w:history="1">
        <w:r>
          <w:rPr>
            <w:rStyle w:val="a3"/>
            <w:rFonts w:eastAsia="Times New Roman"/>
            <w:sz w:val="20"/>
            <w:szCs w:val="20"/>
          </w:rPr>
          <w:t>(4)(r) Form of New L3Harris 3.950% 2024 Regulation S Note, incorporated herein by reference to Exhibit 4.</w:t>
        </w:r>
        <w:r>
          <w:rPr>
            <w:rStyle w:val="a3"/>
            <w:rFonts w:eastAsia="Times New Roman"/>
            <w:sz w:val="20"/>
            <w:szCs w:val="20"/>
          </w:rPr>
          <w:t>7 to L3Harris Technologies, Inc.’s Current Report on Form 8-K filed with the SEC on July 3, 2019. (Commission File Number 1-3863)</w:t>
        </w:r>
      </w:hyperlink>
    </w:p>
    <w:p w:rsidR="00000000" w:rsidRDefault="00AE54EE">
      <w:pPr>
        <w:ind w:hanging="900"/>
        <w:divId w:val="94442165"/>
        <w:rPr>
          <w:rFonts w:eastAsia="Times New Roman"/>
        </w:rPr>
      </w:pPr>
      <w:hyperlink r:id="rId42" w:history="1">
        <w:r>
          <w:rPr>
            <w:rStyle w:val="a3"/>
            <w:rFonts w:eastAsia="Times New Roman"/>
            <w:sz w:val="20"/>
            <w:szCs w:val="20"/>
          </w:rPr>
          <w:t xml:space="preserve">(4)(s) Form of New L3Harris 3.850% </w:t>
        </w:r>
        <w:r>
          <w:rPr>
            <w:rStyle w:val="a3"/>
            <w:rFonts w:eastAsia="Times New Roman"/>
            <w:sz w:val="20"/>
            <w:szCs w:val="20"/>
          </w:rPr>
          <w:t>2026 Rule 144A Note, incorporated herein by reference to Exhibit 4.8 to L3Harris Technologies, Inc.’s Current Report on Form 8-K filed with the SEC on July 3, 2019. (Commission File Number 1-3863)</w:t>
        </w:r>
      </w:hyperlink>
    </w:p>
    <w:p w:rsidR="00000000" w:rsidRDefault="00AE54EE">
      <w:pPr>
        <w:ind w:hanging="900"/>
        <w:divId w:val="1061175571"/>
        <w:rPr>
          <w:rFonts w:eastAsia="Times New Roman"/>
        </w:rPr>
      </w:pPr>
      <w:hyperlink r:id="rId43" w:history="1">
        <w:r>
          <w:rPr>
            <w:rStyle w:val="a3"/>
            <w:rFonts w:eastAsia="Times New Roman"/>
            <w:sz w:val="20"/>
            <w:szCs w:val="20"/>
          </w:rPr>
          <w:t xml:space="preserve">(4)(t) </w:t>
        </w:r>
      </w:hyperlink>
      <w:hyperlink r:id="rId44" w:history="1">
        <w:r>
          <w:rPr>
            <w:rStyle w:val="a3"/>
            <w:rFonts w:eastAsia="Times New Roman"/>
            <w:sz w:val="20"/>
            <w:szCs w:val="20"/>
          </w:rPr>
          <w:t>Form of New L3Harris 3.850% 2026 Re</w:t>
        </w:r>
        <w:r>
          <w:rPr>
            <w:rStyle w:val="a3"/>
            <w:rFonts w:eastAsia="Times New Roman"/>
            <w:sz w:val="20"/>
            <w:szCs w:val="20"/>
          </w:rPr>
          <w:t>gulation S Note, incorporated herein by reference to Exhibit 4.9 to L3Harris Technologies, Inc.’s Current Report on Form 8-K filed with the SEC on July 3, 2019. (Commission File Number 1-3863)</w:t>
        </w:r>
      </w:hyperlink>
    </w:p>
    <w:p w:rsidR="00000000" w:rsidRDefault="00AE54EE">
      <w:pPr>
        <w:ind w:hanging="900"/>
        <w:divId w:val="129178529"/>
        <w:rPr>
          <w:rFonts w:eastAsia="Times New Roman"/>
        </w:rPr>
      </w:pPr>
      <w:hyperlink r:id="rId45" w:history="1">
        <w:r>
          <w:rPr>
            <w:rStyle w:val="a3"/>
            <w:rFonts w:eastAsia="Times New Roman"/>
            <w:sz w:val="20"/>
            <w:szCs w:val="20"/>
          </w:rPr>
          <w:t>(4)(u) Form of New L3Harris 4.400% 2028 Rule 144A Note, incorporated herein by reference to Exhibit 4.10 to L3Harris Technologies, Inc.’s Current Report on Form 8-K filed with the SEC on July 3, 2019. (Commission File Number 1-</w:t>
        </w:r>
        <w:r>
          <w:rPr>
            <w:rStyle w:val="a3"/>
            <w:rFonts w:eastAsia="Times New Roman"/>
            <w:sz w:val="20"/>
            <w:szCs w:val="20"/>
          </w:rPr>
          <w:t>3863)</w:t>
        </w:r>
      </w:hyperlink>
    </w:p>
    <w:p w:rsidR="00000000" w:rsidRDefault="00AE54EE">
      <w:pPr>
        <w:ind w:hanging="900"/>
        <w:divId w:val="1964726454"/>
        <w:rPr>
          <w:rFonts w:eastAsia="Times New Roman"/>
        </w:rPr>
      </w:pPr>
      <w:hyperlink r:id="rId46" w:history="1">
        <w:r>
          <w:rPr>
            <w:rStyle w:val="a3"/>
            <w:rFonts w:eastAsia="Times New Roman"/>
            <w:sz w:val="20"/>
            <w:szCs w:val="20"/>
          </w:rPr>
          <w:t xml:space="preserve">(4)(v) </w:t>
        </w:r>
      </w:hyperlink>
      <w:hyperlink r:id="rId47" w:history="1">
        <w:r>
          <w:rPr>
            <w:rStyle w:val="a3"/>
            <w:rFonts w:eastAsia="Times New Roman"/>
            <w:sz w:val="20"/>
            <w:szCs w:val="20"/>
          </w:rPr>
          <w:t>Form of New L3Harris 4.400% 2028 Regulation S Note, incorporated herein by reference to Exhibit 4.11 to L3Harris Technologies, Inc.’s Current Report on Form 8-K filed with the SEC on July 3, 2019. (Commission File Number 1-</w:t>
        </w:r>
        <w:r>
          <w:rPr>
            <w:rStyle w:val="a3"/>
            <w:rFonts w:eastAsia="Times New Roman"/>
            <w:sz w:val="20"/>
            <w:szCs w:val="20"/>
          </w:rPr>
          <w:t>3863)</w:t>
        </w:r>
      </w:hyperlink>
    </w:p>
    <w:p w:rsidR="00000000" w:rsidRDefault="00AE54EE">
      <w:pPr>
        <w:ind w:hanging="900"/>
        <w:divId w:val="1625497564"/>
        <w:rPr>
          <w:rFonts w:eastAsia="Times New Roman"/>
        </w:rPr>
      </w:pPr>
      <w:r>
        <w:rPr>
          <w:rFonts w:eastAsia="Times New Roman"/>
          <w:color w:val="000000"/>
          <w:sz w:val="20"/>
          <w:szCs w:val="20"/>
        </w:rPr>
        <w:t>(4)(w) Pursuant to Regulation S-K, Item 601(b)(4)(iii)(A), L3Harris Technologies, Inc. by this filing agrees, upon request, to furnish to the SEC a copy of other instruments defining the rights of holders of long-term debt of L3Harris Technologies, I</w:t>
      </w:r>
      <w:r>
        <w:rPr>
          <w:rFonts w:eastAsia="Times New Roman"/>
          <w:color w:val="000000"/>
          <w:sz w:val="20"/>
          <w:szCs w:val="20"/>
        </w:rPr>
        <w:t>nc. or L3 Technologies, Inc.</w:t>
      </w:r>
    </w:p>
    <w:p w:rsidR="00000000" w:rsidRDefault="00AE54EE">
      <w:pPr>
        <w:ind w:hanging="900"/>
        <w:divId w:val="1179151912"/>
        <w:rPr>
          <w:rFonts w:eastAsia="Times New Roman"/>
        </w:rPr>
      </w:pPr>
      <w:hyperlink r:id="rId48" w:history="1">
        <w:r>
          <w:rPr>
            <w:rStyle w:val="a3"/>
            <w:rFonts w:eastAsia="Times New Roman"/>
            <w:sz w:val="20"/>
            <w:szCs w:val="20"/>
          </w:rPr>
          <w:t>(4)(x) Description of L3Harris Technologies, Inc.’s Securities, incorporated by reference to Exhibit (4)(z) to L3Harri</w:t>
        </w:r>
        <w:r>
          <w:rPr>
            <w:rStyle w:val="a3"/>
            <w:rFonts w:eastAsia="Times New Roman"/>
            <w:sz w:val="20"/>
            <w:szCs w:val="20"/>
          </w:rPr>
          <w:t xml:space="preserve">s Technologies, Inc.’s Annual Report on Form 10-K for the fiscal year ended June 28, 2019. (Commission File Number 1-3863) </w:t>
        </w:r>
      </w:hyperlink>
    </w:p>
    <w:p w:rsidR="00000000" w:rsidRDefault="00AE54EE">
      <w:pPr>
        <w:ind w:hanging="900"/>
        <w:divId w:val="566184890"/>
        <w:rPr>
          <w:rFonts w:eastAsia="Times New Roman"/>
        </w:rPr>
      </w:pPr>
      <w:hyperlink r:id="rId49" w:history="1">
        <w:r>
          <w:rPr>
            <w:rStyle w:val="a3"/>
            <w:rFonts w:eastAsia="Times New Roman"/>
            <w:sz w:val="20"/>
            <w:szCs w:val="20"/>
          </w:rPr>
          <w:t>*(10)(a) Form of Director and Officer In</w:t>
        </w:r>
        <w:r>
          <w:rPr>
            <w:rStyle w:val="a3"/>
            <w:rFonts w:eastAsia="Times New Roman"/>
            <w:sz w:val="20"/>
            <w:szCs w:val="20"/>
          </w:rPr>
          <w:t>demnification Agreement, for use on or after June 29, 2019, incorporated herein by reference to Exhibit 10.5 to L3Harris Technologies, Inc.’s Current Report on Form 8-K filed with the SEC on July 1, 2019. (Commission File Number 1-3863)</w:t>
        </w:r>
      </w:hyperlink>
      <w:r>
        <w:rPr>
          <w:rFonts w:eastAsia="Times New Roman"/>
          <w:color w:val="000000"/>
          <w:sz w:val="20"/>
          <w:szCs w:val="20"/>
        </w:rPr>
        <w:t xml:space="preserve"> </w:t>
      </w:r>
    </w:p>
    <w:p w:rsidR="00000000" w:rsidRDefault="00AE54EE">
      <w:pPr>
        <w:ind w:hanging="900"/>
        <w:divId w:val="1173957626"/>
        <w:rPr>
          <w:rFonts w:eastAsia="Times New Roman"/>
        </w:rPr>
      </w:pPr>
      <w:hyperlink r:id="rId50" w:history="1">
        <w:r>
          <w:rPr>
            <w:rStyle w:val="a3"/>
            <w:rFonts w:eastAsia="Times New Roman"/>
            <w:sz w:val="20"/>
            <w:szCs w:val="20"/>
          </w:rPr>
          <w:t>*(10)(b) Form of Executive Change in Control Severance Agreement, effective as of, and for use after, April 22, 2010, incorporated herein by reference to Exhibit 10(o) to Harr</w:t>
        </w:r>
        <w:r>
          <w:rPr>
            <w:rStyle w:val="a3"/>
            <w:rFonts w:eastAsia="Times New Roman"/>
            <w:sz w:val="20"/>
            <w:szCs w:val="20"/>
          </w:rPr>
          <w:t>is Corporation’s Quarterly Report on Form 10-Q for the fiscal quarter ended October 1, 2010. (Commission File Number 1-3863)</w:t>
        </w:r>
      </w:hyperlink>
    </w:p>
    <w:p w:rsidR="00000000" w:rsidRDefault="00AE54EE">
      <w:pPr>
        <w:ind w:firstLine="450"/>
        <w:jc w:val="center"/>
        <w:divId w:val="501360006"/>
        <w:rPr>
          <w:rFonts w:eastAsia="Times New Roman"/>
        </w:rPr>
      </w:pPr>
      <w:r>
        <w:rPr>
          <w:rFonts w:eastAsia="Times New Roman"/>
          <w:color w:val="000000"/>
          <w:sz w:val="20"/>
          <w:szCs w:val="20"/>
        </w:rPr>
        <w:t>130</w:t>
      </w:r>
    </w:p>
    <w:p w:rsidR="00000000" w:rsidRDefault="00AE54EE">
      <w:pPr>
        <w:rPr>
          <w:rFonts w:eastAsia="Times New Roman"/>
        </w:rPr>
      </w:pPr>
      <w:r>
        <w:rPr>
          <w:rFonts w:eastAsia="Times New Roman"/>
        </w:rPr>
        <w:pict>
          <v:rect id="_x0000_i1158" style="width:0;height:1.5pt" o:hralign="center" o:hrstd="t" o:hr="t" fillcolor="#a0a0a0" stroked="f"/>
        </w:pict>
      </w:r>
    </w:p>
    <w:p w:rsidR="00000000" w:rsidRDefault="00AE54EE">
      <w:pPr>
        <w:ind w:firstLine="450"/>
        <w:divId w:val="1876578922"/>
        <w:rPr>
          <w:rFonts w:eastAsia="Times New Roman"/>
        </w:rPr>
      </w:pPr>
    </w:p>
    <w:p w:rsidR="00000000" w:rsidRDefault="00AE54EE">
      <w:pPr>
        <w:ind w:hanging="900"/>
        <w:divId w:val="1628197255"/>
        <w:rPr>
          <w:rFonts w:eastAsia="Times New Roman"/>
        </w:rPr>
      </w:pPr>
      <w:hyperlink r:id="rId51" w:history="1">
        <w:r>
          <w:rPr>
            <w:rStyle w:val="a3"/>
            <w:rFonts w:eastAsia="Times New Roman"/>
            <w:sz w:val="20"/>
            <w:szCs w:val="20"/>
          </w:rPr>
          <w:t>*(10)(c) L3Harris Technologies, Inc. Executive Change in Control Severance Plan, effective as of March 1, 202</w:t>
        </w:r>
        <w:r>
          <w:rPr>
            <w:rStyle w:val="a3"/>
            <w:rFonts w:eastAsia="Times New Roman"/>
            <w:sz w:val="20"/>
            <w:szCs w:val="20"/>
          </w:rPr>
          <w:t>0, incorporated herein by reference to Exhibit 10.1 to L3Harris Technologies, Inc.’s Current Report on Form 8-K filed with the SEC on March 4, 2020. (Commission File Number 1-3863)</w:t>
        </w:r>
      </w:hyperlink>
    </w:p>
    <w:p w:rsidR="00000000" w:rsidRDefault="00AE54EE">
      <w:pPr>
        <w:ind w:hanging="900"/>
        <w:divId w:val="1134563663"/>
        <w:rPr>
          <w:rFonts w:eastAsia="Times New Roman"/>
        </w:rPr>
      </w:pPr>
      <w:hyperlink r:id="rId52" w:history="1">
        <w:r>
          <w:rPr>
            <w:rStyle w:val="a3"/>
            <w:rFonts w:eastAsia="Times New Roman"/>
            <w:sz w:val="20"/>
            <w:szCs w:val="20"/>
          </w:rPr>
          <w:t>*(10)(d) L3Harris Technologies, Inc. Severance Pay Plan, effective as of March 1, 2020, incorporated herein by reference to Exhibit 10.2 to L3Harris Technologies, Inc.’s Current Report on Form 8-K filed with the SEC on M</w:t>
        </w:r>
        <w:r>
          <w:rPr>
            <w:rStyle w:val="a3"/>
            <w:rFonts w:eastAsia="Times New Roman"/>
            <w:sz w:val="20"/>
            <w:szCs w:val="20"/>
          </w:rPr>
          <w:t>arch 4, 2020. (Commission File Number 1-3863)</w:t>
        </w:r>
      </w:hyperlink>
    </w:p>
    <w:p w:rsidR="00000000" w:rsidRDefault="00AE54EE">
      <w:pPr>
        <w:ind w:hanging="900"/>
        <w:divId w:val="488135058"/>
        <w:rPr>
          <w:rFonts w:eastAsia="Times New Roman"/>
        </w:rPr>
      </w:pPr>
      <w:hyperlink r:id="rId53" w:history="1">
        <w:r>
          <w:rPr>
            <w:rStyle w:val="a3"/>
            <w:rFonts w:eastAsia="Times New Roman"/>
            <w:sz w:val="20"/>
            <w:szCs w:val="20"/>
          </w:rPr>
          <w:t xml:space="preserve">*(10)(e) </w:t>
        </w:r>
      </w:hyperlink>
      <w:hyperlink r:id="rId54" w:history="1">
        <w:r>
          <w:rPr>
            <w:rStyle w:val="a3"/>
            <w:rFonts w:eastAsia="Times New Roman"/>
            <w:sz w:val="20"/>
            <w:szCs w:val="20"/>
          </w:rPr>
          <w:t>L3Harris Technologies, Inc. Annual Incentive Plan (Amended and Restated Effective as of August 28, 2020), incorporated herein by reference to Exhibit 10.1 to L3Harris Technologies, Inc.’s Current Report on Form 8-K filed with the SEC on September 1, 2020</w:t>
        </w:r>
        <w:r>
          <w:rPr>
            <w:rStyle w:val="a3"/>
            <w:rFonts w:eastAsia="Times New Roman"/>
            <w:sz w:val="20"/>
            <w:szCs w:val="20"/>
          </w:rPr>
          <w:t>. (Commission File Number 1-3863)</w:t>
        </w:r>
      </w:hyperlink>
    </w:p>
    <w:p w:rsidR="00000000" w:rsidRDefault="00AE54EE">
      <w:pPr>
        <w:ind w:hanging="900"/>
        <w:divId w:val="1771730285"/>
        <w:rPr>
          <w:rFonts w:eastAsia="Times New Roman"/>
        </w:rPr>
      </w:pPr>
      <w:hyperlink r:id="rId55" w:history="1">
        <w:r>
          <w:rPr>
            <w:rStyle w:val="a3"/>
            <w:rFonts w:eastAsia="Times New Roman"/>
            <w:sz w:val="20"/>
            <w:szCs w:val="20"/>
          </w:rPr>
          <w:t>*(10)(f) (i) 2005 Equity Incentive Plan (As Amended and Restated Effective August 27, 2010), incorporated herein by referen</w:t>
        </w:r>
        <w:r>
          <w:rPr>
            <w:rStyle w:val="a3"/>
            <w:rFonts w:eastAsia="Times New Roman"/>
            <w:sz w:val="20"/>
            <w:szCs w:val="20"/>
          </w:rPr>
          <w:t>ce to Exhibit 10.4 to Harris Corporation’s Current Report on Form 8-K filed with the SEC on September 2, 2010. (Commission File Number 1-3863)</w:t>
        </w:r>
      </w:hyperlink>
    </w:p>
    <w:p w:rsidR="00000000" w:rsidRDefault="00AE54EE">
      <w:pPr>
        <w:divId w:val="234315105"/>
        <w:rPr>
          <w:rFonts w:eastAsia="Times New Roman"/>
        </w:rPr>
      </w:pPr>
      <w:hyperlink r:id="rId56" w:history="1">
        <w:r>
          <w:rPr>
            <w:rStyle w:val="a3"/>
            <w:rFonts w:eastAsia="Times New Roman"/>
            <w:sz w:val="20"/>
            <w:szCs w:val="20"/>
          </w:rPr>
          <w:t xml:space="preserve">(ii) Form of Stock </w:t>
        </w:r>
        <w:r>
          <w:rPr>
            <w:rStyle w:val="a3"/>
            <w:rFonts w:eastAsia="Times New Roman"/>
            <w:sz w:val="20"/>
            <w:szCs w:val="20"/>
          </w:rPr>
          <w:t>Option Award Agreement Terms and Conditions (as of August 26, 2011) for grants under the 2005 Equity Incentive Plan (As Amended and Restated Effective August 27, 2010), incorporated herein by reference to Exhibit 10.1 to Harris Corporation’s Current Report</w:t>
        </w:r>
        <w:r>
          <w:rPr>
            <w:rStyle w:val="a3"/>
            <w:rFonts w:eastAsia="Times New Roman"/>
            <w:sz w:val="20"/>
            <w:szCs w:val="20"/>
          </w:rPr>
          <w:t xml:space="preserve"> on Form 8-K filed with the SEC on August 31, 2011. (Commission File Number 1-3863)</w:t>
        </w:r>
      </w:hyperlink>
    </w:p>
    <w:p w:rsidR="00000000" w:rsidRDefault="00AE54EE">
      <w:pPr>
        <w:divId w:val="85853542"/>
        <w:rPr>
          <w:rFonts w:eastAsia="Times New Roman"/>
        </w:rPr>
      </w:pPr>
      <w:hyperlink r:id="rId57" w:history="1">
        <w:r>
          <w:rPr>
            <w:rStyle w:val="a3"/>
            <w:rFonts w:eastAsia="Times New Roman"/>
            <w:sz w:val="20"/>
            <w:szCs w:val="20"/>
          </w:rPr>
          <w:t>(iii) Form of Stock Option Award Agreement Terms and Conditions (as of Ju</w:t>
        </w:r>
        <w:r>
          <w:rPr>
            <w:rStyle w:val="a3"/>
            <w:rFonts w:eastAsia="Times New Roman"/>
            <w:sz w:val="20"/>
            <w:szCs w:val="20"/>
          </w:rPr>
          <w:t>ne 29, 2013) for grants under the 2005 Equity Incentive Plan (As Amended and Restated Effective August 27, 2010), incorporated herein by reference to Exhibit 10(a) to Harris Corporation’s Quarterly Report on Form 10-Q for the fiscal quarter ended September</w:t>
        </w:r>
        <w:r>
          <w:rPr>
            <w:rStyle w:val="a3"/>
            <w:rFonts w:eastAsia="Times New Roman"/>
            <w:sz w:val="20"/>
            <w:szCs w:val="20"/>
          </w:rPr>
          <w:t> 27, 2013. (Commission File Number 1-3863)</w:t>
        </w:r>
      </w:hyperlink>
    </w:p>
    <w:p w:rsidR="00000000" w:rsidRDefault="00AE54EE">
      <w:pPr>
        <w:divId w:val="875778355"/>
        <w:rPr>
          <w:rFonts w:eastAsia="Times New Roman"/>
        </w:rPr>
      </w:pPr>
      <w:hyperlink r:id="rId58" w:history="1">
        <w:r>
          <w:rPr>
            <w:rStyle w:val="a3"/>
            <w:rFonts w:eastAsia="Times New Roman"/>
            <w:sz w:val="20"/>
            <w:szCs w:val="20"/>
          </w:rPr>
          <w:t xml:space="preserve">(iv) Form of Performance Stock Option Award Agreement Terms and Conditions (as of May 27, 2015) for grants under </w:t>
        </w:r>
        <w:r>
          <w:rPr>
            <w:rStyle w:val="a3"/>
            <w:rFonts w:eastAsia="Times New Roman"/>
            <w:sz w:val="20"/>
            <w:szCs w:val="20"/>
          </w:rPr>
          <w:t>the 2005 Equity Incentive Plan (As Amended and Restated Effective August 27, 2010), incorporated herein by reference to Exhibit 10(e)(xi) to Harris Corporation’s Annual Report on Form 10-K for the fiscal year ended July 3, 2015. (Commission File Number 1-3</w:t>
        </w:r>
        <w:r>
          <w:rPr>
            <w:rStyle w:val="a3"/>
            <w:rFonts w:eastAsia="Times New Roman"/>
            <w:sz w:val="20"/>
            <w:szCs w:val="20"/>
          </w:rPr>
          <w:t>863)</w:t>
        </w:r>
      </w:hyperlink>
    </w:p>
    <w:p w:rsidR="00000000" w:rsidRDefault="00AE54EE">
      <w:pPr>
        <w:ind w:hanging="900"/>
        <w:divId w:val="661815217"/>
        <w:rPr>
          <w:rFonts w:eastAsia="Times New Roman"/>
        </w:rPr>
      </w:pPr>
      <w:hyperlink r:id="rId59" w:history="1">
        <w:r>
          <w:rPr>
            <w:rStyle w:val="a3"/>
            <w:rFonts w:eastAsia="Times New Roman"/>
            <w:sz w:val="20"/>
            <w:szCs w:val="20"/>
          </w:rPr>
          <w:t>*(10)(g) (i) 2015 Equity Incentive Plan, incorporated herein by reference to Exhibit 10.1 to Harris Corporation’s Current Report on Form 8-K filed with the S</w:t>
        </w:r>
        <w:r>
          <w:rPr>
            <w:rStyle w:val="a3"/>
            <w:rFonts w:eastAsia="Times New Roman"/>
            <w:sz w:val="20"/>
            <w:szCs w:val="20"/>
          </w:rPr>
          <w:t>EC on October 28, 2015. (Commission File Number 1-3863)</w:t>
        </w:r>
      </w:hyperlink>
    </w:p>
    <w:p w:rsidR="00000000" w:rsidRDefault="00AE54EE">
      <w:pPr>
        <w:divId w:val="1510832522"/>
        <w:rPr>
          <w:rFonts w:eastAsia="Times New Roman"/>
        </w:rPr>
      </w:pPr>
      <w:hyperlink r:id="rId60" w:history="1">
        <w:r>
          <w:rPr>
            <w:rStyle w:val="a3"/>
            <w:rFonts w:eastAsia="Times New Roman"/>
            <w:sz w:val="20"/>
            <w:szCs w:val="20"/>
          </w:rPr>
          <w:t xml:space="preserve">(ii) 2015 Equity Incentive Plan Stock Option Award Agreement Terms and Conditions (as of October 23, </w:t>
        </w:r>
        <w:r>
          <w:rPr>
            <w:rStyle w:val="a3"/>
            <w:rFonts w:eastAsia="Times New Roman"/>
            <w:sz w:val="20"/>
            <w:szCs w:val="20"/>
          </w:rPr>
          <w:t>2015), incorporated herein by reference to Exhibit 10(f) to Harris Corporation’s Quarterly Report on Form 10-Q for the fiscal quarter ended January 1, 2016. (Commission File Number 1-3863)</w:t>
        </w:r>
      </w:hyperlink>
    </w:p>
    <w:p w:rsidR="00000000" w:rsidRDefault="00AE54EE">
      <w:pPr>
        <w:divId w:val="1355305968"/>
        <w:rPr>
          <w:rFonts w:eastAsia="Times New Roman"/>
        </w:rPr>
      </w:pPr>
      <w:hyperlink r:id="rId61" w:history="1">
        <w:r>
          <w:rPr>
            <w:rStyle w:val="a3"/>
            <w:rFonts w:eastAsia="Times New Roman"/>
            <w:sz w:val="20"/>
            <w:szCs w:val="20"/>
          </w:rPr>
          <w:t>(iii) Performance Unit Award Agreement Terms and Conditions (August 1, 2019 CEO-COO Award), incorporated herein by reference to Exhibit 10.3 to L3Harris Technologies, Inc.’s Quarterly Report on Form 10-Q for the fi</w:t>
        </w:r>
        <w:r>
          <w:rPr>
            <w:rStyle w:val="a3"/>
            <w:rFonts w:eastAsia="Times New Roman"/>
            <w:sz w:val="20"/>
            <w:szCs w:val="20"/>
          </w:rPr>
          <w:t>scal quarter ended September 27, 2019. (Commission File Number 1-3863)</w:t>
        </w:r>
      </w:hyperlink>
      <w:r>
        <w:rPr>
          <w:rFonts w:eastAsia="Times New Roman"/>
          <w:color w:val="000000"/>
          <w:sz w:val="20"/>
          <w:szCs w:val="20"/>
        </w:rPr>
        <w:t xml:space="preserve"> </w:t>
      </w:r>
    </w:p>
    <w:p w:rsidR="00000000" w:rsidRDefault="00AE54EE">
      <w:pPr>
        <w:divId w:val="1027751375"/>
        <w:rPr>
          <w:rFonts w:eastAsia="Times New Roman"/>
        </w:rPr>
      </w:pPr>
      <w:hyperlink r:id="rId62" w:history="1">
        <w:r>
          <w:rPr>
            <w:rStyle w:val="a3"/>
            <w:rFonts w:eastAsia="Times New Roman"/>
            <w:sz w:val="20"/>
            <w:szCs w:val="20"/>
          </w:rPr>
          <w:t>(iv) Performance Unit Award Agreement Terms and Conditions (August 1, 2019 M</w:t>
        </w:r>
        <w:r>
          <w:rPr>
            <w:rStyle w:val="a3"/>
            <w:rFonts w:eastAsia="Times New Roman"/>
            <w:sz w:val="20"/>
            <w:szCs w:val="20"/>
          </w:rPr>
          <w:t>omentum Award), incorporated herein by reference to Exhibit 10.4 to L3Harris Technologies, Inc.’s Quarterly Report on Form 10-Q for the fiscal quarter ended September 27, 2019. (Commission File Number 1-3863)</w:t>
        </w:r>
      </w:hyperlink>
    </w:p>
    <w:p w:rsidR="00000000" w:rsidRDefault="00AE54EE">
      <w:pPr>
        <w:divId w:val="1363240545"/>
        <w:rPr>
          <w:rFonts w:eastAsia="Times New Roman"/>
        </w:rPr>
      </w:pPr>
      <w:hyperlink r:id="rId63" w:history="1">
        <w:r>
          <w:rPr>
            <w:rStyle w:val="a3"/>
            <w:rFonts w:eastAsia="Times New Roman"/>
            <w:sz w:val="20"/>
            <w:szCs w:val="20"/>
          </w:rPr>
          <w:t xml:space="preserve">(v) Performance Stock Option Award Agreement Terms and Conditions (August 1, 2019 CEO-COO Award), incorporated herein by reference to Exhibit 10.5 </w:t>
        </w:r>
        <w:r>
          <w:rPr>
            <w:rStyle w:val="a3"/>
            <w:rFonts w:eastAsia="Times New Roman"/>
            <w:sz w:val="20"/>
            <w:szCs w:val="20"/>
          </w:rPr>
          <w:t>to L3Harris Technologies, Inc.’s Quarterly Report on Form 10-Q for the fiscal quarter ended September 27, 2019. (Commission File Number 1-3863)</w:t>
        </w:r>
      </w:hyperlink>
    </w:p>
    <w:p w:rsidR="00000000" w:rsidRDefault="00AE54EE">
      <w:pPr>
        <w:divId w:val="812526803"/>
        <w:rPr>
          <w:rFonts w:eastAsia="Times New Roman"/>
        </w:rPr>
      </w:pPr>
      <w:hyperlink r:id="rId64" w:history="1">
        <w:r>
          <w:rPr>
            <w:rStyle w:val="a3"/>
            <w:rFonts w:eastAsia="Times New Roman"/>
            <w:sz w:val="20"/>
            <w:szCs w:val="20"/>
          </w:rPr>
          <w:t>(vi)</w:t>
        </w:r>
        <w:r>
          <w:rPr>
            <w:rStyle w:val="a3"/>
            <w:rFonts w:eastAsia="Times New Roman"/>
            <w:sz w:val="20"/>
            <w:szCs w:val="20"/>
          </w:rPr>
          <w:t xml:space="preserve"> Performance Stock Option Award Agreement Terms and Conditions (August 1, 2019 Momentum Award), incorporated herein by reference to Exhibit 10.6 to L3Harris Technologies, Inc.’s Quarterly Report on Form 10-Q for the fiscal quarter ended September 27, 2019.</w:t>
        </w:r>
        <w:r>
          <w:rPr>
            <w:rStyle w:val="a3"/>
            <w:rFonts w:eastAsia="Times New Roman"/>
            <w:sz w:val="20"/>
            <w:szCs w:val="20"/>
          </w:rPr>
          <w:t xml:space="preserve"> (Commission File Number 1-3863)</w:t>
        </w:r>
      </w:hyperlink>
    </w:p>
    <w:p w:rsidR="00000000" w:rsidRDefault="00AE54EE">
      <w:pPr>
        <w:divId w:val="650255891"/>
        <w:rPr>
          <w:rFonts w:eastAsia="Times New Roman"/>
        </w:rPr>
      </w:pPr>
      <w:hyperlink r:id="rId65" w:history="1">
        <w:r>
          <w:rPr>
            <w:rStyle w:val="a3"/>
            <w:rFonts w:eastAsia="Times New Roman"/>
            <w:sz w:val="20"/>
            <w:szCs w:val="20"/>
          </w:rPr>
          <w:t>(vii) Performance Stock Option Award Agreement Terms and Conditions (August 1, 2019 Integration Award), incorporate</w:t>
        </w:r>
        <w:r>
          <w:rPr>
            <w:rStyle w:val="a3"/>
            <w:rFonts w:eastAsia="Times New Roman"/>
            <w:sz w:val="20"/>
            <w:szCs w:val="20"/>
          </w:rPr>
          <w:t xml:space="preserve">d herein by reference to Exhibit 10.7 to L3Harris Technologies, Inc.’s Quarterly Report on Form 10-Q for the fiscal quarter ended September 27, 2019. (Commission File Number 1-3863) </w:t>
        </w:r>
      </w:hyperlink>
    </w:p>
    <w:p w:rsidR="00000000" w:rsidRDefault="00AE54EE">
      <w:pPr>
        <w:divId w:val="1246374791"/>
        <w:rPr>
          <w:rFonts w:eastAsia="Times New Roman"/>
        </w:rPr>
      </w:pPr>
      <w:hyperlink r:id="rId66" w:history="1">
        <w:r>
          <w:rPr>
            <w:rStyle w:val="a3"/>
            <w:rFonts w:eastAsia="Times New Roman"/>
            <w:sz w:val="20"/>
            <w:szCs w:val="20"/>
          </w:rPr>
          <w:t>(viii) Restricted Unit Award Agreement Terms and Conditions (August 1, 2019 Integration/Retention/Fiscal Transition Period Award), incorporated herein by reference to Exhibit 10.8 to L3Harris Technologies, Inc.’s Quarterl</w:t>
        </w:r>
        <w:r>
          <w:rPr>
            <w:rStyle w:val="a3"/>
            <w:rFonts w:eastAsia="Times New Roman"/>
            <w:sz w:val="20"/>
            <w:szCs w:val="20"/>
          </w:rPr>
          <w:t xml:space="preserve">y Report on Form 10-Q for the fiscal quarter ended September 27, 2019. (Commission File Number 1-3863) </w:t>
        </w:r>
      </w:hyperlink>
    </w:p>
    <w:p w:rsidR="00000000" w:rsidRDefault="00AE54EE">
      <w:pPr>
        <w:divId w:val="1589656276"/>
        <w:rPr>
          <w:rFonts w:eastAsia="Times New Roman"/>
        </w:rPr>
      </w:pPr>
      <w:hyperlink r:id="rId67" w:history="1">
        <w:r>
          <w:rPr>
            <w:rStyle w:val="a3"/>
            <w:rFonts w:eastAsia="Times New Roman"/>
            <w:sz w:val="20"/>
            <w:szCs w:val="20"/>
          </w:rPr>
          <w:t>(ix) Restricted Unit Award Agreement Terms a</w:t>
        </w:r>
        <w:r>
          <w:rPr>
            <w:rStyle w:val="a3"/>
            <w:rFonts w:eastAsia="Times New Roman"/>
            <w:sz w:val="20"/>
            <w:szCs w:val="20"/>
          </w:rPr>
          <w:t xml:space="preserve">nd Conditions (New Hire/Other Award as of August 1, 2019), incorporated herein by reference to Exhibit 10.9 to L3Harris Technologies, Inc.’s Quarterly Report on Form 10-Q for the fiscal quarter ended September 27, 2019. (Commission File Number 1-3863) </w:t>
        </w:r>
      </w:hyperlink>
    </w:p>
    <w:p w:rsidR="00000000" w:rsidRDefault="00AE54EE">
      <w:pPr>
        <w:ind w:firstLine="450"/>
        <w:jc w:val="center"/>
        <w:divId w:val="2132697876"/>
        <w:rPr>
          <w:rFonts w:eastAsia="Times New Roman"/>
        </w:rPr>
      </w:pPr>
      <w:r>
        <w:rPr>
          <w:rFonts w:eastAsia="Times New Roman"/>
          <w:color w:val="000000"/>
          <w:sz w:val="20"/>
          <w:szCs w:val="20"/>
        </w:rPr>
        <w:t>131</w:t>
      </w:r>
    </w:p>
    <w:p w:rsidR="00000000" w:rsidRDefault="00AE54EE">
      <w:pPr>
        <w:rPr>
          <w:rFonts w:eastAsia="Times New Roman"/>
        </w:rPr>
      </w:pPr>
      <w:r>
        <w:rPr>
          <w:rFonts w:eastAsia="Times New Roman"/>
        </w:rPr>
        <w:pict>
          <v:rect id="_x0000_i1159" style="width:0;height:1.5pt" o:hralign="center" o:hrstd="t" o:hr="t" fillcolor="#a0a0a0" stroked="f"/>
        </w:pict>
      </w:r>
    </w:p>
    <w:p w:rsidR="00000000" w:rsidRDefault="00AE54EE">
      <w:pPr>
        <w:ind w:firstLine="450"/>
        <w:divId w:val="1078668889"/>
        <w:rPr>
          <w:rFonts w:eastAsia="Times New Roman"/>
        </w:rPr>
      </w:pPr>
    </w:p>
    <w:p w:rsidR="00000000" w:rsidRDefault="00AE54EE">
      <w:pPr>
        <w:divId w:val="854853338"/>
        <w:rPr>
          <w:rFonts w:eastAsia="Times New Roman"/>
        </w:rPr>
      </w:pPr>
      <w:hyperlink r:id="rId68" w:history="1">
        <w:r>
          <w:rPr>
            <w:rStyle w:val="a3"/>
            <w:rFonts w:eastAsia="Times New Roman"/>
            <w:sz w:val="20"/>
            <w:szCs w:val="20"/>
          </w:rPr>
          <w:t>(x) Non-Employee Director Share Unit Agreement Terms and Conditions (as of June 29, 2019), incorporated her</w:t>
        </w:r>
        <w:r>
          <w:rPr>
            <w:rStyle w:val="a3"/>
            <w:rFonts w:eastAsia="Times New Roman"/>
            <w:sz w:val="20"/>
            <w:szCs w:val="20"/>
          </w:rPr>
          <w:t>ein by reference to Exhibit 10(f)(x) to L3Harris Technologies, Inc.’s Transition Report on Form 10-KT for the fiscal year ended January 3, 2020. (Commission File Number 1-3863)</w:t>
        </w:r>
      </w:hyperlink>
    </w:p>
    <w:p w:rsidR="00000000" w:rsidRDefault="00AE54EE">
      <w:pPr>
        <w:divId w:val="1461194240"/>
        <w:rPr>
          <w:rFonts w:eastAsia="Times New Roman"/>
        </w:rPr>
      </w:pPr>
      <w:hyperlink r:id="rId69" w:history="1">
        <w:r>
          <w:rPr>
            <w:rStyle w:val="a3"/>
            <w:rFonts w:eastAsia="Times New Roman"/>
            <w:sz w:val="20"/>
            <w:szCs w:val="20"/>
          </w:rPr>
          <w:t>(xi) L3Harris Technologies, Inc. Restricted Unit Award Agreement Terms and Conditions (as of February 5, 2020), incorporated herein by reference to Exhibit 10.3 to L3Harris Technologies, Inc.’s Quarterly Report on Form 10-Q fo</w:t>
        </w:r>
        <w:r>
          <w:rPr>
            <w:rStyle w:val="a3"/>
            <w:rFonts w:eastAsia="Times New Roman"/>
            <w:sz w:val="20"/>
            <w:szCs w:val="20"/>
          </w:rPr>
          <w:t>r the fiscal quarter ended April 3, 2020. (Commission File Number 1-3863)</w:t>
        </w:r>
      </w:hyperlink>
    </w:p>
    <w:p w:rsidR="00000000" w:rsidRDefault="00AE54EE">
      <w:pPr>
        <w:divId w:val="418185924"/>
        <w:rPr>
          <w:rFonts w:eastAsia="Times New Roman"/>
        </w:rPr>
      </w:pPr>
      <w:hyperlink r:id="rId70" w:history="1">
        <w:r>
          <w:rPr>
            <w:rStyle w:val="a3"/>
            <w:rFonts w:eastAsia="Times New Roman"/>
            <w:sz w:val="20"/>
            <w:szCs w:val="20"/>
          </w:rPr>
          <w:t xml:space="preserve">(xii) L3Harris Technologies, Inc. Performance Unit Award Agreement Terms </w:t>
        </w:r>
        <w:r>
          <w:rPr>
            <w:rStyle w:val="a3"/>
            <w:rFonts w:eastAsia="Times New Roman"/>
            <w:sz w:val="20"/>
            <w:szCs w:val="20"/>
          </w:rPr>
          <w:t>and Conditions (as of February 28, 2020), incorporated herein by reference to Exhibit 10.4 to L3Harris Technologies, Inc.’s Quarterly Report on Form 10-Q for the fiscal quarter ended April 3, 2020. (Commission File Number 1-3863)</w:t>
        </w:r>
      </w:hyperlink>
    </w:p>
    <w:p w:rsidR="00000000" w:rsidRDefault="00AE54EE">
      <w:pPr>
        <w:divId w:val="649866651"/>
        <w:rPr>
          <w:rFonts w:eastAsia="Times New Roman"/>
        </w:rPr>
      </w:pPr>
      <w:hyperlink r:id="rId71" w:history="1">
        <w:r>
          <w:rPr>
            <w:rStyle w:val="a3"/>
            <w:rFonts w:eastAsia="Times New Roman"/>
            <w:sz w:val="20"/>
            <w:szCs w:val="20"/>
          </w:rPr>
          <w:t xml:space="preserve">(xiii) L3Harris Technologies, Inc. Stock Option Award Agreement Terms and Conditions (as of February 28, 2020), incorporated herein by reference to Exhibit 10.5 to L3Harris </w:t>
        </w:r>
        <w:r>
          <w:rPr>
            <w:rStyle w:val="a3"/>
            <w:rFonts w:eastAsia="Times New Roman"/>
            <w:sz w:val="20"/>
            <w:szCs w:val="20"/>
          </w:rPr>
          <w:t>Technologies, Inc.’s Quarterly Report on Form 10-Q for the fiscal quarter ended April 3, 2020. (Commission File Number 1-3863)</w:t>
        </w:r>
      </w:hyperlink>
    </w:p>
    <w:p w:rsidR="00000000" w:rsidRDefault="00AE54EE">
      <w:pPr>
        <w:ind w:hanging="900"/>
        <w:divId w:val="900865653"/>
        <w:rPr>
          <w:rFonts w:eastAsia="Times New Roman"/>
        </w:rPr>
      </w:pPr>
      <w:hyperlink r:id="rId72" w:history="1">
        <w:r>
          <w:rPr>
            <w:rStyle w:val="a3"/>
            <w:rFonts w:eastAsia="Times New Roman"/>
            <w:sz w:val="20"/>
            <w:szCs w:val="20"/>
          </w:rPr>
          <w:t>*(10)(h) L3Harris Te</w:t>
        </w:r>
        <w:r>
          <w:rPr>
            <w:rStyle w:val="a3"/>
            <w:rFonts w:eastAsia="Times New Roman"/>
            <w:sz w:val="20"/>
            <w:szCs w:val="20"/>
          </w:rPr>
          <w:t>chnologies, Inc. 2015 Equity Incentive Plan (Amended and Restated Effective as of August 28, 2020), incorporated herein by reference to Exhibit 10.2 to L3Harris Technologies, Inc.’s Current Report on Form 8-K filed with the SEC on September 1, 2020. (Commi</w:t>
        </w:r>
        <w:r>
          <w:rPr>
            <w:rStyle w:val="a3"/>
            <w:rFonts w:eastAsia="Times New Roman"/>
            <w:sz w:val="20"/>
            <w:szCs w:val="20"/>
          </w:rPr>
          <w:t>ssion File Number 1-3863)</w:t>
        </w:r>
      </w:hyperlink>
    </w:p>
    <w:p w:rsidR="00000000" w:rsidRDefault="00AE54EE">
      <w:pPr>
        <w:ind w:hanging="900"/>
        <w:divId w:val="2044138031"/>
        <w:rPr>
          <w:rFonts w:eastAsia="Times New Roman"/>
        </w:rPr>
      </w:pPr>
      <w:hyperlink r:id="rId73" w:history="1">
        <w:r>
          <w:rPr>
            <w:rStyle w:val="a3"/>
            <w:rFonts w:eastAsia="Times New Roman"/>
            <w:sz w:val="20"/>
            <w:szCs w:val="20"/>
          </w:rPr>
          <w:t>*10(</w:t>
        </w:r>
      </w:hyperlink>
      <w:hyperlink r:id="rId74" w:history="1">
        <w:r>
          <w:rPr>
            <w:rStyle w:val="a3"/>
            <w:rFonts w:eastAsia="Times New Roman"/>
            <w:sz w:val="20"/>
            <w:szCs w:val="20"/>
          </w:rPr>
          <w:t>i</w:t>
        </w:r>
      </w:hyperlink>
      <w:hyperlink r:id="rId75" w:history="1">
        <w:r>
          <w:rPr>
            <w:rStyle w:val="a3"/>
            <w:rFonts w:eastAsia="Times New Roman"/>
            <w:sz w:val="20"/>
            <w:szCs w:val="20"/>
          </w:rPr>
          <w:t xml:space="preserve">) (i) </w:t>
        </w:r>
      </w:hyperlink>
      <w:hyperlink r:id="rId76" w:history="1">
        <w:r>
          <w:rPr>
            <w:rStyle w:val="a3"/>
            <w:rFonts w:eastAsia="Times New Roman"/>
            <w:sz w:val="20"/>
            <w:szCs w:val="20"/>
          </w:rPr>
          <w:t>L3Harris Retirement Savings Plan (Amended and Restated Effective January 1, 202</w:t>
        </w:r>
      </w:hyperlink>
      <w:hyperlink r:id="rId77" w:history="1">
        <w:r>
          <w:rPr>
            <w:rStyle w:val="a3"/>
            <w:rFonts w:eastAsia="Times New Roman"/>
            <w:sz w:val="20"/>
            <w:szCs w:val="20"/>
          </w:rPr>
          <w:t>1</w:t>
        </w:r>
      </w:hyperlink>
      <w:hyperlink r:id="rId78" w:history="1">
        <w:r>
          <w:rPr>
            <w:rStyle w:val="a3"/>
            <w:rFonts w:eastAsia="Times New Roman"/>
            <w:sz w:val="20"/>
            <w:szCs w:val="20"/>
          </w:rPr>
          <w:t xml:space="preserve">), incorporated herein by reference to Exhibit 10.1 to L3Harris Technologies, </w:t>
        </w:r>
        <w:r>
          <w:rPr>
            <w:rStyle w:val="a3"/>
            <w:rFonts w:eastAsia="Times New Roman"/>
            <w:sz w:val="20"/>
            <w:szCs w:val="20"/>
          </w:rPr>
          <w:t>Inc.'s Quarterly Report on Form 10-Q for the fiscal quarter ended April 2, 2021. (Commission File Number 1-3863)</w:t>
        </w:r>
      </w:hyperlink>
    </w:p>
    <w:p w:rsidR="00000000" w:rsidRDefault="00AE54EE">
      <w:pPr>
        <w:divId w:val="862986126"/>
        <w:rPr>
          <w:rFonts w:eastAsia="Times New Roman"/>
        </w:rPr>
      </w:pPr>
      <w:hyperlink r:id="rId79" w:history="1">
        <w:r>
          <w:rPr>
            <w:rStyle w:val="a3"/>
            <w:rFonts w:eastAsia="Times New Roman"/>
            <w:sz w:val="20"/>
            <w:szCs w:val="20"/>
          </w:rPr>
          <w:t>(ii) A</w:t>
        </w:r>
      </w:hyperlink>
      <w:hyperlink r:id="rId80" w:history="1">
        <w:r>
          <w:rPr>
            <w:rStyle w:val="a3"/>
            <w:rFonts w:eastAsia="Times New Roman"/>
            <w:sz w:val="20"/>
            <w:szCs w:val="20"/>
          </w:rPr>
          <w:t>mendment One to the L3Harris Retirement Savings Plan (Am</w:t>
        </w:r>
        <w:r>
          <w:rPr>
            <w:rStyle w:val="a3"/>
            <w:rFonts w:eastAsia="Times New Roman"/>
            <w:sz w:val="20"/>
            <w:szCs w:val="20"/>
          </w:rPr>
          <w:t>ended and Restated Effective January 1, 2021), dated April 5, 2021, incorporated herein by reference to Exhibit 10.2 to L3Harris Technologies, Inc.'s Quarterly Report on Form 10-Q for the fiscal quarter ended April 2, 2021. (Commission File Number 1-3863)</w:t>
        </w:r>
      </w:hyperlink>
    </w:p>
    <w:p w:rsidR="00000000" w:rsidRDefault="00AE54EE">
      <w:pPr>
        <w:divId w:val="208348153"/>
        <w:rPr>
          <w:rFonts w:eastAsia="Times New Roman"/>
        </w:rPr>
      </w:pPr>
      <w:hyperlink r:id="rId81" w:history="1">
        <w:r>
          <w:rPr>
            <w:rStyle w:val="a3"/>
            <w:rFonts w:eastAsia="Times New Roman"/>
            <w:sz w:val="20"/>
            <w:szCs w:val="20"/>
          </w:rPr>
          <w:t>(iii) A</w:t>
        </w:r>
      </w:hyperlink>
      <w:hyperlink r:id="rId82" w:history="1">
        <w:r>
          <w:rPr>
            <w:rStyle w:val="a3"/>
            <w:rFonts w:eastAsia="Times New Roman"/>
            <w:sz w:val="20"/>
            <w:szCs w:val="20"/>
          </w:rPr>
          <w:t>mendment Two to the L3Harris Retirement Savings Plan (A</w:t>
        </w:r>
        <w:r>
          <w:rPr>
            <w:rStyle w:val="a3"/>
            <w:rFonts w:eastAsia="Times New Roman"/>
            <w:sz w:val="20"/>
            <w:szCs w:val="20"/>
          </w:rPr>
          <w:t>mended and Restated Effective January 1, 2021), dated April 5, 2021, incorporated herein by reference to Exhibit 10.3 to L3Harris Technologies, Inc.'s Quarterly Report on Form 10-Q for the fiscal quarter ended April 2, 2021. (Commission File Number 1-3863)</w:t>
        </w:r>
      </w:hyperlink>
    </w:p>
    <w:p w:rsidR="00000000" w:rsidRDefault="00AE54EE">
      <w:pPr>
        <w:divId w:val="267929088"/>
        <w:rPr>
          <w:rFonts w:eastAsia="Times New Roman"/>
        </w:rPr>
      </w:pPr>
      <w:hyperlink r:id="rId83" w:history="1">
        <w:r>
          <w:rPr>
            <w:rStyle w:val="a3"/>
            <w:rFonts w:eastAsia="Times New Roman"/>
            <w:sz w:val="20"/>
            <w:szCs w:val="20"/>
          </w:rPr>
          <w:t>(iv) A</w:t>
        </w:r>
      </w:hyperlink>
      <w:hyperlink r:id="rId84" w:history="1">
        <w:r>
          <w:rPr>
            <w:rStyle w:val="a3"/>
            <w:rFonts w:eastAsia="Times New Roman"/>
            <w:sz w:val="20"/>
            <w:szCs w:val="20"/>
          </w:rPr>
          <w:t>mendment Three to the L3Har</w:t>
        </w:r>
        <w:r>
          <w:rPr>
            <w:rStyle w:val="a3"/>
            <w:rFonts w:eastAsia="Times New Roman"/>
            <w:sz w:val="20"/>
            <w:szCs w:val="20"/>
          </w:rPr>
          <w:t>ris Retirement Savings Plan (Amended and Restated Effective January 1, 2021), dated May 12, 2021, incorporated herein by reference to Exhibit 10.1 to L3Harris Technologies, Inc.'s Quarterly Report on Form 10-Q for the fiscal quarter ended July 2, 2021. (Co</w:t>
        </w:r>
        <w:r>
          <w:rPr>
            <w:rStyle w:val="a3"/>
            <w:rFonts w:eastAsia="Times New Roman"/>
            <w:sz w:val="20"/>
            <w:szCs w:val="20"/>
          </w:rPr>
          <w:t>m</w:t>
        </w:r>
      </w:hyperlink>
      <w:hyperlink r:id="rId85" w:history="1">
        <w:r>
          <w:rPr>
            <w:rStyle w:val="a3"/>
            <w:rFonts w:eastAsia="Times New Roman"/>
            <w:sz w:val="20"/>
            <w:szCs w:val="20"/>
          </w:rPr>
          <w:t>m</w:t>
        </w:r>
      </w:hyperlink>
      <w:hyperlink r:id="rId86" w:history="1">
        <w:r>
          <w:rPr>
            <w:rStyle w:val="a3"/>
            <w:rFonts w:eastAsia="Times New Roman"/>
            <w:sz w:val="20"/>
            <w:szCs w:val="20"/>
          </w:rPr>
          <w:t>ission File Number 1-3863)</w:t>
        </w:r>
      </w:hyperlink>
    </w:p>
    <w:p w:rsidR="00000000" w:rsidRDefault="00AE54EE">
      <w:pPr>
        <w:divId w:val="31659917"/>
        <w:rPr>
          <w:rFonts w:eastAsia="Times New Roman"/>
        </w:rPr>
      </w:pPr>
      <w:hyperlink r:id="rId87" w:history="1">
        <w:r>
          <w:rPr>
            <w:rStyle w:val="a3"/>
            <w:rFonts w:eastAsia="Times New Roman"/>
            <w:sz w:val="20"/>
            <w:szCs w:val="20"/>
          </w:rPr>
          <w:t>(v)</w:t>
        </w:r>
      </w:hyperlink>
      <w:hyperlink r:id="rId88" w:history="1">
        <w:r>
          <w:rPr>
            <w:rStyle w:val="a3"/>
            <w:rFonts w:eastAsia="Times New Roman"/>
            <w:sz w:val="20"/>
            <w:szCs w:val="20"/>
          </w:rPr>
          <w:t xml:space="preserve"> </w:t>
        </w:r>
      </w:hyperlink>
      <w:hyperlink r:id="rId89" w:history="1">
        <w:r>
          <w:rPr>
            <w:rStyle w:val="a3"/>
            <w:rFonts w:eastAsia="Times New Roman"/>
            <w:sz w:val="20"/>
            <w:szCs w:val="20"/>
          </w:rPr>
          <w:t xml:space="preserve">Amendment </w:t>
        </w:r>
      </w:hyperlink>
      <w:hyperlink r:id="rId90" w:history="1">
        <w:r>
          <w:rPr>
            <w:rStyle w:val="a3"/>
            <w:rFonts w:eastAsia="Times New Roman"/>
            <w:sz w:val="20"/>
            <w:szCs w:val="20"/>
          </w:rPr>
          <w:t>Four</w:t>
        </w:r>
      </w:hyperlink>
      <w:hyperlink r:id="rId91" w:history="1">
        <w:r>
          <w:rPr>
            <w:rStyle w:val="a3"/>
            <w:rFonts w:eastAsia="Times New Roman"/>
            <w:sz w:val="20"/>
            <w:szCs w:val="20"/>
          </w:rPr>
          <w:t xml:space="preserve"> </w:t>
        </w:r>
        <w:r>
          <w:rPr>
            <w:rStyle w:val="a3"/>
            <w:rFonts w:eastAsia="Times New Roman"/>
            <w:sz w:val="20"/>
            <w:szCs w:val="20"/>
          </w:rPr>
          <w:t>to the L3Harris Retirement Savings Plan (Amended and Restated Effective January 1, 2021), dated May 12, 2021, incorporated herein by reference to Exhibit 10.</w:t>
        </w:r>
      </w:hyperlink>
      <w:hyperlink r:id="rId92" w:history="1">
        <w:r>
          <w:rPr>
            <w:rStyle w:val="a3"/>
            <w:rFonts w:eastAsia="Times New Roman"/>
            <w:sz w:val="20"/>
            <w:szCs w:val="20"/>
          </w:rPr>
          <w:t>2</w:t>
        </w:r>
      </w:hyperlink>
      <w:hyperlink r:id="rId93" w:history="1">
        <w:r>
          <w:rPr>
            <w:rStyle w:val="a3"/>
            <w:rFonts w:eastAsia="Times New Roman"/>
            <w:sz w:val="20"/>
            <w:szCs w:val="20"/>
          </w:rPr>
          <w:t xml:space="preserve"> to L3Harris Technologies, Inc.'s Quarterly Report on Form 10-Q for the fiscal quarter ended July 2, 2021. (Com</w:t>
        </w:r>
      </w:hyperlink>
      <w:hyperlink r:id="rId94" w:history="1">
        <w:r>
          <w:rPr>
            <w:rStyle w:val="a3"/>
            <w:rFonts w:eastAsia="Times New Roman"/>
            <w:sz w:val="20"/>
            <w:szCs w:val="20"/>
          </w:rPr>
          <w:t>m</w:t>
        </w:r>
      </w:hyperlink>
      <w:hyperlink r:id="rId95" w:history="1">
        <w:r>
          <w:rPr>
            <w:rStyle w:val="a3"/>
            <w:rFonts w:eastAsia="Times New Roman"/>
            <w:sz w:val="20"/>
            <w:szCs w:val="20"/>
          </w:rPr>
          <w:t>ission File Number 1-3863)</w:t>
        </w:r>
      </w:hyperlink>
    </w:p>
    <w:p w:rsidR="00000000" w:rsidRDefault="00AE54EE">
      <w:pPr>
        <w:divId w:val="308023015"/>
        <w:rPr>
          <w:rFonts w:eastAsia="Times New Roman"/>
        </w:rPr>
      </w:pPr>
      <w:hyperlink r:id="rId96" w:history="1">
        <w:r>
          <w:rPr>
            <w:rStyle w:val="a3"/>
            <w:rFonts w:eastAsia="Times New Roman"/>
            <w:sz w:val="20"/>
            <w:szCs w:val="20"/>
          </w:rPr>
          <w:t>(vi) A</w:t>
        </w:r>
      </w:hyperlink>
      <w:hyperlink r:id="rId97" w:history="1">
        <w:r>
          <w:rPr>
            <w:rStyle w:val="a3"/>
            <w:rFonts w:eastAsia="Times New Roman"/>
            <w:sz w:val="20"/>
            <w:szCs w:val="20"/>
          </w:rPr>
          <w:t>mendment Five to the L3Harris Retirement Savings Plan (</w:t>
        </w:r>
        <w:r>
          <w:rPr>
            <w:rStyle w:val="a3"/>
            <w:rFonts w:eastAsia="Times New Roman"/>
            <w:sz w:val="20"/>
            <w:szCs w:val="20"/>
          </w:rPr>
          <w:t>Amended and Restated Effective January 1, 2021), dated August 23, 2021, incorporated herein by reference to Exhibit 10.2 to L3Harris Technologies, Inc.'s Quarterly Report on Form 10-Q for the fiscal quarter ended October 1, 2021. (Com</w:t>
        </w:r>
      </w:hyperlink>
      <w:hyperlink r:id="rId98" w:history="1">
        <w:r>
          <w:rPr>
            <w:rStyle w:val="a3"/>
            <w:rFonts w:eastAsia="Times New Roman"/>
            <w:sz w:val="20"/>
            <w:szCs w:val="20"/>
          </w:rPr>
          <w:t>m</w:t>
        </w:r>
      </w:hyperlink>
      <w:hyperlink r:id="rId99" w:history="1">
        <w:r>
          <w:rPr>
            <w:rStyle w:val="a3"/>
            <w:rFonts w:eastAsia="Times New Roman"/>
            <w:sz w:val="20"/>
            <w:szCs w:val="20"/>
          </w:rPr>
          <w:t>ission File Number 1-3863)</w:t>
        </w:r>
      </w:hyperlink>
    </w:p>
    <w:p w:rsidR="00000000" w:rsidRDefault="00AE54EE">
      <w:pPr>
        <w:divId w:val="871723173"/>
        <w:rPr>
          <w:rFonts w:eastAsia="Times New Roman"/>
        </w:rPr>
      </w:pPr>
      <w:hyperlink r:id="rId100" w:history="1">
        <w:r>
          <w:rPr>
            <w:rStyle w:val="a3"/>
            <w:rFonts w:eastAsia="Times New Roman"/>
            <w:sz w:val="20"/>
            <w:szCs w:val="20"/>
          </w:rPr>
          <w:t>(vii) Am</w:t>
        </w:r>
      </w:hyperlink>
      <w:hyperlink r:id="rId101" w:history="1">
        <w:r>
          <w:rPr>
            <w:rStyle w:val="a3"/>
            <w:rFonts w:eastAsia="Times New Roman"/>
            <w:sz w:val="20"/>
            <w:szCs w:val="20"/>
          </w:rPr>
          <w:t>endment Six to the L3Harris Retirement Savings Plan (A</w:t>
        </w:r>
        <w:r>
          <w:rPr>
            <w:rStyle w:val="a3"/>
            <w:rFonts w:eastAsia="Times New Roman"/>
            <w:sz w:val="20"/>
            <w:szCs w:val="20"/>
          </w:rPr>
          <w:t>mended and Restated Effective January 1, 2021), dated September 27, 2021, incorporated herein by reference to Exhibit 10.3 to L3Harris Technologies, Inc.'s Quarterly Report on Form 10-Q for the fiscal quarter ended October 1, 2021. (Com</w:t>
        </w:r>
      </w:hyperlink>
      <w:hyperlink r:id="rId102" w:history="1">
        <w:r>
          <w:rPr>
            <w:rStyle w:val="a3"/>
            <w:rFonts w:eastAsia="Times New Roman"/>
            <w:sz w:val="20"/>
            <w:szCs w:val="20"/>
          </w:rPr>
          <w:t>m</w:t>
        </w:r>
      </w:hyperlink>
      <w:hyperlink r:id="rId103" w:history="1">
        <w:r>
          <w:rPr>
            <w:rStyle w:val="a3"/>
            <w:rFonts w:eastAsia="Times New Roman"/>
            <w:sz w:val="20"/>
            <w:szCs w:val="20"/>
          </w:rPr>
          <w:t>ission File Number 1-3863)</w:t>
        </w:r>
      </w:hyperlink>
    </w:p>
    <w:p w:rsidR="00000000" w:rsidRDefault="00AE54EE">
      <w:pPr>
        <w:divId w:val="363135635"/>
        <w:rPr>
          <w:rFonts w:eastAsia="Times New Roman"/>
        </w:rPr>
      </w:pPr>
      <w:hyperlink r:id="rId104" w:history="1">
        <w:r>
          <w:rPr>
            <w:rStyle w:val="a3"/>
            <w:rFonts w:eastAsia="Times New Roman"/>
            <w:sz w:val="20"/>
            <w:szCs w:val="20"/>
          </w:rPr>
          <w:t>(viii) A</w:t>
        </w:r>
      </w:hyperlink>
      <w:hyperlink r:id="rId105" w:history="1">
        <w:r>
          <w:rPr>
            <w:rStyle w:val="a3"/>
            <w:rFonts w:eastAsia="Times New Roman"/>
            <w:sz w:val="20"/>
            <w:szCs w:val="20"/>
          </w:rPr>
          <w:t>mendment Seven to the L3Harris Retirement Savings Pl</w:t>
        </w:r>
        <w:r>
          <w:rPr>
            <w:rStyle w:val="a3"/>
            <w:rFonts w:eastAsia="Times New Roman"/>
            <w:sz w:val="20"/>
            <w:szCs w:val="20"/>
          </w:rPr>
          <w:t>an (Amended and Restated Effective January 1, 2021), dated September 27, 2021, incorporated herein by reference to Exhibit 10.4 to L3Harris Technologies, Inc.'s Quarterly Report on Form 10-Q for the fiscal quarter ended October 1, 2021. (Com</w:t>
        </w:r>
      </w:hyperlink>
      <w:hyperlink r:id="rId106" w:history="1">
        <w:r>
          <w:rPr>
            <w:rStyle w:val="a3"/>
            <w:rFonts w:eastAsia="Times New Roman"/>
            <w:sz w:val="20"/>
            <w:szCs w:val="20"/>
          </w:rPr>
          <w:t>m</w:t>
        </w:r>
      </w:hyperlink>
      <w:hyperlink r:id="rId107" w:history="1">
        <w:r>
          <w:rPr>
            <w:rStyle w:val="a3"/>
            <w:rFonts w:eastAsia="Times New Roman"/>
            <w:sz w:val="20"/>
            <w:szCs w:val="20"/>
          </w:rPr>
          <w:t>ission File Number 1-3863)</w:t>
        </w:r>
      </w:hyperlink>
    </w:p>
    <w:p w:rsidR="00000000" w:rsidRDefault="00AE54EE">
      <w:pPr>
        <w:divId w:val="1231699347"/>
        <w:rPr>
          <w:rFonts w:eastAsia="Times New Roman"/>
        </w:rPr>
      </w:pPr>
      <w:hyperlink r:id="rId108" w:history="1">
        <w:r>
          <w:rPr>
            <w:rStyle w:val="a3"/>
            <w:rFonts w:eastAsia="Times New Roman"/>
            <w:sz w:val="20"/>
            <w:szCs w:val="20"/>
          </w:rPr>
          <w:t>(ix) Amendment Eight to the L3Harris Retirement Savings Plan (Amended and Restated Effective January 1, 2021), dated October 7, 2021.</w:t>
        </w:r>
      </w:hyperlink>
    </w:p>
    <w:p w:rsidR="00000000" w:rsidRDefault="00AE54EE">
      <w:pPr>
        <w:divId w:val="998078623"/>
        <w:rPr>
          <w:rFonts w:eastAsia="Times New Roman"/>
        </w:rPr>
      </w:pPr>
      <w:hyperlink r:id="rId109" w:history="1">
        <w:r>
          <w:rPr>
            <w:rStyle w:val="a3"/>
            <w:rFonts w:eastAsia="Times New Roman"/>
            <w:sz w:val="20"/>
            <w:szCs w:val="20"/>
          </w:rPr>
          <w:t>(x) Amendment Nine to the L</w:t>
        </w:r>
        <w:r>
          <w:rPr>
            <w:rStyle w:val="a3"/>
            <w:rFonts w:eastAsia="Times New Roman"/>
            <w:sz w:val="20"/>
            <w:szCs w:val="20"/>
          </w:rPr>
          <w:t>3Harris Retirement Savings Plan (Amended and Restated Effective January 1, 2021), dated December 21, 2021.</w:t>
        </w:r>
      </w:hyperlink>
    </w:p>
    <w:p w:rsidR="00000000" w:rsidRDefault="00AE54EE">
      <w:pPr>
        <w:ind w:hanging="900"/>
        <w:divId w:val="84691437"/>
        <w:rPr>
          <w:rFonts w:eastAsia="Times New Roman"/>
        </w:rPr>
      </w:pPr>
      <w:hyperlink r:id="rId110" w:history="1">
        <w:r>
          <w:rPr>
            <w:rStyle w:val="a3"/>
            <w:rFonts w:eastAsia="Times New Roman"/>
            <w:sz w:val="20"/>
            <w:szCs w:val="20"/>
          </w:rPr>
          <w:t>*(10)(</w:t>
        </w:r>
      </w:hyperlink>
      <w:hyperlink r:id="rId111" w:history="1">
        <w:r>
          <w:rPr>
            <w:rStyle w:val="a3"/>
            <w:rFonts w:eastAsia="Times New Roman"/>
            <w:sz w:val="20"/>
            <w:szCs w:val="20"/>
          </w:rPr>
          <w:t>j</w:t>
        </w:r>
      </w:hyperlink>
      <w:hyperlink r:id="rId112" w:history="1">
        <w:r>
          <w:rPr>
            <w:rStyle w:val="a3"/>
            <w:rFonts w:eastAsia="Times New Roman"/>
            <w:sz w:val="20"/>
            <w:szCs w:val="20"/>
          </w:rPr>
          <w:t xml:space="preserve">) </w:t>
        </w:r>
      </w:hyperlink>
      <w:hyperlink r:id="rId113" w:history="1">
        <w:r>
          <w:rPr>
            <w:rStyle w:val="a3"/>
            <w:rFonts w:eastAsia="Times New Roman"/>
            <w:sz w:val="20"/>
            <w:szCs w:val="20"/>
          </w:rPr>
          <w:t>(</w:t>
        </w:r>
      </w:hyperlink>
      <w:hyperlink r:id="rId114" w:history="1">
        <w:r>
          <w:rPr>
            <w:rStyle w:val="a3"/>
            <w:rFonts w:eastAsia="Times New Roman"/>
            <w:sz w:val="20"/>
            <w:szCs w:val="20"/>
          </w:rPr>
          <w:t xml:space="preserve">i) </w:t>
        </w:r>
      </w:hyperlink>
      <w:hyperlink r:id="rId115" w:history="1">
        <w:r>
          <w:rPr>
            <w:rStyle w:val="a3"/>
            <w:rFonts w:eastAsia="Times New Roman"/>
            <w:sz w:val="20"/>
            <w:szCs w:val="20"/>
          </w:rPr>
          <w:t xml:space="preserve">L3Harris Excess Retirement Savings Plan, as amended and restated effective January 1, 2020, incorporated herein by reference to Exhibit 10(h) to L3Harris Technologies, Inc.’s Transition Report on Form 10-KT for the fiscal year ended January 3, 2020. </w:t>
        </w:r>
        <w:r>
          <w:rPr>
            <w:rStyle w:val="a3"/>
            <w:rFonts w:eastAsia="Times New Roman"/>
            <w:sz w:val="20"/>
            <w:szCs w:val="20"/>
          </w:rPr>
          <w:t>(Commission File Number 1-3863)</w:t>
        </w:r>
      </w:hyperlink>
      <w:r>
        <w:rPr>
          <w:rFonts w:eastAsia="Times New Roman"/>
          <w:color w:val="000000"/>
          <w:sz w:val="20"/>
          <w:szCs w:val="20"/>
        </w:rPr>
        <w:t xml:space="preserve"> </w:t>
      </w:r>
    </w:p>
    <w:p w:rsidR="00000000" w:rsidRDefault="00AE54EE">
      <w:pPr>
        <w:divId w:val="751239375"/>
        <w:rPr>
          <w:rFonts w:eastAsia="Times New Roman"/>
        </w:rPr>
      </w:pPr>
      <w:hyperlink r:id="rId116" w:history="1">
        <w:r>
          <w:rPr>
            <w:rStyle w:val="a3"/>
            <w:rFonts w:eastAsia="Times New Roman"/>
            <w:sz w:val="20"/>
            <w:szCs w:val="20"/>
          </w:rPr>
          <w:t>(ii) A</w:t>
        </w:r>
      </w:hyperlink>
      <w:hyperlink r:id="rId117" w:history="1">
        <w:r>
          <w:rPr>
            <w:rStyle w:val="a3"/>
            <w:rFonts w:eastAsia="Times New Roman"/>
            <w:sz w:val="20"/>
            <w:szCs w:val="20"/>
          </w:rPr>
          <w:t>mendment Number One to the L3Harris Excess Retirement Savings Plan (Amended and Restated Effective January 1, 2021), dated December 14, 2020, incorporated herein by reference to Exhibit 10.4 to L3Harris Technologies, Inc.'s Quarterly Rep</w:t>
        </w:r>
        <w:r>
          <w:rPr>
            <w:rStyle w:val="a3"/>
            <w:rFonts w:eastAsia="Times New Roman"/>
            <w:sz w:val="20"/>
            <w:szCs w:val="20"/>
          </w:rPr>
          <w:t>ort on Form 10-Q for the fiscal quarter ended April 2, 2021. (Commission File Number 1-3863)</w:t>
        </w:r>
      </w:hyperlink>
    </w:p>
    <w:p w:rsidR="00000000" w:rsidRDefault="00AE54EE">
      <w:pPr>
        <w:ind w:firstLine="450"/>
        <w:jc w:val="center"/>
        <w:divId w:val="31732526"/>
        <w:rPr>
          <w:rFonts w:eastAsia="Times New Roman"/>
        </w:rPr>
      </w:pPr>
      <w:r>
        <w:rPr>
          <w:rFonts w:eastAsia="Times New Roman"/>
          <w:color w:val="000000"/>
          <w:sz w:val="20"/>
          <w:szCs w:val="20"/>
        </w:rPr>
        <w:t>132</w:t>
      </w:r>
    </w:p>
    <w:p w:rsidR="00000000" w:rsidRDefault="00AE54EE">
      <w:pPr>
        <w:rPr>
          <w:rFonts w:eastAsia="Times New Roman"/>
        </w:rPr>
      </w:pPr>
      <w:r>
        <w:rPr>
          <w:rFonts w:eastAsia="Times New Roman"/>
        </w:rPr>
        <w:pict>
          <v:rect id="_x0000_i1160" style="width:0;height:1.5pt" o:hralign="center" o:hrstd="t" o:hr="t" fillcolor="#a0a0a0" stroked="f"/>
        </w:pict>
      </w:r>
    </w:p>
    <w:p w:rsidR="00000000" w:rsidRDefault="00AE54EE">
      <w:pPr>
        <w:ind w:firstLine="450"/>
        <w:divId w:val="1304625781"/>
        <w:rPr>
          <w:rFonts w:eastAsia="Times New Roman"/>
        </w:rPr>
      </w:pPr>
    </w:p>
    <w:p w:rsidR="00000000" w:rsidRDefault="00AE54EE">
      <w:pPr>
        <w:ind w:hanging="900"/>
        <w:divId w:val="556624933"/>
        <w:rPr>
          <w:rFonts w:eastAsia="Times New Roman"/>
        </w:rPr>
      </w:pPr>
      <w:hyperlink r:id="rId118" w:history="1">
        <w:r>
          <w:rPr>
            <w:rStyle w:val="a3"/>
            <w:rFonts w:eastAsia="Times New Roman"/>
            <w:sz w:val="20"/>
            <w:szCs w:val="20"/>
          </w:rPr>
          <w:t>*(10)(</w:t>
        </w:r>
      </w:hyperlink>
      <w:hyperlink r:id="rId119" w:history="1">
        <w:r>
          <w:rPr>
            <w:rStyle w:val="a3"/>
            <w:rFonts w:eastAsia="Times New Roman"/>
            <w:sz w:val="20"/>
            <w:szCs w:val="20"/>
          </w:rPr>
          <w:t>k</w:t>
        </w:r>
      </w:hyperlink>
      <w:hyperlink r:id="rId120" w:history="1">
        <w:r>
          <w:rPr>
            <w:rStyle w:val="a3"/>
            <w:rFonts w:eastAsia="Times New Roman"/>
            <w:sz w:val="20"/>
            <w:szCs w:val="20"/>
          </w:rPr>
          <w:t>) L3Harris Technologies, Inc. 2019 Non-Emp</w:t>
        </w:r>
        <w:r>
          <w:rPr>
            <w:rStyle w:val="a3"/>
            <w:rFonts w:eastAsia="Times New Roman"/>
            <w:sz w:val="20"/>
            <w:szCs w:val="20"/>
          </w:rPr>
          <w:t>loyee Director Deferred Compensation Plan, incorporated herein by reference to Exhibit 10(j) to L3Harris Technologies, Inc.’s Transition Report on Form 10-KT for the fiscal year ended January 3, 2020. (Commission File Number 1-3863)</w:t>
        </w:r>
      </w:hyperlink>
    </w:p>
    <w:p w:rsidR="00000000" w:rsidRDefault="00AE54EE">
      <w:pPr>
        <w:ind w:hanging="900"/>
        <w:divId w:val="1915815109"/>
        <w:rPr>
          <w:rFonts w:eastAsia="Times New Roman"/>
        </w:rPr>
      </w:pPr>
      <w:hyperlink r:id="rId121" w:history="1">
        <w:r>
          <w:rPr>
            <w:rStyle w:val="a3"/>
            <w:rFonts w:eastAsia="Times New Roman"/>
            <w:sz w:val="20"/>
            <w:szCs w:val="20"/>
          </w:rPr>
          <w:t>*(10)(</w:t>
        </w:r>
      </w:hyperlink>
      <w:hyperlink r:id="rId122" w:history="1">
        <w:r>
          <w:rPr>
            <w:rStyle w:val="a3"/>
            <w:rFonts w:eastAsia="Times New Roman"/>
            <w:sz w:val="20"/>
            <w:szCs w:val="20"/>
          </w:rPr>
          <w:t>l</w:t>
        </w:r>
      </w:hyperlink>
      <w:hyperlink r:id="rId123" w:history="1">
        <w:r>
          <w:rPr>
            <w:rStyle w:val="a3"/>
            <w:rFonts w:eastAsia="Times New Roman"/>
            <w:sz w:val="20"/>
            <w:szCs w:val="20"/>
          </w:rPr>
          <w:t>) (i)</w:t>
        </w:r>
      </w:hyperlink>
      <w:hyperlink r:id="rId124" w:history="1">
        <w:r>
          <w:rPr>
            <w:rStyle w:val="a3"/>
            <w:rFonts w:eastAsia="Times New Roman"/>
            <w:sz w:val="20"/>
            <w:szCs w:val="20"/>
          </w:rPr>
          <w:t xml:space="preserve"> </w:t>
        </w:r>
      </w:hyperlink>
      <w:hyperlink r:id="rId125" w:history="1">
        <w:r>
          <w:rPr>
            <w:rStyle w:val="a3"/>
            <w:rFonts w:eastAsia="Times New Roman"/>
            <w:sz w:val="20"/>
            <w:szCs w:val="20"/>
          </w:rPr>
          <w:t>Amended and Restated Master Trust Agreement and Declaration of Trust, made as of December 2, 2003, by and between Harris Corporation and The Northern Trust Company, incorporated herein by reference to Exhibit 10(c) to Harris Corporation’s Quarterly Report</w:t>
        </w:r>
        <w:r>
          <w:rPr>
            <w:rStyle w:val="a3"/>
            <w:rFonts w:eastAsia="Times New Roman"/>
            <w:sz w:val="20"/>
            <w:szCs w:val="20"/>
          </w:rPr>
          <w:t xml:space="preserve"> on Form 10-Q for the fiscal quarter ended January 2, 2004. (Commission File Number 1-3863)</w:t>
        </w:r>
      </w:hyperlink>
    </w:p>
    <w:p w:rsidR="00000000" w:rsidRDefault="00AE54EE">
      <w:pPr>
        <w:divId w:val="2118015128"/>
        <w:rPr>
          <w:rFonts w:eastAsia="Times New Roman"/>
        </w:rPr>
      </w:pPr>
      <w:hyperlink r:id="rId126" w:history="1">
        <w:r>
          <w:rPr>
            <w:rStyle w:val="a3"/>
            <w:rFonts w:eastAsia="Times New Roman"/>
            <w:sz w:val="20"/>
            <w:szCs w:val="20"/>
          </w:rPr>
          <w:t>(ii) Amendment to the Harris Corporation Master Trust, date</w:t>
        </w:r>
        <w:r>
          <w:rPr>
            <w:rStyle w:val="a3"/>
            <w:rFonts w:eastAsia="Times New Roman"/>
            <w:sz w:val="20"/>
            <w:szCs w:val="20"/>
          </w:rPr>
          <w:t>d May 21, 2009, incorporated herein by reference to Exhibit 10(m)(ii) to Harris Corporation’s Annual Report on Form 10-K for the fiscal year ended July 3, 2009. (Commission File Number 1-3863)</w:t>
        </w:r>
      </w:hyperlink>
    </w:p>
    <w:p w:rsidR="00000000" w:rsidRDefault="00AE54EE">
      <w:pPr>
        <w:divId w:val="1571423174"/>
        <w:rPr>
          <w:rFonts w:eastAsia="Times New Roman"/>
        </w:rPr>
      </w:pPr>
      <w:hyperlink r:id="rId127" w:history="1">
        <w:r>
          <w:rPr>
            <w:rStyle w:val="a3"/>
            <w:rFonts w:eastAsia="Times New Roman"/>
            <w:sz w:val="20"/>
            <w:szCs w:val="20"/>
          </w:rPr>
          <w:t>(iii) Amendment to the Harris Corporation Master Trust, dated December 8, 2009 and effective December 31, 2009, incorporated herein by reference to Exhibit 4(e)(iii) to Harris Corporation’s Registration Statement on F</w:t>
        </w:r>
        <w:r>
          <w:rPr>
            <w:rStyle w:val="a3"/>
            <w:rFonts w:eastAsia="Times New Roman"/>
            <w:sz w:val="20"/>
            <w:szCs w:val="20"/>
          </w:rPr>
          <w:t>orm S-8, Registration Statement No. 333-163647, filed with the SEC on December 10, 2009</w:t>
        </w:r>
      </w:hyperlink>
    </w:p>
    <w:p w:rsidR="00000000" w:rsidRDefault="00AE54EE">
      <w:pPr>
        <w:divId w:val="1264529050"/>
        <w:rPr>
          <w:rFonts w:eastAsia="Times New Roman"/>
        </w:rPr>
      </w:pPr>
      <w:hyperlink r:id="rId128" w:history="1">
        <w:r>
          <w:rPr>
            <w:rStyle w:val="a3"/>
            <w:rFonts w:eastAsia="Times New Roman"/>
            <w:sz w:val="20"/>
            <w:szCs w:val="20"/>
          </w:rPr>
          <w:t>(iv) Amendment to the Harris Corporation Master Trust, dated a</w:t>
        </w:r>
        <w:r>
          <w:rPr>
            <w:rStyle w:val="a3"/>
            <w:rFonts w:eastAsia="Times New Roman"/>
            <w:sz w:val="20"/>
            <w:szCs w:val="20"/>
          </w:rPr>
          <w:t>nd effective May 3, 2010, incorporated herein by reference to Exhibit 4(e)(iv) to Harris Corporation’s Registration Statement on Form S-8, Registration Statement No. 333-222821, filed with the SEC on February 1, 2018</w:t>
        </w:r>
      </w:hyperlink>
    </w:p>
    <w:p w:rsidR="00000000" w:rsidRDefault="00AE54EE">
      <w:pPr>
        <w:ind w:hanging="900"/>
        <w:divId w:val="1323117187"/>
        <w:rPr>
          <w:rFonts w:eastAsia="Times New Roman"/>
        </w:rPr>
      </w:pPr>
      <w:hyperlink r:id="rId129" w:history="1">
        <w:r>
          <w:rPr>
            <w:rStyle w:val="a3"/>
            <w:rFonts w:eastAsia="Times New Roman"/>
            <w:sz w:val="20"/>
            <w:szCs w:val="20"/>
          </w:rPr>
          <w:t>*(10)(</w:t>
        </w:r>
      </w:hyperlink>
      <w:hyperlink r:id="rId130" w:history="1">
        <w:r>
          <w:rPr>
            <w:rStyle w:val="a3"/>
            <w:rFonts w:eastAsia="Times New Roman"/>
            <w:sz w:val="20"/>
            <w:szCs w:val="20"/>
          </w:rPr>
          <w:t>m</w:t>
        </w:r>
      </w:hyperlink>
      <w:hyperlink r:id="rId131" w:history="1">
        <w:r>
          <w:rPr>
            <w:rStyle w:val="a3"/>
            <w:rFonts w:eastAsia="Times New Roman"/>
            <w:sz w:val="20"/>
            <w:szCs w:val="20"/>
          </w:rPr>
          <w:t>) (i)</w:t>
        </w:r>
      </w:hyperlink>
      <w:hyperlink r:id="rId132" w:history="1">
        <w:r>
          <w:rPr>
            <w:rStyle w:val="a3"/>
            <w:rFonts w:eastAsia="Times New Roman"/>
            <w:sz w:val="20"/>
            <w:szCs w:val="20"/>
          </w:rPr>
          <w:t xml:space="preserve"> </w:t>
        </w:r>
      </w:hyperlink>
      <w:hyperlink r:id="rId133" w:history="1">
        <w:r>
          <w:rPr>
            <w:rStyle w:val="a3"/>
            <w:rFonts w:eastAsia="Times New Roman"/>
            <w:sz w:val="20"/>
            <w:szCs w:val="20"/>
          </w:rPr>
          <w:t xml:space="preserve">Master Rabbi Trust Agreement, amended </w:t>
        </w:r>
        <w:r>
          <w:rPr>
            <w:rStyle w:val="a3"/>
            <w:rFonts w:eastAsia="Times New Roman"/>
            <w:sz w:val="20"/>
            <w:szCs w:val="20"/>
          </w:rPr>
          <w:t>and restated as of December 2, 2003, by and between Harris Corporation and The Northern Trust Company, incorporated herein by reference to Exhibit 10(d) to Harris Corporation’s Quarterly Report on Form 10-Q for the fiscal quarter ended January 2, 2004. (Co</w:t>
        </w:r>
        <w:r>
          <w:rPr>
            <w:rStyle w:val="a3"/>
            <w:rFonts w:eastAsia="Times New Roman"/>
            <w:sz w:val="20"/>
            <w:szCs w:val="20"/>
          </w:rPr>
          <w:t>mmission File Number 1-3863)</w:t>
        </w:r>
      </w:hyperlink>
    </w:p>
    <w:p w:rsidR="00000000" w:rsidRDefault="00AE54EE">
      <w:pPr>
        <w:divId w:val="2047176175"/>
        <w:rPr>
          <w:rFonts w:eastAsia="Times New Roman"/>
        </w:rPr>
      </w:pPr>
      <w:hyperlink r:id="rId134" w:history="1">
        <w:r>
          <w:rPr>
            <w:rStyle w:val="a3"/>
            <w:rFonts w:eastAsia="Times New Roman"/>
            <w:sz w:val="20"/>
            <w:szCs w:val="20"/>
          </w:rPr>
          <w:t>(ii) First Amendment to the Harris Corporation Master Rabbi Trust Agreement, dated September 24, 2004, incorporated herein by r</w:t>
        </w:r>
        <w:r>
          <w:rPr>
            <w:rStyle w:val="a3"/>
            <w:rFonts w:eastAsia="Times New Roman"/>
            <w:sz w:val="20"/>
            <w:szCs w:val="20"/>
          </w:rPr>
          <w:t>eference to Exhibit 10(b) to Harris Corporation’s Quarterly Report on Form 10-Q for the fiscal quarter ended October 1, 2004. (Commission File Number 1-3863)</w:t>
        </w:r>
      </w:hyperlink>
    </w:p>
    <w:p w:rsidR="00000000" w:rsidRDefault="00AE54EE">
      <w:pPr>
        <w:divId w:val="267082736"/>
        <w:rPr>
          <w:rFonts w:eastAsia="Times New Roman"/>
        </w:rPr>
      </w:pPr>
      <w:hyperlink r:id="rId135" w:history="1">
        <w:r>
          <w:rPr>
            <w:rStyle w:val="a3"/>
            <w:rFonts w:eastAsia="Times New Roman"/>
            <w:sz w:val="20"/>
            <w:szCs w:val="20"/>
          </w:rPr>
          <w:t>(iii) Second Amendment to the Harris Corporation Master Rabbi Trust Agreement, dated as of December 8, 2004, incorporated herein by reference to Exhibit 10.5 to Harris Corporation’s Current Report on Form 8-K filed with the SEC on December 8, 2004. (Comm</w:t>
        </w:r>
        <w:r>
          <w:rPr>
            <w:rStyle w:val="a3"/>
            <w:rFonts w:eastAsia="Times New Roman"/>
            <w:sz w:val="20"/>
            <w:szCs w:val="20"/>
          </w:rPr>
          <w:t>ission File Number 1-3863)</w:t>
        </w:r>
      </w:hyperlink>
    </w:p>
    <w:p w:rsidR="00000000" w:rsidRDefault="00AE54EE">
      <w:pPr>
        <w:divId w:val="1015421039"/>
        <w:rPr>
          <w:rFonts w:eastAsia="Times New Roman"/>
        </w:rPr>
      </w:pPr>
      <w:hyperlink r:id="rId136" w:history="1">
        <w:r>
          <w:rPr>
            <w:rStyle w:val="a3"/>
            <w:rFonts w:eastAsia="Times New Roman"/>
            <w:sz w:val="20"/>
            <w:szCs w:val="20"/>
          </w:rPr>
          <w:t>(iv) Third Amendment to the Harris Corporation Master Rabbi Trust Agreement, dated January 15, 2009 and effective January 1, 2009, incorporated herein by reference to Exhibit 10(i) to Harris Corporation’s Quarterly Report on Form 10-Q for the fiscal quarte</w:t>
        </w:r>
        <w:r>
          <w:rPr>
            <w:rStyle w:val="a3"/>
            <w:rFonts w:eastAsia="Times New Roman"/>
            <w:sz w:val="20"/>
            <w:szCs w:val="20"/>
          </w:rPr>
          <w:t>r ended January 2, 2009. (Commission File Number 1-3863)</w:t>
        </w:r>
      </w:hyperlink>
    </w:p>
    <w:p w:rsidR="00000000" w:rsidRDefault="00AE54EE">
      <w:pPr>
        <w:divId w:val="1885016964"/>
        <w:rPr>
          <w:rFonts w:eastAsia="Times New Roman"/>
        </w:rPr>
      </w:pPr>
      <w:hyperlink r:id="rId137" w:history="1">
        <w:r>
          <w:rPr>
            <w:rStyle w:val="a3"/>
            <w:rFonts w:eastAsia="Times New Roman"/>
            <w:sz w:val="20"/>
            <w:szCs w:val="20"/>
          </w:rPr>
          <w:t xml:space="preserve">(v) Fourth Amendment to the Harris Corporation Master Rabbi Trust Agreement, dated October 27, 2010 </w:t>
        </w:r>
        <w:r>
          <w:rPr>
            <w:rStyle w:val="a3"/>
            <w:rFonts w:eastAsia="Times New Roman"/>
            <w:sz w:val="20"/>
            <w:szCs w:val="20"/>
          </w:rPr>
          <w:t>and effective as of August 28, 2010, incorporated herein by reference to Exhibit 10(n) to Harris Corporation’s Quarterly Report on Form 10-Q for the fiscal quarter ended October 1, 2010. (Commission File Number 1-3863)</w:t>
        </w:r>
      </w:hyperlink>
    </w:p>
    <w:p w:rsidR="00000000" w:rsidRDefault="00AE54EE">
      <w:pPr>
        <w:divId w:val="732502724"/>
        <w:rPr>
          <w:rFonts w:eastAsia="Times New Roman"/>
        </w:rPr>
      </w:pPr>
      <w:hyperlink r:id="rId138" w:history="1">
        <w:r>
          <w:rPr>
            <w:rStyle w:val="a3"/>
            <w:rFonts w:eastAsia="Times New Roman"/>
            <w:sz w:val="20"/>
            <w:szCs w:val="20"/>
          </w:rPr>
          <w:t>(vi) Fifth Amendment to the Harris Corporation Master Rabbi Trust Agreement, dated and effective as of February 28, 2019, incorporated herein by reference to Exhibit 10 to Harris Corporation’s</w:t>
        </w:r>
        <w:r>
          <w:rPr>
            <w:rStyle w:val="a3"/>
            <w:rFonts w:eastAsia="Times New Roman"/>
            <w:sz w:val="20"/>
            <w:szCs w:val="20"/>
          </w:rPr>
          <w:t xml:space="preserve"> Quarterly Report on Form 10-Q for the fiscal quarter ended March 29, 2019. (Commission File Number 1-3863)</w:t>
        </w:r>
      </w:hyperlink>
    </w:p>
    <w:p w:rsidR="00000000" w:rsidRDefault="00AE54EE">
      <w:pPr>
        <w:ind w:hanging="900"/>
        <w:divId w:val="1523474631"/>
        <w:rPr>
          <w:rFonts w:eastAsia="Times New Roman"/>
        </w:rPr>
      </w:pPr>
      <w:hyperlink r:id="rId139" w:history="1">
        <w:r>
          <w:rPr>
            <w:rStyle w:val="a3"/>
            <w:rFonts w:eastAsia="Times New Roman"/>
            <w:sz w:val="20"/>
            <w:szCs w:val="20"/>
          </w:rPr>
          <w:t>(10)(</w:t>
        </w:r>
      </w:hyperlink>
      <w:hyperlink r:id="rId140" w:history="1">
        <w:r>
          <w:rPr>
            <w:rStyle w:val="a3"/>
            <w:rFonts w:eastAsia="Times New Roman"/>
            <w:sz w:val="20"/>
            <w:szCs w:val="20"/>
          </w:rPr>
          <w:t>n</w:t>
        </w:r>
      </w:hyperlink>
      <w:hyperlink r:id="rId141" w:history="1">
        <w:r>
          <w:rPr>
            <w:rStyle w:val="a3"/>
            <w:rFonts w:eastAsia="Times New Roman"/>
            <w:sz w:val="20"/>
            <w:szCs w:val="20"/>
          </w:rPr>
          <w:t>) Commercial Paper Issuing and Paying Agent Agreement, dated as of March 30, 2005, between Citiban</w:t>
        </w:r>
        <w:r>
          <w:rPr>
            <w:rStyle w:val="a3"/>
            <w:rFonts w:eastAsia="Times New Roman"/>
            <w:sz w:val="20"/>
            <w:szCs w:val="20"/>
          </w:rPr>
          <w:t>k, N.A. and Harris Corporation, incorporated herein by reference to Exhibit 99.2 to Harris Corporation’s Current Report on Form 8-K filed with the SEC on April 5, 2005. (Commission File Number 1-3863)</w:t>
        </w:r>
      </w:hyperlink>
    </w:p>
    <w:p w:rsidR="00000000" w:rsidRDefault="00AE54EE">
      <w:pPr>
        <w:ind w:hanging="900"/>
        <w:divId w:val="1300379081"/>
        <w:rPr>
          <w:rFonts w:eastAsia="Times New Roman"/>
        </w:rPr>
      </w:pPr>
      <w:hyperlink r:id="rId142" w:history="1">
        <w:r>
          <w:rPr>
            <w:rStyle w:val="a3"/>
            <w:rFonts w:eastAsia="Times New Roman"/>
            <w:sz w:val="20"/>
            <w:szCs w:val="20"/>
          </w:rPr>
          <w:t>(10)(</w:t>
        </w:r>
      </w:hyperlink>
      <w:hyperlink r:id="rId143" w:history="1">
        <w:r>
          <w:rPr>
            <w:rStyle w:val="a3"/>
            <w:rFonts w:eastAsia="Times New Roman"/>
            <w:sz w:val="20"/>
            <w:szCs w:val="20"/>
          </w:rPr>
          <w:t>o</w:t>
        </w:r>
      </w:hyperlink>
      <w:hyperlink r:id="rId144" w:history="1">
        <w:r>
          <w:rPr>
            <w:rStyle w:val="a3"/>
            <w:rFonts w:eastAsia="Times New Roman"/>
            <w:sz w:val="20"/>
            <w:szCs w:val="20"/>
          </w:rPr>
          <w:t>) Commer</w:t>
        </w:r>
        <w:r>
          <w:rPr>
            <w:rStyle w:val="a3"/>
            <w:rFonts w:eastAsia="Times New Roman"/>
            <w:sz w:val="20"/>
            <w:szCs w:val="20"/>
          </w:rPr>
          <w:t>cial Paper Dealer Agreement, dated as of June 12, 2007, between Citigroup Global Markets Inc. and Harris Corporation, incorporated herein by reference to Exhibit 10.1 to Harris Corporation’s Current Report on Form 8-K filed with the SEC on June 18, 2007. (</w:t>
        </w:r>
        <w:r>
          <w:rPr>
            <w:rStyle w:val="a3"/>
            <w:rFonts w:eastAsia="Times New Roman"/>
            <w:sz w:val="20"/>
            <w:szCs w:val="20"/>
          </w:rPr>
          <w:t>Commission File Number 1-3863)</w:t>
        </w:r>
      </w:hyperlink>
    </w:p>
    <w:p w:rsidR="00000000" w:rsidRDefault="00AE54EE">
      <w:pPr>
        <w:ind w:hanging="900"/>
        <w:divId w:val="1993018824"/>
        <w:rPr>
          <w:rFonts w:eastAsia="Times New Roman"/>
        </w:rPr>
      </w:pPr>
      <w:hyperlink r:id="rId145" w:history="1">
        <w:r>
          <w:rPr>
            <w:rStyle w:val="a3"/>
            <w:rFonts w:eastAsia="Times New Roman"/>
            <w:sz w:val="20"/>
            <w:szCs w:val="20"/>
          </w:rPr>
          <w:t>(10)(</w:t>
        </w:r>
      </w:hyperlink>
      <w:hyperlink r:id="rId146" w:history="1">
        <w:r>
          <w:rPr>
            <w:rStyle w:val="a3"/>
            <w:rFonts w:eastAsia="Times New Roman"/>
            <w:sz w:val="20"/>
            <w:szCs w:val="20"/>
          </w:rPr>
          <w:t>p</w:t>
        </w:r>
      </w:hyperlink>
      <w:hyperlink r:id="rId147" w:history="1">
        <w:r>
          <w:rPr>
            <w:rStyle w:val="a3"/>
            <w:rFonts w:eastAsia="Times New Roman"/>
            <w:sz w:val="20"/>
            <w:szCs w:val="20"/>
          </w:rPr>
          <w:t xml:space="preserve">) </w:t>
        </w:r>
      </w:hyperlink>
      <w:hyperlink r:id="rId148" w:history="1">
        <w:r>
          <w:rPr>
            <w:rStyle w:val="a3"/>
            <w:rFonts w:eastAsia="Times New Roman"/>
            <w:sz w:val="20"/>
            <w:szCs w:val="20"/>
          </w:rPr>
          <w:t xml:space="preserve">Commercial Paper Dealer Agreement, dated June 13, 2007, between </w:t>
        </w:r>
      </w:hyperlink>
      <w:hyperlink r:id="rId149" w:history="1">
        <w:r>
          <w:rPr>
            <w:rStyle w:val="a3"/>
            <w:rFonts w:eastAsia="Times New Roman"/>
            <w:sz w:val="20"/>
            <w:szCs w:val="20"/>
          </w:rPr>
          <w:t>Banc</w:t>
        </w:r>
      </w:hyperlink>
      <w:hyperlink r:id="rId150" w:history="1">
        <w:r>
          <w:rPr>
            <w:rStyle w:val="a3"/>
            <w:rFonts w:eastAsia="Times New Roman"/>
            <w:sz w:val="20"/>
            <w:szCs w:val="20"/>
          </w:rPr>
          <w:t xml:space="preserve"> of America Securities LLC and Harris Corporation, incorporated herein by reference to Exhibit 10.2 to Harris Corporation’s Current Report on Form 8-K filed with the SEC on June 18, 2007. (Commission Fi</w:t>
        </w:r>
        <w:r>
          <w:rPr>
            <w:rStyle w:val="a3"/>
            <w:rFonts w:eastAsia="Times New Roman"/>
            <w:sz w:val="20"/>
            <w:szCs w:val="20"/>
          </w:rPr>
          <w:t>le Number 1-3863)</w:t>
        </w:r>
      </w:hyperlink>
    </w:p>
    <w:p w:rsidR="00000000" w:rsidRDefault="00AE54EE">
      <w:pPr>
        <w:ind w:hanging="900"/>
        <w:divId w:val="1276449114"/>
        <w:rPr>
          <w:rFonts w:eastAsia="Times New Roman"/>
        </w:rPr>
      </w:pPr>
      <w:hyperlink r:id="rId151" w:history="1">
        <w:r>
          <w:rPr>
            <w:rStyle w:val="a3"/>
            <w:rFonts w:eastAsia="Times New Roman"/>
            <w:sz w:val="20"/>
            <w:szCs w:val="20"/>
          </w:rPr>
          <w:t>(10)(</w:t>
        </w:r>
      </w:hyperlink>
      <w:hyperlink r:id="rId152" w:history="1">
        <w:r>
          <w:rPr>
            <w:rStyle w:val="a3"/>
            <w:rFonts w:eastAsia="Times New Roman"/>
            <w:sz w:val="20"/>
            <w:szCs w:val="20"/>
          </w:rPr>
          <w:t>q</w:t>
        </w:r>
      </w:hyperlink>
      <w:hyperlink r:id="rId153" w:history="1">
        <w:r>
          <w:rPr>
            <w:rStyle w:val="a3"/>
            <w:rFonts w:eastAsia="Times New Roman"/>
            <w:sz w:val="20"/>
            <w:szCs w:val="20"/>
          </w:rPr>
          <w:t>) Commercial Paper Dealer Agreement, dated as of June 14, 2007, between SunTrust Capital Markets, Inc. and Harris Corporation, incorporated herein by referen</w:t>
        </w:r>
        <w:r>
          <w:rPr>
            <w:rStyle w:val="a3"/>
            <w:rFonts w:eastAsia="Times New Roman"/>
            <w:sz w:val="20"/>
            <w:szCs w:val="20"/>
          </w:rPr>
          <w:t>ce to Exhibit 10.3 to Harris Corporation’s Current Report on Form 8-K filed with the SEC on June 18, 2007. (Commission File Number 1-3863)</w:t>
        </w:r>
      </w:hyperlink>
    </w:p>
    <w:p w:rsidR="00000000" w:rsidRDefault="00AE54EE">
      <w:pPr>
        <w:ind w:hanging="900"/>
        <w:divId w:val="768741561"/>
        <w:rPr>
          <w:rFonts w:eastAsia="Times New Roman"/>
        </w:rPr>
      </w:pPr>
      <w:hyperlink r:id="rId154" w:history="1">
        <w:r>
          <w:rPr>
            <w:rStyle w:val="a3"/>
            <w:rFonts w:eastAsia="Times New Roman"/>
            <w:sz w:val="20"/>
            <w:szCs w:val="20"/>
          </w:rPr>
          <w:t>*(10)(</w:t>
        </w:r>
      </w:hyperlink>
      <w:hyperlink r:id="rId155" w:history="1">
        <w:r>
          <w:rPr>
            <w:rStyle w:val="a3"/>
            <w:rFonts w:eastAsia="Times New Roman"/>
            <w:sz w:val="20"/>
            <w:szCs w:val="20"/>
          </w:rPr>
          <w:t>r</w:t>
        </w:r>
      </w:hyperlink>
      <w:hyperlink r:id="rId156" w:history="1">
        <w:r>
          <w:rPr>
            <w:rStyle w:val="a3"/>
            <w:rFonts w:eastAsia="Times New Roman"/>
            <w:sz w:val="20"/>
            <w:szCs w:val="20"/>
          </w:rPr>
          <w:t>) (i) Employment Agreement, dated October 8, 2011 and effective Novem</w:t>
        </w:r>
        <w:r>
          <w:rPr>
            <w:rStyle w:val="a3"/>
            <w:rFonts w:eastAsia="Times New Roman"/>
            <w:sz w:val="20"/>
            <w:szCs w:val="20"/>
          </w:rPr>
          <w:t>ber 1, 2011, by and between Harris Corporation and William M. Brown, incorporated herein by reference to Exhibit 10.1 to Harris Corporation’s Current Report on Form 8-K filed with the SEC on October 11, 2011. (Commission File Number 1-3863)</w:t>
        </w:r>
      </w:hyperlink>
    </w:p>
    <w:p w:rsidR="00000000" w:rsidRDefault="00AE54EE">
      <w:pPr>
        <w:ind w:firstLine="450"/>
        <w:jc w:val="center"/>
        <w:divId w:val="346060478"/>
        <w:rPr>
          <w:rFonts w:eastAsia="Times New Roman"/>
        </w:rPr>
      </w:pPr>
      <w:r>
        <w:rPr>
          <w:rFonts w:eastAsia="Times New Roman"/>
          <w:color w:val="000000"/>
          <w:sz w:val="20"/>
          <w:szCs w:val="20"/>
        </w:rPr>
        <w:t>133</w:t>
      </w:r>
    </w:p>
    <w:p w:rsidR="00000000" w:rsidRDefault="00AE54EE">
      <w:pPr>
        <w:rPr>
          <w:rFonts w:eastAsia="Times New Roman"/>
        </w:rPr>
      </w:pPr>
      <w:r>
        <w:rPr>
          <w:rFonts w:eastAsia="Times New Roman"/>
        </w:rPr>
        <w:pict>
          <v:rect id="_x0000_i1161" style="width:0;height:1.5pt" o:hralign="center" o:hrstd="t" o:hr="t" fillcolor="#a0a0a0" stroked="f"/>
        </w:pict>
      </w:r>
    </w:p>
    <w:p w:rsidR="00000000" w:rsidRDefault="00AE54EE">
      <w:pPr>
        <w:ind w:firstLine="450"/>
        <w:divId w:val="1279527468"/>
        <w:rPr>
          <w:rFonts w:eastAsia="Times New Roman"/>
        </w:rPr>
      </w:pPr>
    </w:p>
    <w:p w:rsidR="00000000" w:rsidRDefault="00AE54EE">
      <w:pPr>
        <w:divId w:val="1742676420"/>
        <w:rPr>
          <w:rFonts w:eastAsia="Times New Roman"/>
        </w:rPr>
      </w:pPr>
      <w:hyperlink r:id="rId157" w:history="1">
        <w:r>
          <w:rPr>
            <w:rStyle w:val="a3"/>
            <w:rFonts w:eastAsia="Times New Roman"/>
            <w:sz w:val="20"/>
            <w:szCs w:val="20"/>
          </w:rPr>
          <w:t>(ii)</w:t>
        </w:r>
      </w:hyperlink>
      <w:hyperlink r:id="rId158" w:history="1">
        <w:r>
          <w:rPr>
            <w:rStyle w:val="a3"/>
            <w:rFonts w:eastAsia="Times New Roman"/>
            <w:sz w:val="20"/>
            <w:szCs w:val="20"/>
          </w:rPr>
          <w:t xml:space="preserve"> </w:t>
        </w:r>
      </w:hyperlink>
      <w:hyperlink r:id="rId159" w:history="1">
        <w:r>
          <w:rPr>
            <w:rStyle w:val="a3"/>
            <w:rFonts w:eastAsia="Times New Roman"/>
            <w:sz w:val="20"/>
            <w:szCs w:val="20"/>
          </w:rPr>
          <w:t>Employment Agreement Amendment, dated October 12, 2018, by and between Harris Corporation and William M. Brown, incorporated herein by referenc</w:t>
        </w:r>
        <w:r>
          <w:rPr>
            <w:rStyle w:val="a3"/>
            <w:rFonts w:eastAsia="Times New Roman"/>
            <w:sz w:val="20"/>
            <w:szCs w:val="20"/>
          </w:rPr>
          <w:t>e to Exhibit 10.1 to Harris Corporation’s Quarterly Report on Form 10-Q for the fiscal quarter ended December 28, 2018. (Commission File Number 1-3863)</w:t>
        </w:r>
      </w:hyperlink>
    </w:p>
    <w:p w:rsidR="00000000" w:rsidRDefault="00AE54EE">
      <w:pPr>
        <w:ind w:hanging="900"/>
        <w:divId w:val="2069305960"/>
        <w:rPr>
          <w:rFonts w:eastAsia="Times New Roman"/>
        </w:rPr>
      </w:pPr>
      <w:hyperlink r:id="rId160" w:history="1">
        <w:r>
          <w:rPr>
            <w:rStyle w:val="a3"/>
            <w:rFonts w:eastAsia="Times New Roman"/>
            <w:sz w:val="20"/>
            <w:szCs w:val="20"/>
          </w:rPr>
          <w:t>*(10)(</w:t>
        </w:r>
      </w:hyperlink>
      <w:hyperlink r:id="rId161" w:history="1">
        <w:r>
          <w:rPr>
            <w:rStyle w:val="a3"/>
            <w:rFonts w:eastAsia="Times New Roman"/>
            <w:sz w:val="20"/>
            <w:szCs w:val="20"/>
          </w:rPr>
          <w:t>s</w:t>
        </w:r>
      </w:hyperlink>
      <w:hyperlink r:id="rId162" w:history="1">
        <w:r>
          <w:rPr>
            <w:rStyle w:val="a3"/>
            <w:rFonts w:eastAsia="Times New Roman"/>
            <w:sz w:val="20"/>
            <w:szCs w:val="20"/>
          </w:rPr>
          <w:t>) Letter Agreement with Christopher E. Kubasik, dated as of November 5, 2018,</w:t>
        </w:r>
        <w:r>
          <w:rPr>
            <w:rStyle w:val="a3"/>
            <w:rFonts w:eastAsia="Times New Roman"/>
            <w:sz w:val="20"/>
            <w:szCs w:val="20"/>
          </w:rPr>
          <w:t xml:space="preserve"> incorporated herein by reference to Exhibit 10.4 to L3Harris Technologies, Inc.’s Current Report on Form 8-K filed with the SEC on July 1, 2019. (Commission File Number 1-3863)</w:t>
        </w:r>
      </w:hyperlink>
    </w:p>
    <w:p w:rsidR="00000000" w:rsidRDefault="00AE54EE">
      <w:pPr>
        <w:ind w:hanging="900"/>
        <w:divId w:val="126628772"/>
        <w:rPr>
          <w:rFonts w:eastAsia="Times New Roman"/>
        </w:rPr>
      </w:pPr>
      <w:hyperlink r:id="rId163" w:history="1">
        <w:r>
          <w:rPr>
            <w:rStyle w:val="a3"/>
            <w:rFonts w:eastAsia="Times New Roman"/>
            <w:sz w:val="20"/>
            <w:szCs w:val="20"/>
          </w:rPr>
          <w:t>*(10)(</w:t>
        </w:r>
      </w:hyperlink>
      <w:hyperlink r:id="rId164" w:history="1">
        <w:r>
          <w:rPr>
            <w:rStyle w:val="a3"/>
            <w:rFonts w:eastAsia="Times New Roman"/>
            <w:sz w:val="20"/>
            <w:szCs w:val="20"/>
          </w:rPr>
          <w:t>t</w:t>
        </w:r>
      </w:hyperlink>
      <w:hyperlink r:id="rId165" w:history="1">
        <w:r>
          <w:rPr>
            <w:rStyle w:val="a3"/>
            <w:rFonts w:eastAsia="Times New Roman"/>
            <w:sz w:val="20"/>
            <w:szCs w:val="20"/>
          </w:rPr>
          <w:t xml:space="preserve">) </w:t>
        </w:r>
        <w:r>
          <w:rPr>
            <w:rStyle w:val="a3"/>
            <w:rFonts w:eastAsia="Times New Roman"/>
            <w:sz w:val="20"/>
            <w:szCs w:val="20"/>
          </w:rPr>
          <w:t>Offer Letter Agreement with Jesus Malave Jr., dated as of June 6, 2019, incorporated herein by reference to Exhibit 10.3 to L3Harris Technologies, Inc.’s Current Report on Form 8-K filed with the SEC on July 1, 2019. (Commission File Number 1-3863)</w:t>
        </w:r>
      </w:hyperlink>
    </w:p>
    <w:p w:rsidR="00000000" w:rsidRDefault="00AE54EE">
      <w:pPr>
        <w:ind w:hanging="900"/>
        <w:divId w:val="801508841"/>
        <w:rPr>
          <w:rFonts w:eastAsia="Times New Roman"/>
        </w:rPr>
      </w:pPr>
      <w:hyperlink r:id="rId166" w:history="1">
        <w:r>
          <w:rPr>
            <w:rStyle w:val="a3"/>
            <w:rFonts w:eastAsia="Times New Roman"/>
            <w:sz w:val="20"/>
            <w:szCs w:val="20"/>
          </w:rPr>
          <w:t>*(10)(</w:t>
        </w:r>
      </w:hyperlink>
      <w:hyperlink r:id="rId167" w:history="1">
        <w:r>
          <w:rPr>
            <w:rStyle w:val="a3"/>
            <w:rFonts w:eastAsia="Times New Roman"/>
            <w:sz w:val="20"/>
            <w:szCs w:val="20"/>
          </w:rPr>
          <w:t>u</w:t>
        </w:r>
      </w:hyperlink>
      <w:hyperlink r:id="rId168" w:history="1">
        <w:r>
          <w:rPr>
            <w:rStyle w:val="a3"/>
            <w:rFonts w:eastAsia="Times New Roman"/>
            <w:sz w:val="20"/>
            <w:szCs w:val="20"/>
          </w:rPr>
          <w:t xml:space="preserve">) </w:t>
        </w:r>
      </w:hyperlink>
      <w:hyperlink r:id="rId169" w:history="1">
        <w:r>
          <w:rPr>
            <w:rStyle w:val="a3"/>
            <w:rFonts w:eastAsia="Times New Roman"/>
            <w:sz w:val="20"/>
            <w:szCs w:val="20"/>
          </w:rPr>
          <w:t>Summary of Annual Compensation of Non-Employee Directors of L3Harris Technologies, Inc., effective as of June 29, 2019, incorporated herein by</w:t>
        </w:r>
        <w:r>
          <w:rPr>
            <w:rStyle w:val="a3"/>
            <w:rFonts w:eastAsia="Times New Roman"/>
            <w:sz w:val="20"/>
            <w:szCs w:val="20"/>
          </w:rPr>
          <w:t xml:space="preserve"> reference to Exhibit 10.2 to L3Harris Technologies, Inc.’s Current Report on Form 8-K filed with the SEC on July 1, 2019. </w:t>
        </w:r>
      </w:hyperlink>
      <w:hyperlink r:id="rId170" w:history="1">
        <w:r>
          <w:rPr>
            <w:rStyle w:val="a3"/>
            <w:rFonts w:eastAsia="Times New Roman"/>
            <w:sz w:val="20"/>
            <w:szCs w:val="20"/>
          </w:rPr>
          <w:t>(Commission File Number 1-3863</w:t>
        </w:r>
      </w:hyperlink>
      <w:hyperlink r:id="rId171" w:history="1">
        <w:r>
          <w:rPr>
            <w:rStyle w:val="a3"/>
            <w:rFonts w:eastAsia="Times New Roman"/>
            <w:sz w:val="20"/>
            <w:szCs w:val="20"/>
          </w:rPr>
          <w:t>)</w:t>
        </w:r>
      </w:hyperlink>
      <w:r>
        <w:rPr>
          <w:rFonts w:eastAsia="Times New Roman"/>
          <w:color w:val="000000"/>
          <w:sz w:val="20"/>
          <w:szCs w:val="20"/>
        </w:rPr>
        <w:t xml:space="preserve"> </w:t>
      </w:r>
    </w:p>
    <w:p w:rsidR="00000000" w:rsidRDefault="00AE54EE">
      <w:pPr>
        <w:ind w:hanging="900"/>
        <w:divId w:val="597178607"/>
        <w:rPr>
          <w:rFonts w:eastAsia="Times New Roman"/>
        </w:rPr>
      </w:pPr>
      <w:hyperlink r:id="rId172" w:history="1">
        <w:r>
          <w:rPr>
            <w:rStyle w:val="a3"/>
            <w:rFonts w:eastAsia="Times New Roman"/>
            <w:sz w:val="20"/>
            <w:szCs w:val="20"/>
          </w:rPr>
          <w:t>*(10)(</w:t>
        </w:r>
      </w:hyperlink>
      <w:hyperlink r:id="rId173" w:history="1">
        <w:r>
          <w:rPr>
            <w:rStyle w:val="a3"/>
            <w:rFonts w:eastAsia="Times New Roman"/>
            <w:sz w:val="20"/>
            <w:szCs w:val="20"/>
          </w:rPr>
          <w:t>v</w:t>
        </w:r>
      </w:hyperlink>
      <w:hyperlink r:id="rId174" w:history="1">
        <w:r>
          <w:rPr>
            <w:rStyle w:val="a3"/>
            <w:rFonts w:eastAsia="Times New Roman"/>
            <w:sz w:val="20"/>
            <w:szCs w:val="20"/>
          </w:rPr>
          <w:t xml:space="preserve">) </w:t>
        </w:r>
      </w:hyperlink>
      <w:hyperlink r:id="rId175" w:history="1">
        <w:r>
          <w:rPr>
            <w:rStyle w:val="a3"/>
            <w:rFonts w:eastAsia="Times New Roman"/>
            <w:sz w:val="20"/>
            <w:szCs w:val="20"/>
          </w:rPr>
          <w:t>Summary of Annual Compensation of L3Harris Technologies, Inc., Non-Employee Directors effective as of January 1, 2022, incorporated herein by reference to Exhibit 10.1 to the Company's Current Report on Form 8-K filed with the SE</w:t>
        </w:r>
        <w:r>
          <w:rPr>
            <w:rStyle w:val="a3"/>
            <w:rFonts w:eastAsia="Times New Roman"/>
            <w:sz w:val="20"/>
            <w:szCs w:val="20"/>
          </w:rPr>
          <w:t>C on August 4, 2021. (Commission File Number 1-3863)</w:t>
        </w:r>
      </w:hyperlink>
    </w:p>
    <w:p w:rsidR="00000000" w:rsidRDefault="00AE54EE">
      <w:pPr>
        <w:ind w:hanging="900"/>
        <w:divId w:val="909533526"/>
        <w:rPr>
          <w:rFonts w:eastAsia="Times New Roman"/>
        </w:rPr>
      </w:pPr>
      <w:hyperlink r:id="rId176" w:history="1">
        <w:r>
          <w:rPr>
            <w:rStyle w:val="a3"/>
            <w:rFonts w:eastAsia="Times New Roman"/>
            <w:sz w:val="20"/>
            <w:szCs w:val="20"/>
          </w:rPr>
          <w:t>***(10)(</w:t>
        </w:r>
      </w:hyperlink>
      <w:hyperlink r:id="rId177" w:history="1">
        <w:r>
          <w:rPr>
            <w:rStyle w:val="a3"/>
            <w:rFonts w:eastAsia="Times New Roman"/>
            <w:sz w:val="20"/>
            <w:szCs w:val="20"/>
          </w:rPr>
          <w:t>w</w:t>
        </w:r>
      </w:hyperlink>
      <w:hyperlink r:id="rId178" w:history="1">
        <w:r>
          <w:rPr>
            <w:rStyle w:val="a3"/>
            <w:rFonts w:eastAsia="Times New Roman"/>
            <w:sz w:val="20"/>
            <w:szCs w:val="20"/>
          </w:rPr>
          <w:t>)</w:t>
        </w:r>
      </w:hyperlink>
      <w:hyperlink r:id="rId179" w:history="1">
        <w:r>
          <w:rPr>
            <w:rStyle w:val="a3"/>
            <w:rFonts w:eastAsia="Times New Roman"/>
            <w:sz w:val="20"/>
            <w:szCs w:val="20"/>
          </w:rPr>
          <w:t>(i)</w:t>
        </w:r>
      </w:hyperlink>
      <w:hyperlink r:id="rId180" w:history="1">
        <w:r>
          <w:rPr>
            <w:rStyle w:val="a3"/>
            <w:rFonts w:eastAsia="Times New Roman"/>
            <w:sz w:val="20"/>
            <w:szCs w:val="20"/>
          </w:rPr>
          <w:t xml:space="preserve"> Revolving Credit Agreement, dated June 28, 2019, among Harris Corporation and certain of its Subsidiaries from time to time, as the Borrowers, the Lenders from tim</w:t>
        </w:r>
        <w:r>
          <w:rPr>
            <w:rStyle w:val="a3"/>
            <w:rFonts w:eastAsia="Times New Roman"/>
            <w:sz w:val="20"/>
            <w:szCs w:val="20"/>
          </w:rPr>
          <w:t>e to time party thereto, JPMorgan Chase Bank, N.A., as Administrative Agent, L/C Issuer and Swingline Lender, Citibank, N.A., Bank of America, N.A., Morgan Stanley MUFG Loan Partners, LLC and Wells Fargo Bank, National Association, as Co-Syndication Agents</w:t>
        </w:r>
        <w:r>
          <w:rPr>
            <w:rStyle w:val="a3"/>
            <w:rFonts w:eastAsia="Times New Roman"/>
            <w:sz w:val="20"/>
            <w:szCs w:val="20"/>
          </w:rPr>
          <w:t xml:space="preserve"> and JPMorgan Chase Bank, N.A., Citibank, N.A., Bank of America Securities, Inc., Morgan Stanley MUFG Loan Partners, LLC and Wells Fargo Securities, LLC, as Joint Lead Arrangers and Joint Bookrunners, incorporated herein by reference to Exhibit 10.1 to L3H</w:t>
        </w:r>
        <w:r>
          <w:rPr>
            <w:rStyle w:val="a3"/>
            <w:rFonts w:eastAsia="Times New Roman"/>
            <w:sz w:val="20"/>
            <w:szCs w:val="20"/>
          </w:rPr>
          <w:t>arris Technologies, Inc.’s Current Report on Form 8-K filed with the SEC on July 1, 2019. (Commission File Number 1-3863)</w:t>
        </w:r>
      </w:hyperlink>
      <w:r>
        <w:rPr>
          <w:rFonts w:eastAsia="Times New Roman"/>
          <w:color w:val="000000"/>
          <w:sz w:val="20"/>
          <w:szCs w:val="20"/>
        </w:rPr>
        <w:t xml:space="preserve"> </w:t>
      </w:r>
    </w:p>
    <w:p w:rsidR="00000000" w:rsidRDefault="00AE54EE">
      <w:pPr>
        <w:ind w:firstLine="450"/>
        <w:divId w:val="1409502653"/>
        <w:rPr>
          <w:rFonts w:eastAsia="Times New Roman"/>
        </w:rPr>
      </w:pPr>
      <w:hyperlink r:id="rId181" w:history="1">
        <w:r>
          <w:rPr>
            <w:rStyle w:val="a3"/>
            <w:rFonts w:eastAsia="Times New Roman"/>
            <w:sz w:val="20"/>
            <w:szCs w:val="20"/>
          </w:rPr>
          <w:t>(ii) Am</w:t>
        </w:r>
      </w:hyperlink>
      <w:hyperlink r:id="rId182" w:history="1">
        <w:r>
          <w:rPr>
            <w:rStyle w:val="a3"/>
            <w:rFonts w:eastAsia="Times New Roman"/>
            <w:sz w:val="20"/>
            <w:szCs w:val="20"/>
          </w:rPr>
          <w:t>e</w:t>
        </w:r>
      </w:hyperlink>
      <w:hyperlink r:id="rId183" w:history="1">
        <w:r>
          <w:rPr>
            <w:rStyle w:val="a3"/>
            <w:rFonts w:eastAsia="Times New Roman"/>
            <w:sz w:val="20"/>
            <w:szCs w:val="20"/>
          </w:rPr>
          <w:t xml:space="preserve">ndment </w:t>
        </w:r>
      </w:hyperlink>
      <w:hyperlink r:id="rId184" w:history="1">
        <w:r>
          <w:rPr>
            <w:rStyle w:val="a3"/>
            <w:rFonts w:eastAsia="Times New Roman"/>
            <w:sz w:val="20"/>
            <w:szCs w:val="20"/>
          </w:rPr>
          <w:t>No. 1</w:t>
        </w:r>
      </w:hyperlink>
      <w:hyperlink r:id="rId185" w:history="1">
        <w:r>
          <w:rPr>
            <w:rStyle w:val="a3"/>
            <w:rFonts w:eastAsia="Times New Roman"/>
            <w:sz w:val="20"/>
            <w:szCs w:val="20"/>
          </w:rPr>
          <w:t xml:space="preserve">, dated November 4, 2021 </w:t>
        </w:r>
      </w:hyperlink>
      <w:hyperlink r:id="rId186" w:history="1">
        <w:r>
          <w:rPr>
            <w:rStyle w:val="a3"/>
            <w:rFonts w:eastAsia="Times New Roman"/>
            <w:sz w:val="20"/>
            <w:szCs w:val="20"/>
          </w:rPr>
          <w:t>to Revolv</w:t>
        </w:r>
      </w:hyperlink>
      <w:hyperlink r:id="rId187" w:history="1">
        <w:r>
          <w:rPr>
            <w:rStyle w:val="a3"/>
            <w:rFonts w:eastAsia="Times New Roman"/>
            <w:sz w:val="20"/>
            <w:szCs w:val="20"/>
          </w:rPr>
          <w:t>ing Cr</w:t>
        </w:r>
        <w:r>
          <w:rPr>
            <w:rStyle w:val="a3"/>
            <w:rFonts w:eastAsia="Times New Roman"/>
            <w:sz w:val="20"/>
            <w:szCs w:val="20"/>
          </w:rPr>
          <w:t>ed</w:t>
        </w:r>
      </w:hyperlink>
      <w:hyperlink r:id="rId188" w:history="1">
        <w:r>
          <w:rPr>
            <w:rStyle w:val="a3"/>
            <w:rFonts w:eastAsia="Times New Roman"/>
            <w:sz w:val="20"/>
            <w:szCs w:val="20"/>
          </w:rPr>
          <w:t xml:space="preserve">it </w:t>
        </w:r>
      </w:hyperlink>
      <w:hyperlink r:id="rId189" w:history="1">
        <w:r>
          <w:rPr>
            <w:rStyle w:val="a3"/>
            <w:rFonts w:eastAsia="Times New Roman"/>
            <w:sz w:val="20"/>
            <w:szCs w:val="20"/>
          </w:rPr>
          <w:t>Agreement, dated June 28, 2019</w:t>
        </w:r>
      </w:hyperlink>
      <w:hyperlink r:id="rId190" w:history="1">
        <w:r>
          <w:rPr>
            <w:rStyle w:val="a3"/>
            <w:rFonts w:eastAsia="Times New Roman"/>
            <w:sz w:val="20"/>
            <w:szCs w:val="20"/>
          </w:rPr>
          <w:t>.</w:t>
        </w:r>
      </w:hyperlink>
    </w:p>
    <w:p w:rsidR="00000000" w:rsidRDefault="00AE54EE">
      <w:pPr>
        <w:ind w:hanging="900"/>
        <w:divId w:val="1615820978"/>
        <w:rPr>
          <w:rFonts w:eastAsia="Times New Roman"/>
        </w:rPr>
      </w:pPr>
      <w:hyperlink r:id="rId191" w:history="1">
        <w:r>
          <w:rPr>
            <w:rStyle w:val="a3"/>
            <w:rFonts w:eastAsia="Times New Roman"/>
            <w:sz w:val="20"/>
            <w:szCs w:val="20"/>
          </w:rPr>
          <w:t>*(10)(</w:t>
        </w:r>
      </w:hyperlink>
      <w:hyperlink r:id="rId192" w:history="1">
        <w:r>
          <w:rPr>
            <w:rStyle w:val="a3"/>
            <w:rFonts w:eastAsia="Times New Roman"/>
            <w:sz w:val="20"/>
            <w:szCs w:val="20"/>
          </w:rPr>
          <w:t>x</w:t>
        </w:r>
      </w:hyperlink>
      <w:hyperlink r:id="rId193" w:history="1">
        <w:r>
          <w:rPr>
            <w:rStyle w:val="a3"/>
            <w:rFonts w:eastAsia="Times New Roman"/>
            <w:sz w:val="20"/>
            <w:szCs w:val="20"/>
          </w:rPr>
          <w:t xml:space="preserve">) </w:t>
        </w:r>
      </w:hyperlink>
      <w:hyperlink r:id="rId194" w:history="1">
        <w:r>
          <w:rPr>
            <w:rStyle w:val="a3"/>
            <w:rFonts w:eastAsia="Times New Roman"/>
            <w:sz w:val="20"/>
            <w:szCs w:val="20"/>
          </w:rPr>
          <w:t>L</w:t>
        </w:r>
      </w:hyperlink>
      <w:hyperlink r:id="rId195" w:history="1">
        <w:r>
          <w:rPr>
            <w:rStyle w:val="a3"/>
            <w:rFonts w:eastAsia="Times New Roman"/>
            <w:sz w:val="20"/>
            <w:szCs w:val="20"/>
          </w:rPr>
          <w:t>3Harris Supplemental Executive Retirement Plan (restated January 2, 2020), incorporated herein by reference to Exhibit</w:t>
        </w:r>
      </w:hyperlink>
      <w:hyperlink r:id="rId196" w:history="1">
        <w:r>
          <w:rPr>
            <w:rStyle w:val="a3"/>
            <w:rFonts w:eastAsia="Times New Roman"/>
            <w:sz w:val="20"/>
            <w:szCs w:val="20"/>
          </w:rPr>
          <w:t xml:space="preserve"> </w:t>
        </w:r>
      </w:hyperlink>
      <w:hyperlink r:id="rId197" w:history="1">
        <w:r>
          <w:rPr>
            <w:rStyle w:val="a3"/>
            <w:rFonts w:eastAsia="Times New Roman"/>
            <w:sz w:val="20"/>
            <w:szCs w:val="20"/>
          </w:rPr>
          <w:t>10(</w:t>
        </w:r>
      </w:hyperlink>
      <w:hyperlink r:id="rId198" w:history="1">
        <w:r>
          <w:rPr>
            <w:rStyle w:val="a3"/>
            <w:rFonts w:eastAsia="Times New Roman"/>
            <w:sz w:val="20"/>
            <w:szCs w:val="20"/>
          </w:rPr>
          <w:t>z</w:t>
        </w:r>
      </w:hyperlink>
      <w:hyperlink r:id="rId199" w:history="1">
        <w:r>
          <w:rPr>
            <w:rStyle w:val="a3"/>
            <w:rFonts w:eastAsia="Times New Roman"/>
            <w:sz w:val="20"/>
            <w:szCs w:val="20"/>
          </w:rPr>
          <w:t>)</w:t>
        </w:r>
      </w:hyperlink>
      <w:hyperlink r:id="rId200" w:history="1">
        <w:r>
          <w:rPr>
            <w:rStyle w:val="a3"/>
            <w:rFonts w:eastAsia="Times New Roman"/>
            <w:sz w:val="20"/>
            <w:szCs w:val="20"/>
          </w:rPr>
          <w:t xml:space="preserve"> </w:t>
        </w:r>
      </w:hyperlink>
      <w:hyperlink r:id="rId201" w:history="1">
        <w:r>
          <w:rPr>
            <w:rStyle w:val="a3"/>
            <w:rFonts w:eastAsia="Times New Roman"/>
            <w:sz w:val="20"/>
            <w:szCs w:val="20"/>
          </w:rPr>
          <w:t>to L3Harris Technologies, Inc.’s Annual Report on Form 10-K for fiscal year-ended January 1, 2021. (Commission File Number 1-3863)</w:t>
        </w:r>
      </w:hyperlink>
    </w:p>
    <w:p w:rsidR="00000000" w:rsidRDefault="00AE54EE">
      <w:pPr>
        <w:ind w:hanging="900"/>
        <w:divId w:val="1938512366"/>
        <w:rPr>
          <w:rFonts w:eastAsia="Times New Roman"/>
        </w:rPr>
      </w:pPr>
      <w:hyperlink r:id="rId202" w:history="1">
        <w:r>
          <w:rPr>
            <w:rStyle w:val="a3"/>
            <w:rFonts w:eastAsia="Times New Roman"/>
            <w:sz w:val="20"/>
            <w:szCs w:val="20"/>
          </w:rPr>
          <w:t>*(10)(</w:t>
        </w:r>
      </w:hyperlink>
      <w:hyperlink r:id="rId203" w:history="1">
        <w:r>
          <w:rPr>
            <w:rStyle w:val="a3"/>
            <w:rFonts w:eastAsia="Times New Roman"/>
            <w:sz w:val="20"/>
            <w:szCs w:val="20"/>
          </w:rPr>
          <w:t>y</w:t>
        </w:r>
      </w:hyperlink>
      <w:hyperlink r:id="rId204" w:history="1">
        <w:r>
          <w:rPr>
            <w:rStyle w:val="a3"/>
            <w:rFonts w:eastAsia="Times New Roman"/>
            <w:sz w:val="20"/>
            <w:szCs w:val="20"/>
          </w:rPr>
          <w:t xml:space="preserve">) </w:t>
        </w:r>
      </w:hyperlink>
      <w:hyperlink r:id="rId205" w:history="1">
        <w:r>
          <w:rPr>
            <w:rStyle w:val="a3"/>
            <w:rFonts w:eastAsia="Times New Roman"/>
            <w:sz w:val="20"/>
            <w:szCs w:val="20"/>
          </w:rPr>
          <w:t>L3Harris Salaried</w:t>
        </w:r>
        <w:r>
          <w:rPr>
            <w:rStyle w:val="a3"/>
            <w:rFonts w:eastAsia="Times New Roman"/>
            <w:sz w:val="20"/>
            <w:szCs w:val="20"/>
          </w:rPr>
          <w:t xml:space="preserve"> Pension Plan (as amended and restated as of </w:t>
        </w:r>
      </w:hyperlink>
      <w:hyperlink r:id="rId206" w:history="1">
        <w:r>
          <w:rPr>
            <w:rStyle w:val="a3"/>
            <w:rFonts w:eastAsia="Times New Roman"/>
            <w:sz w:val="20"/>
            <w:szCs w:val="20"/>
          </w:rPr>
          <w:t>December</w:t>
        </w:r>
      </w:hyperlink>
      <w:hyperlink r:id="rId207" w:history="1">
        <w:r>
          <w:rPr>
            <w:rStyle w:val="a3"/>
            <w:rFonts w:eastAsia="Times New Roman"/>
            <w:sz w:val="20"/>
            <w:szCs w:val="20"/>
          </w:rPr>
          <w:t xml:space="preserve"> 31, 202</w:t>
        </w:r>
      </w:hyperlink>
      <w:hyperlink r:id="rId208" w:history="1">
        <w:r>
          <w:rPr>
            <w:rStyle w:val="a3"/>
            <w:rFonts w:eastAsia="Times New Roman"/>
            <w:sz w:val="20"/>
            <w:szCs w:val="20"/>
          </w:rPr>
          <w:t>1</w:t>
        </w:r>
      </w:hyperlink>
      <w:hyperlink r:id="rId209" w:history="1">
        <w:r>
          <w:rPr>
            <w:rStyle w:val="a3"/>
            <w:rFonts w:eastAsia="Times New Roman"/>
            <w:sz w:val="20"/>
            <w:szCs w:val="20"/>
          </w:rPr>
          <w:t>)</w:t>
        </w:r>
      </w:hyperlink>
    </w:p>
    <w:p w:rsidR="00000000" w:rsidRDefault="00AE54EE">
      <w:pPr>
        <w:ind w:hanging="900"/>
        <w:divId w:val="682246079"/>
        <w:rPr>
          <w:rFonts w:eastAsia="Times New Roman"/>
        </w:rPr>
      </w:pPr>
      <w:hyperlink r:id="rId210" w:history="1">
        <w:r>
          <w:rPr>
            <w:rStyle w:val="a3"/>
            <w:rFonts w:eastAsia="Times New Roman"/>
            <w:sz w:val="20"/>
            <w:szCs w:val="20"/>
          </w:rPr>
          <w:t>*10(</w:t>
        </w:r>
      </w:hyperlink>
      <w:hyperlink r:id="rId211" w:history="1">
        <w:r>
          <w:rPr>
            <w:rStyle w:val="a3"/>
            <w:rFonts w:eastAsia="Times New Roman"/>
            <w:sz w:val="20"/>
            <w:szCs w:val="20"/>
          </w:rPr>
          <w:t>z</w:t>
        </w:r>
      </w:hyperlink>
      <w:hyperlink r:id="rId212" w:history="1">
        <w:r>
          <w:rPr>
            <w:rStyle w:val="a3"/>
            <w:rFonts w:eastAsia="Times New Roman"/>
            <w:sz w:val="20"/>
            <w:szCs w:val="20"/>
          </w:rPr>
          <w:t xml:space="preserve">) </w:t>
        </w:r>
      </w:hyperlink>
      <w:hyperlink r:id="rId213" w:history="1">
        <w:r>
          <w:rPr>
            <w:rStyle w:val="a3"/>
            <w:rFonts w:eastAsia="Times New Roman"/>
            <w:sz w:val="20"/>
            <w:szCs w:val="20"/>
          </w:rPr>
          <w:t>Link Supplemen</w:t>
        </w:r>
        <w:r>
          <w:rPr>
            <w:rStyle w:val="a3"/>
            <w:rFonts w:eastAsia="Times New Roman"/>
            <w:sz w:val="20"/>
            <w:szCs w:val="20"/>
          </w:rPr>
          <w:t>t</w:t>
        </w:r>
      </w:hyperlink>
      <w:hyperlink r:id="rId214" w:history="1">
        <w:r>
          <w:rPr>
            <w:rStyle w:val="a3"/>
            <w:rFonts w:eastAsia="Times New Roman"/>
            <w:sz w:val="20"/>
            <w:szCs w:val="20"/>
          </w:rPr>
          <w:t xml:space="preserve"> Nine </w:t>
        </w:r>
      </w:hyperlink>
      <w:hyperlink r:id="rId215" w:history="1">
        <w:r>
          <w:rPr>
            <w:rStyle w:val="a3"/>
            <w:rFonts w:eastAsia="Times New Roman"/>
            <w:sz w:val="20"/>
            <w:szCs w:val="20"/>
          </w:rPr>
          <w:t>Component of L3 Harris Salaried Pension Plan (as amended and restated effective December 31, 2021</w:t>
        </w:r>
      </w:hyperlink>
      <w:r>
        <w:rPr>
          <w:rFonts w:eastAsia="Times New Roman"/>
          <w:color w:val="000000"/>
          <w:sz w:val="20"/>
          <w:szCs w:val="20"/>
        </w:rPr>
        <w:t>)</w:t>
      </w:r>
    </w:p>
    <w:p w:rsidR="00000000" w:rsidRDefault="00AE54EE">
      <w:pPr>
        <w:ind w:hanging="900"/>
        <w:divId w:val="661127604"/>
        <w:rPr>
          <w:rFonts w:eastAsia="Times New Roman"/>
        </w:rPr>
      </w:pPr>
      <w:hyperlink r:id="rId216" w:history="1">
        <w:r>
          <w:rPr>
            <w:rStyle w:val="a3"/>
            <w:rFonts w:eastAsia="Times New Roman"/>
            <w:sz w:val="20"/>
            <w:szCs w:val="20"/>
          </w:rPr>
          <w:t>(21)    Subsidi</w:t>
        </w:r>
        <w:r>
          <w:rPr>
            <w:rStyle w:val="a3"/>
            <w:rFonts w:eastAsia="Times New Roman"/>
            <w:sz w:val="20"/>
            <w:szCs w:val="20"/>
          </w:rPr>
          <w:t>aries of the Registrant.</w:t>
        </w:r>
      </w:hyperlink>
    </w:p>
    <w:p w:rsidR="00000000" w:rsidRDefault="00AE54EE">
      <w:pPr>
        <w:ind w:hanging="900"/>
        <w:divId w:val="1529292615"/>
        <w:rPr>
          <w:rFonts w:eastAsia="Times New Roman"/>
        </w:rPr>
      </w:pPr>
      <w:hyperlink r:id="rId217" w:history="1">
        <w:r>
          <w:rPr>
            <w:rStyle w:val="a3"/>
            <w:rFonts w:eastAsia="Times New Roman"/>
            <w:sz w:val="20"/>
            <w:szCs w:val="20"/>
          </w:rPr>
          <w:t>(23)    Consent of Ernst &amp; Young LLP, Independent Registered Public Accounting Firm.</w:t>
        </w:r>
      </w:hyperlink>
    </w:p>
    <w:p w:rsidR="00000000" w:rsidRDefault="00AE54EE">
      <w:pPr>
        <w:ind w:hanging="900"/>
        <w:divId w:val="1437821583"/>
        <w:rPr>
          <w:rFonts w:eastAsia="Times New Roman"/>
        </w:rPr>
      </w:pPr>
      <w:hyperlink r:id="rId218" w:history="1">
        <w:r>
          <w:rPr>
            <w:rStyle w:val="a3"/>
            <w:rFonts w:eastAsia="Times New Roman"/>
            <w:sz w:val="20"/>
            <w:szCs w:val="20"/>
          </w:rPr>
          <w:t>(24)   Power of Attorney.</w:t>
        </w:r>
      </w:hyperlink>
    </w:p>
    <w:p w:rsidR="00000000" w:rsidRDefault="00AE54EE">
      <w:pPr>
        <w:ind w:hanging="900"/>
        <w:divId w:val="641035759"/>
        <w:rPr>
          <w:rFonts w:eastAsia="Times New Roman"/>
        </w:rPr>
      </w:pPr>
      <w:hyperlink r:id="rId219" w:history="1">
        <w:r>
          <w:rPr>
            <w:rStyle w:val="a3"/>
            <w:rFonts w:eastAsia="Times New Roman"/>
            <w:sz w:val="20"/>
            <w:szCs w:val="20"/>
          </w:rPr>
          <w:t>(31.1)    Rule 13a-14(a)/15d-14(a) Certification of Chief Executive Officer.</w:t>
        </w:r>
      </w:hyperlink>
    </w:p>
    <w:p w:rsidR="00000000" w:rsidRDefault="00AE54EE">
      <w:pPr>
        <w:ind w:hanging="900"/>
        <w:divId w:val="273169861"/>
        <w:rPr>
          <w:rFonts w:eastAsia="Times New Roman"/>
        </w:rPr>
      </w:pPr>
      <w:hyperlink r:id="rId220" w:history="1">
        <w:r>
          <w:rPr>
            <w:rStyle w:val="a3"/>
            <w:rFonts w:eastAsia="Times New Roman"/>
            <w:sz w:val="20"/>
            <w:szCs w:val="20"/>
          </w:rPr>
          <w:t>(31.2)    Rule 13a-14(a)/15d-14(a) Certification of Chief Financial Officer.</w:t>
        </w:r>
      </w:hyperlink>
    </w:p>
    <w:p w:rsidR="00000000" w:rsidRDefault="00AE54EE">
      <w:pPr>
        <w:ind w:hanging="900"/>
        <w:divId w:val="1361393082"/>
        <w:rPr>
          <w:rFonts w:eastAsia="Times New Roman"/>
        </w:rPr>
      </w:pPr>
      <w:hyperlink r:id="rId221" w:history="1">
        <w:r>
          <w:rPr>
            <w:rStyle w:val="a3"/>
            <w:rFonts w:eastAsia="Times New Roman"/>
            <w:sz w:val="20"/>
            <w:szCs w:val="20"/>
          </w:rPr>
          <w:t>(32.1)    Sect</w:t>
        </w:r>
        <w:r>
          <w:rPr>
            <w:rStyle w:val="a3"/>
            <w:rFonts w:eastAsia="Times New Roman"/>
            <w:sz w:val="20"/>
            <w:szCs w:val="20"/>
          </w:rPr>
          <w:t>ion 1350 Certification of Chief Executive Officer.</w:t>
        </w:r>
      </w:hyperlink>
    </w:p>
    <w:p w:rsidR="00000000" w:rsidRDefault="00AE54EE">
      <w:pPr>
        <w:ind w:hanging="900"/>
        <w:divId w:val="810176991"/>
        <w:rPr>
          <w:rFonts w:eastAsia="Times New Roman"/>
        </w:rPr>
      </w:pPr>
      <w:hyperlink r:id="rId222" w:history="1">
        <w:r>
          <w:rPr>
            <w:rStyle w:val="a3"/>
            <w:rFonts w:eastAsia="Times New Roman"/>
            <w:sz w:val="20"/>
            <w:szCs w:val="20"/>
          </w:rPr>
          <w:t>(32.2)    Section 1350 Certification of Chief Financial Officer.</w:t>
        </w:r>
      </w:hyperlink>
    </w:p>
    <w:p w:rsidR="00000000" w:rsidRDefault="00AE54EE">
      <w:pPr>
        <w:ind w:hanging="900"/>
        <w:divId w:val="1894005445"/>
        <w:rPr>
          <w:rFonts w:eastAsia="Times New Roman"/>
        </w:rPr>
      </w:pPr>
      <w:r>
        <w:rPr>
          <w:rFonts w:eastAsia="Times New Roman"/>
          <w:color w:val="000000"/>
          <w:sz w:val="20"/>
          <w:szCs w:val="20"/>
        </w:rPr>
        <w:t xml:space="preserve">(101) </w:t>
      </w:r>
      <w:r>
        <w:rPr>
          <w:rFonts w:eastAsia="Times New Roman"/>
          <w:color w:val="000000"/>
          <w:sz w:val="20"/>
          <w:szCs w:val="20"/>
        </w:rPr>
        <w:t>The financial information from L3Harris Technologies, Inc.’s Annual Report on Form 10-K for the period from January 1, 2021 to December 31, 2021 formatted in Inline XBRL (Extensible Business Reporting Language) includes: (i) the Consolidated Balance Sheet,</w:t>
      </w:r>
      <w:r>
        <w:rPr>
          <w:rFonts w:eastAsia="Times New Roman"/>
          <w:color w:val="000000"/>
          <w:sz w:val="20"/>
          <w:szCs w:val="20"/>
        </w:rPr>
        <w:t xml:space="preserve"> (ii) the Consolidated Statement of Operations, (iii) the Consolidated Statement of Comprehensive Income, (iv) the Consolidated Statement of Changes in Stockholders Equity, (v) the Consolidated Statement of Cash Flows and (vi) the Notes to the Consolidated</w:t>
      </w:r>
      <w:r>
        <w:rPr>
          <w:rFonts w:eastAsia="Times New Roman"/>
          <w:color w:val="000000"/>
          <w:sz w:val="20"/>
          <w:szCs w:val="20"/>
        </w:rPr>
        <w:t xml:space="preserve"> Financial Statements.</w:t>
      </w:r>
    </w:p>
    <w:p w:rsidR="00000000" w:rsidRDefault="00AE54EE">
      <w:pPr>
        <w:ind w:hanging="900"/>
        <w:divId w:val="1037001815"/>
        <w:rPr>
          <w:rFonts w:eastAsia="Times New Roman"/>
        </w:rPr>
      </w:pPr>
      <w:r>
        <w:rPr>
          <w:rFonts w:eastAsia="Times New Roman"/>
          <w:color w:val="000000"/>
          <w:sz w:val="20"/>
          <w:szCs w:val="20"/>
        </w:rPr>
        <w:t>(104) Cover Page Interactive Data File formatted in Inline XBRL and contained in Exhibit 101.</w:t>
      </w:r>
    </w:p>
    <w:p w:rsidR="00000000" w:rsidRDefault="00AE54EE">
      <w:pPr>
        <w:divId w:val="2131976361"/>
        <w:rPr>
          <w:rFonts w:eastAsia="Times New Roman"/>
        </w:rPr>
      </w:pPr>
      <w:r>
        <w:rPr>
          <w:rFonts w:eastAsia="Times New Roman"/>
          <w:color w:val="000000"/>
          <w:sz w:val="16"/>
          <w:szCs w:val="16"/>
        </w:rPr>
        <w:t>_______________</w:t>
      </w:r>
    </w:p>
    <w:p w:rsidR="00000000" w:rsidRDefault="00AE54EE">
      <w:pPr>
        <w:divId w:val="1307317881"/>
        <w:rPr>
          <w:rFonts w:eastAsia="Times New Roman"/>
        </w:rPr>
      </w:pPr>
      <w:r>
        <w:rPr>
          <w:rFonts w:eastAsia="Times New Roman"/>
          <w:color w:val="000000"/>
          <w:sz w:val="16"/>
          <w:szCs w:val="16"/>
        </w:rPr>
        <w:t>*    Management contract or compensatory plan or arrangement.</w:t>
      </w:r>
    </w:p>
    <w:p w:rsidR="00000000" w:rsidRDefault="00AE54EE">
      <w:pPr>
        <w:divId w:val="504519074"/>
        <w:rPr>
          <w:rFonts w:eastAsia="Times New Roman"/>
        </w:rPr>
      </w:pPr>
      <w:r>
        <w:rPr>
          <w:rFonts w:eastAsia="Times New Roman"/>
          <w:color w:val="000000"/>
          <w:sz w:val="16"/>
          <w:szCs w:val="16"/>
        </w:rPr>
        <w:t>**    Paper filing.</w:t>
      </w:r>
    </w:p>
    <w:p w:rsidR="00000000" w:rsidRDefault="00AE54EE">
      <w:pPr>
        <w:ind w:hanging="720"/>
        <w:divId w:val="808206996"/>
        <w:rPr>
          <w:rFonts w:eastAsia="Times New Roman"/>
        </w:rPr>
      </w:pPr>
      <w:r>
        <w:rPr>
          <w:rFonts w:eastAsia="Times New Roman"/>
          <w:color w:val="000000"/>
          <w:sz w:val="16"/>
          <w:szCs w:val="16"/>
        </w:rPr>
        <w:t>***    </w:t>
      </w:r>
      <w:r>
        <w:rPr>
          <w:rFonts w:eastAsia="Times New Roman"/>
          <w:color w:val="000000"/>
          <w:sz w:val="16"/>
          <w:szCs w:val="16"/>
        </w:rPr>
        <w:t>Schedules have been omitted pursuant to Item 601(a)(5) of Regulation S-K. L3Harris Technologies, Inc. hereby undertakes to furnish supplementally copies of any of the omitted schedules upon request by the SEC.</w:t>
      </w:r>
    </w:p>
    <w:tbl>
      <w:tblPr>
        <w:tblW w:w="4885" w:type="pct"/>
        <w:tblCellMar>
          <w:top w:w="15" w:type="dxa"/>
          <w:left w:w="15" w:type="dxa"/>
          <w:bottom w:w="15" w:type="dxa"/>
          <w:right w:w="15" w:type="dxa"/>
        </w:tblCellMar>
        <w:tblLook w:val="04A0" w:firstRow="1" w:lastRow="0" w:firstColumn="1" w:lastColumn="0" w:noHBand="0" w:noVBand="1"/>
      </w:tblPr>
      <w:tblGrid>
        <w:gridCol w:w="73"/>
        <w:gridCol w:w="928"/>
        <w:gridCol w:w="36"/>
        <w:gridCol w:w="67"/>
        <w:gridCol w:w="6975"/>
        <w:gridCol w:w="36"/>
      </w:tblGrid>
      <w:tr w:rsidR="00000000">
        <w:trPr>
          <w:divId w:val="16974910"/>
        </w:trPr>
        <w:tc>
          <w:tcPr>
            <w:tcW w:w="50" w:type="pct"/>
            <w:vAlign w:val="center"/>
            <w:hideMark/>
          </w:tcPr>
          <w:p w:rsidR="00000000" w:rsidRDefault="00AE54EE">
            <w:pPr>
              <w:ind w:hanging="720"/>
              <w:rPr>
                <w:rFonts w:eastAsia="Times New Roman"/>
              </w:rPr>
            </w:pPr>
          </w:p>
        </w:tc>
        <w:tc>
          <w:tcPr>
            <w:tcW w:w="58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430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16974910"/>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 ITEM 16.</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FORM 10-K SUMMARY.</w:t>
            </w:r>
          </w:p>
        </w:tc>
      </w:tr>
    </w:tbl>
    <w:p w:rsidR="00000000" w:rsidRDefault="00AE54EE">
      <w:pPr>
        <w:ind w:firstLine="450"/>
        <w:divId w:val="991256371"/>
        <w:rPr>
          <w:rFonts w:eastAsia="Times New Roman"/>
        </w:rPr>
      </w:pPr>
      <w:r>
        <w:rPr>
          <w:rFonts w:eastAsia="Times New Roman"/>
          <w:color w:val="000000"/>
          <w:sz w:val="20"/>
          <w:szCs w:val="20"/>
        </w:rPr>
        <w:t>None.</w:t>
      </w:r>
    </w:p>
    <w:p w:rsidR="00000000" w:rsidRDefault="00AE54EE">
      <w:pPr>
        <w:ind w:firstLine="450"/>
        <w:jc w:val="center"/>
        <w:divId w:val="965308801"/>
        <w:rPr>
          <w:rFonts w:eastAsia="Times New Roman"/>
        </w:rPr>
      </w:pPr>
      <w:r>
        <w:rPr>
          <w:rFonts w:eastAsia="Times New Roman"/>
          <w:color w:val="000000"/>
          <w:sz w:val="20"/>
          <w:szCs w:val="20"/>
        </w:rPr>
        <w:t>134</w:t>
      </w:r>
    </w:p>
    <w:p w:rsidR="00000000" w:rsidRDefault="00AE54EE">
      <w:pPr>
        <w:rPr>
          <w:rFonts w:eastAsia="Times New Roman"/>
        </w:rPr>
      </w:pPr>
      <w:r>
        <w:rPr>
          <w:rFonts w:eastAsia="Times New Roman"/>
        </w:rPr>
        <w:pict>
          <v:rect id="_x0000_i1162" style="width:0;height:1.5pt" o:hralign="center" o:hrstd="t" o:hr="t" fillcolor="#a0a0a0" stroked="f"/>
        </w:pict>
      </w:r>
    </w:p>
    <w:p w:rsidR="00000000" w:rsidRDefault="00AE54EE">
      <w:pPr>
        <w:ind w:firstLine="450"/>
        <w:divId w:val="1118255640"/>
        <w:rPr>
          <w:rFonts w:eastAsia="Times New Roman"/>
        </w:rPr>
      </w:pPr>
    </w:p>
    <w:p w:rsidR="00000000" w:rsidRDefault="00AE54EE">
      <w:pPr>
        <w:ind w:firstLine="450"/>
        <w:jc w:val="center"/>
        <w:divId w:val="217519099"/>
        <w:rPr>
          <w:rFonts w:eastAsia="Times New Roman"/>
        </w:rPr>
      </w:pPr>
      <w:r>
        <w:rPr>
          <w:rFonts w:eastAsia="Times New Roman"/>
          <w:b/>
          <w:bCs/>
          <w:color w:val="000000"/>
          <w:sz w:val="20"/>
          <w:szCs w:val="20"/>
        </w:rPr>
        <w:t>SIGNATURES</w:t>
      </w:r>
    </w:p>
    <w:p w:rsidR="00000000" w:rsidRDefault="00AE54EE">
      <w:pPr>
        <w:ind w:firstLine="450"/>
        <w:divId w:val="239490068"/>
        <w:rPr>
          <w:rFonts w:eastAsia="Times New Roman"/>
        </w:rPr>
      </w:pPr>
      <w:r>
        <w:rPr>
          <w:rFonts w:eastAsia="Times New Roman"/>
          <w:b/>
          <w:bCs/>
          <w:color w:val="000000"/>
          <w:sz w:val="20"/>
          <w:szCs w:val="20"/>
        </w:rPr>
        <w:t xml:space="preserve">Pursuant to the requirements of Section 13 or 15(d) of the Securities Exchange Act of 1934, the registrant has duly caused this report to be signed on its behalf by the undersigned, thereunto duly </w:t>
      </w:r>
      <w:r>
        <w:rPr>
          <w:rFonts w:eastAsia="Times New Roman"/>
          <w:b/>
          <w:bCs/>
          <w:color w:val="000000"/>
          <w:sz w:val="20"/>
          <w:szCs w:val="20"/>
        </w:rPr>
        <w:t>authorized.</w:t>
      </w:r>
    </w:p>
    <w:tbl>
      <w:tblPr>
        <w:tblW w:w="4913" w:type="pct"/>
        <w:tblCellMar>
          <w:top w:w="15" w:type="dxa"/>
          <w:left w:w="15" w:type="dxa"/>
          <w:bottom w:w="15" w:type="dxa"/>
          <w:right w:w="15" w:type="dxa"/>
        </w:tblCellMar>
        <w:tblLook w:val="04A0" w:firstRow="1" w:lastRow="0" w:firstColumn="1" w:lastColumn="0" w:noHBand="0" w:noVBand="1"/>
      </w:tblPr>
      <w:tblGrid>
        <w:gridCol w:w="63"/>
        <w:gridCol w:w="3090"/>
        <w:gridCol w:w="36"/>
        <w:gridCol w:w="36"/>
        <w:gridCol w:w="167"/>
        <w:gridCol w:w="36"/>
        <w:gridCol w:w="81"/>
        <w:gridCol w:w="240"/>
        <w:gridCol w:w="37"/>
        <w:gridCol w:w="37"/>
        <w:gridCol w:w="1160"/>
        <w:gridCol w:w="37"/>
        <w:gridCol w:w="63"/>
        <w:gridCol w:w="3042"/>
        <w:gridCol w:w="36"/>
      </w:tblGrid>
      <w:tr w:rsidR="00000000">
        <w:trPr>
          <w:divId w:val="2013531640"/>
        </w:trPr>
        <w:tc>
          <w:tcPr>
            <w:tcW w:w="50" w:type="pct"/>
            <w:vAlign w:val="center"/>
            <w:hideMark/>
          </w:tcPr>
          <w:p w:rsidR="00000000" w:rsidRDefault="00AE54EE">
            <w:pPr>
              <w:ind w:firstLine="450"/>
              <w:rPr>
                <w:rFonts w:eastAsia="Times New Roman"/>
              </w:rPr>
            </w:pPr>
          </w:p>
        </w:tc>
        <w:tc>
          <w:tcPr>
            <w:tcW w:w="190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11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4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27"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874"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2013531640"/>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b/>
                <w:bCs/>
                <w:color w:val="000000"/>
                <w:sz w:val="20"/>
                <w:szCs w:val="20"/>
              </w:rPr>
              <w:t>L3HARRIS TECHNOLOGIES, INC.</w:t>
            </w:r>
          </w:p>
        </w:tc>
      </w:tr>
      <w:tr w:rsidR="00000000">
        <w:trPr>
          <w:divId w:val="201353164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(Registrant)</w:t>
            </w:r>
          </w:p>
        </w:tc>
      </w:tr>
      <w:tr w:rsidR="00000000">
        <w:trPr>
          <w:divId w:val="2013531640"/>
        </w:trPr>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Date: February 25, 2022</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 Christopher E. Kubasik</w:t>
            </w:r>
          </w:p>
        </w:tc>
      </w:tr>
      <w:tr w:rsidR="00000000">
        <w:trPr>
          <w:divId w:val="201353164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Christopher E. Kubasik</w:t>
            </w:r>
          </w:p>
        </w:tc>
      </w:tr>
      <w:tr w:rsidR="00000000">
        <w:trPr>
          <w:divId w:val="201353164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Vice Chair and Chief Executive Officer</w:t>
            </w:r>
          </w:p>
        </w:tc>
      </w:tr>
    </w:tbl>
    <w:p w:rsidR="00000000" w:rsidRDefault="00AE54EE">
      <w:pPr>
        <w:ind w:firstLine="450"/>
        <w:divId w:val="1740521206"/>
        <w:rPr>
          <w:rFonts w:eastAsia="Times New Roman"/>
        </w:rPr>
      </w:pPr>
      <w:r>
        <w:rPr>
          <w:rFonts w:eastAsia="Times New Roman"/>
          <w:b/>
          <w:bCs/>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84"/>
        <w:gridCol w:w="337"/>
        <w:gridCol w:w="38"/>
        <w:gridCol w:w="57"/>
        <w:gridCol w:w="921"/>
        <w:gridCol w:w="36"/>
        <w:gridCol w:w="57"/>
        <w:gridCol w:w="1984"/>
        <w:gridCol w:w="37"/>
        <w:gridCol w:w="36"/>
        <w:gridCol w:w="36"/>
        <w:gridCol w:w="36"/>
        <w:gridCol w:w="39"/>
        <w:gridCol w:w="3227"/>
        <w:gridCol w:w="37"/>
        <w:gridCol w:w="36"/>
        <w:gridCol w:w="36"/>
        <w:gridCol w:w="36"/>
        <w:gridCol w:w="50"/>
        <w:gridCol w:w="1150"/>
        <w:gridCol w:w="36"/>
      </w:tblGrid>
      <w:tr w:rsidR="00000000">
        <w:trPr>
          <w:divId w:val="959997900"/>
        </w:trPr>
        <w:tc>
          <w:tcPr>
            <w:tcW w:w="50" w:type="pct"/>
            <w:vAlign w:val="center"/>
            <w:hideMark/>
          </w:tcPr>
          <w:p w:rsidR="00000000" w:rsidRDefault="00AE54EE">
            <w:pPr>
              <w:ind w:firstLine="450"/>
              <w:rPr>
                <w:rFonts w:eastAsia="Times New Roman"/>
              </w:rPr>
            </w:pPr>
          </w:p>
        </w:tc>
        <w:tc>
          <w:tcPr>
            <w:tcW w:w="20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570"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209"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1956"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25"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c>
          <w:tcPr>
            <w:tcW w:w="50" w:type="pct"/>
            <w:vAlign w:val="center"/>
            <w:hideMark/>
          </w:tcPr>
          <w:p w:rsidR="00000000" w:rsidRDefault="00AE54EE">
            <w:pPr>
              <w:spacing w:after="100"/>
              <w:rPr>
                <w:rFonts w:eastAsia="Times New Roman"/>
                <w:sz w:val="20"/>
                <w:szCs w:val="20"/>
              </w:rPr>
            </w:pPr>
          </w:p>
        </w:tc>
        <w:tc>
          <w:tcPr>
            <w:tcW w:w="713" w:type="pct"/>
            <w:vAlign w:val="center"/>
            <w:hideMark/>
          </w:tcPr>
          <w:p w:rsidR="00000000" w:rsidRDefault="00AE54EE">
            <w:pPr>
              <w:spacing w:after="100"/>
              <w:rPr>
                <w:rFonts w:eastAsia="Times New Roman"/>
                <w:sz w:val="20"/>
                <w:szCs w:val="20"/>
              </w:rPr>
            </w:pPr>
          </w:p>
        </w:tc>
        <w:tc>
          <w:tcPr>
            <w:tcW w:w="5" w:type="pct"/>
            <w:vAlign w:val="center"/>
            <w:hideMark/>
          </w:tcPr>
          <w:p w:rsidR="00000000" w:rsidRDefault="00AE54EE">
            <w:pPr>
              <w:spacing w:after="100"/>
              <w:rPr>
                <w:rFonts w:eastAsia="Times New Roman"/>
                <w:sz w:val="20"/>
                <w:szCs w:val="20"/>
              </w:rPr>
            </w:pPr>
          </w:p>
        </w:tc>
      </w:tr>
      <w:tr w:rsidR="00000000">
        <w:trPr>
          <w:divId w:val="959997900"/>
        </w:trPr>
        <w:tc>
          <w:tcPr>
            <w:tcW w:w="0" w:type="auto"/>
            <w:gridSpan w:val="9"/>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u w:val="single"/>
              </w:rPr>
              <w:t>Signature</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u w:val="single"/>
              </w:rPr>
              <w:t>Title</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jc w:val="center"/>
              <w:rPr>
                <w:rFonts w:eastAsia="Times New Roman"/>
              </w:rPr>
            </w:pPr>
            <w:r>
              <w:rPr>
                <w:rFonts w:eastAsia="Times New Roman"/>
                <w:b/>
                <w:bCs/>
                <w:color w:val="000000"/>
                <w:sz w:val="16"/>
                <w:szCs w:val="16"/>
                <w:u w:val="single"/>
              </w:rPr>
              <w:t>Date</w:t>
            </w:r>
          </w:p>
        </w:tc>
      </w:tr>
      <w:tr w:rsidR="00000000">
        <w:trPr>
          <w:divId w:val="959997900"/>
          <w:trHeight w:val="100"/>
        </w:trPr>
        <w:tc>
          <w:tcPr>
            <w:tcW w:w="0" w:type="auto"/>
            <w:gridSpan w:val="3"/>
            <w:tcMar>
              <w:top w:w="0" w:type="dxa"/>
              <w:left w:w="20" w:type="dxa"/>
              <w:bottom w:w="0" w:type="dxa"/>
              <w:right w:w="20" w:type="dxa"/>
            </w:tcMar>
            <w:vAlign w:val="center"/>
            <w:hideMark/>
          </w:tcPr>
          <w:p w:rsidR="00000000" w:rsidRDefault="00AE54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8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2006127325"/>
              <w:rPr>
                <w:rFonts w:eastAsia="Times New Roman"/>
              </w:rPr>
            </w:pPr>
            <w:r>
              <w:rPr>
                <w:rFonts w:eastAsia="Times New Roman"/>
                <w:color w:val="000000"/>
                <w:sz w:val="20"/>
                <w:szCs w:val="20"/>
              </w:rPr>
              <w:t>/s/    C</w:t>
            </w:r>
            <w:r>
              <w:rPr>
                <w:rFonts w:eastAsia="Times New Roman"/>
                <w:color w:val="000000"/>
                <w:sz w:val="16"/>
                <w:szCs w:val="16"/>
              </w:rPr>
              <w:t>HRISTOPHER</w:t>
            </w:r>
            <w:r>
              <w:rPr>
                <w:rFonts w:eastAsia="Times New Roman"/>
                <w:color w:val="000000"/>
                <w:sz w:val="20"/>
                <w:szCs w:val="20"/>
              </w:rPr>
              <w:t xml:space="preserve"> E. K</w:t>
            </w:r>
            <w:r>
              <w:rPr>
                <w:rFonts w:eastAsia="Times New Roman"/>
                <w:color w:val="000000"/>
                <w:sz w:val="16"/>
                <w:szCs w:val="16"/>
              </w:rPr>
              <w:t>UBASIK</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 xml:space="preserve">Vice Chair and Chief Executive Officer </w:t>
            </w:r>
            <w:r>
              <w:rPr>
                <w:rFonts w:eastAsia="Times New Roman"/>
                <w:color w:val="000000"/>
                <w:sz w:val="20"/>
                <w:szCs w:val="20"/>
              </w:rPr>
              <w:br/>
              <w:t>(Principal Executive Officer)</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8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Christopher E. Kubasik</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745958304"/>
              <w:rPr>
                <w:rFonts w:eastAsia="Times New Roman"/>
              </w:rPr>
            </w:pPr>
            <w:r>
              <w:rPr>
                <w:rFonts w:eastAsia="Times New Roman"/>
                <w:color w:val="000000"/>
                <w:sz w:val="20"/>
                <w:szCs w:val="20"/>
              </w:rPr>
              <w:t>/s/    M</w:t>
            </w:r>
            <w:r>
              <w:rPr>
                <w:rFonts w:eastAsia="Times New Roman"/>
                <w:color w:val="000000"/>
                <w:sz w:val="16"/>
                <w:szCs w:val="16"/>
              </w:rPr>
              <w:t>ICHELLE</w:t>
            </w:r>
            <w:r>
              <w:rPr>
                <w:rFonts w:eastAsia="Times New Roman"/>
                <w:color w:val="000000"/>
                <w:sz w:val="20"/>
                <w:szCs w:val="20"/>
              </w:rPr>
              <w:t xml:space="preserve"> L. T</w:t>
            </w:r>
            <w:r>
              <w:rPr>
                <w:rFonts w:eastAsia="Times New Roman"/>
                <w:color w:val="000000"/>
                <w:sz w:val="16"/>
                <w:szCs w:val="16"/>
              </w:rPr>
              <w:t>URNER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Senior Vice President and Chief Financial Officer</w:t>
            </w:r>
            <w:r>
              <w:rPr>
                <w:rFonts w:eastAsia="Times New Roman"/>
                <w:color w:val="000000"/>
                <w:sz w:val="20"/>
                <w:szCs w:val="20"/>
              </w:rPr>
              <w:br/>
              <w:t>(Principal Financial Officer)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Michelle L. Turner</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23602490"/>
              <w:rPr>
                <w:rFonts w:eastAsia="Times New Roman"/>
              </w:rPr>
            </w:pPr>
            <w:r>
              <w:rPr>
                <w:rFonts w:eastAsia="Times New Roman"/>
                <w:color w:val="000000"/>
                <w:sz w:val="20"/>
                <w:szCs w:val="20"/>
              </w:rPr>
              <w:t>/s/    C</w:t>
            </w:r>
            <w:r>
              <w:rPr>
                <w:rFonts w:eastAsia="Times New Roman"/>
                <w:color w:val="000000"/>
                <w:sz w:val="16"/>
                <w:szCs w:val="16"/>
              </w:rPr>
              <w:t>ORLISS</w:t>
            </w:r>
            <w:r>
              <w:rPr>
                <w:rFonts w:eastAsia="Times New Roman"/>
                <w:color w:val="000000"/>
                <w:sz w:val="20"/>
                <w:szCs w:val="20"/>
              </w:rPr>
              <w:t xml:space="preserve"> J. M</w:t>
            </w:r>
            <w:r>
              <w:rPr>
                <w:rFonts w:eastAsia="Times New Roman"/>
                <w:color w:val="000000"/>
                <w:sz w:val="16"/>
                <w:szCs w:val="16"/>
              </w:rPr>
              <w:t>ONTESI</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Vice President, Principal Accounting Officer (Principal Accounting Officer)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Corliss J. Montesi</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616451437"/>
              <w:rPr>
                <w:rFonts w:eastAsia="Times New Roman"/>
              </w:rPr>
            </w:pPr>
            <w:r>
              <w:rPr>
                <w:rFonts w:eastAsia="Times New Roman"/>
                <w:color w:val="000000"/>
                <w:sz w:val="20"/>
                <w:szCs w:val="20"/>
              </w:rPr>
              <w:t>/s/    W</w:t>
            </w:r>
            <w:r>
              <w:rPr>
                <w:rFonts w:eastAsia="Times New Roman"/>
                <w:color w:val="000000"/>
                <w:sz w:val="16"/>
                <w:szCs w:val="16"/>
              </w:rPr>
              <w:t>ILLIAM</w:t>
            </w:r>
            <w:r>
              <w:rPr>
                <w:rFonts w:eastAsia="Times New Roman"/>
                <w:color w:val="000000"/>
                <w:sz w:val="20"/>
                <w:szCs w:val="20"/>
              </w:rPr>
              <w:t xml:space="preserve"> M. B</w:t>
            </w:r>
            <w:r>
              <w:rPr>
                <w:rFonts w:eastAsia="Times New Roman"/>
                <w:color w:val="000000"/>
                <w:sz w:val="16"/>
                <w:szCs w:val="16"/>
              </w:rPr>
              <w:t>ROWN</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E54EE">
            <w:pPr>
              <w:spacing w:after="100"/>
              <w:rPr>
                <w:rFonts w:eastAsia="Times New Roman"/>
              </w:rPr>
            </w:pPr>
            <w:r>
              <w:rPr>
                <w:rFonts w:eastAsia="Times New Roman"/>
                <w:color w:val="000000"/>
                <w:sz w:val="20"/>
                <w:szCs w:val="20"/>
              </w:rPr>
              <w:t>Executive Chair</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William M. Brown</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1636717147"/>
              <w:rPr>
                <w:rFonts w:eastAsia="Times New Roman"/>
              </w:rPr>
            </w:pPr>
            <w:r>
              <w:rPr>
                <w:rFonts w:eastAsia="Times New Roman"/>
                <w:color w:val="000000"/>
                <w:sz w:val="20"/>
                <w:szCs w:val="20"/>
              </w:rPr>
              <w:t>/s/    S</w:t>
            </w:r>
            <w:r>
              <w:rPr>
                <w:rFonts w:eastAsia="Times New Roman"/>
                <w:color w:val="000000"/>
                <w:sz w:val="16"/>
                <w:szCs w:val="16"/>
              </w:rPr>
              <w:t>ALLIE</w:t>
            </w:r>
            <w:r>
              <w:rPr>
                <w:rFonts w:eastAsia="Times New Roman"/>
                <w:color w:val="000000"/>
                <w:sz w:val="20"/>
                <w:szCs w:val="20"/>
              </w:rPr>
              <w:t xml:space="preserve"> B. B</w:t>
            </w:r>
            <w:r>
              <w:rPr>
                <w:rFonts w:eastAsia="Times New Roman"/>
                <w:color w:val="000000"/>
                <w:sz w:val="16"/>
                <w:szCs w:val="16"/>
              </w:rPr>
              <w:t>AILEY*</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Sallie B. Bailey</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316617665"/>
              <w:rPr>
                <w:rFonts w:eastAsia="Times New Roman"/>
              </w:rPr>
            </w:pPr>
            <w:r>
              <w:rPr>
                <w:rFonts w:eastAsia="Times New Roman"/>
                <w:color w:val="000000"/>
                <w:sz w:val="20"/>
                <w:szCs w:val="20"/>
              </w:rPr>
              <w:t>/s/    P</w:t>
            </w:r>
            <w:r>
              <w:rPr>
                <w:rFonts w:eastAsia="Times New Roman"/>
                <w:color w:val="000000"/>
                <w:sz w:val="16"/>
                <w:szCs w:val="16"/>
              </w:rPr>
              <w:t>ETER</w:t>
            </w:r>
            <w:r>
              <w:rPr>
                <w:rFonts w:eastAsia="Times New Roman"/>
                <w:color w:val="000000"/>
                <w:sz w:val="20"/>
                <w:szCs w:val="20"/>
              </w:rPr>
              <w:t xml:space="preserve"> W. C</w:t>
            </w:r>
            <w:r>
              <w:rPr>
                <w:rFonts w:eastAsia="Times New Roman"/>
                <w:color w:val="000000"/>
                <w:sz w:val="16"/>
                <w:szCs w:val="16"/>
              </w:rPr>
              <w:t>HIARELLI</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Peter W. Chiarelli</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6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327680816"/>
              <w:rPr>
                <w:rFonts w:eastAsia="Times New Roman"/>
              </w:rPr>
            </w:pPr>
            <w:r>
              <w:rPr>
                <w:rFonts w:eastAsia="Times New Roman"/>
                <w:color w:val="000000"/>
                <w:sz w:val="20"/>
                <w:szCs w:val="20"/>
              </w:rPr>
              <w:t>/s/    T</w:t>
            </w:r>
            <w:r>
              <w:rPr>
                <w:rFonts w:eastAsia="Times New Roman"/>
                <w:color w:val="000000"/>
                <w:sz w:val="16"/>
                <w:szCs w:val="16"/>
              </w:rPr>
              <w:t xml:space="preserve">HOMAS </w:t>
            </w:r>
            <w:r>
              <w:rPr>
                <w:rFonts w:eastAsia="Times New Roman"/>
                <w:color w:val="000000"/>
                <w:sz w:val="20"/>
                <w:szCs w:val="20"/>
              </w:rPr>
              <w:t>A.</w:t>
            </w:r>
            <w:r>
              <w:rPr>
                <w:rFonts w:eastAsia="Times New Roman"/>
                <w:color w:val="000000"/>
                <w:sz w:val="16"/>
                <w:szCs w:val="16"/>
              </w:rPr>
              <w:t xml:space="preserve"> </w:t>
            </w:r>
            <w:r>
              <w:rPr>
                <w:rFonts w:eastAsia="Times New Roman"/>
                <w:color w:val="000000"/>
                <w:sz w:val="20"/>
                <w:szCs w:val="20"/>
              </w:rPr>
              <w:t>C</w:t>
            </w:r>
            <w:r>
              <w:rPr>
                <w:rFonts w:eastAsia="Times New Roman"/>
                <w:color w:val="000000"/>
                <w:sz w:val="16"/>
                <w:szCs w:val="16"/>
              </w:rPr>
              <w:t>ORCORAN</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Thomas A. Corcoran</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1455253305"/>
              <w:rPr>
                <w:rFonts w:eastAsia="Times New Roman"/>
              </w:rPr>
            </w:pPr>
            <w:r>
              <w:rPr>
                <w:rFonts w:eastAsia="Times New Roman"/>
                <w:color w:val="000000"/>
                <w:sz w:val="20"/>
                <w:szCs w:val="20"/>
              </w:rPr>
              <w:t>/s/    T</w:t>
            </w:r>
            <w:r>
              <w:rPr>
                <w:rFonts w:eastAsia="Times New Roman"/>
                <w:color w:val="000000"/>
                <w:sz w:val="16"/>
                <w:szCs w:val="16"/>
              </w:rPr>
              <w:t>HOMAS</w:t>
            </w:r>
            <w:r>
              <w:rPr>
                <w:rFonts w:eastAsia="Times New Roman"/>
                <w:color w:val="000000"/>
                <w:sz w:val="20"/>
                <w:szCs w:val="20"/>
              </w:rPr>
              <w:t xml:space="preserve"> A. D</w:t>
            </w:r>
            <w:r>
              <w:rPr>
                <w:rFonts w:eastAsia="Times New Roman"/>
                <w:color w:val="000000"/>
                <w:sz w:val="16"/>
                <w:szCs w:val="16"/>
              </w:rPr>
              <w:t>ATTILO</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Thomas A. Dattilo</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496118276"/>
              <w:rPr>
                <w:rFonts w:eastAsia="Times New Roman"/>
              </w:rPr>
            </w:pPr>
            <w:r>
              <w:rPr>
                <w:rFonts w:eastAsia="Times New Roman"/>
                <w:color w:val="000000"/>
                <w:sz w:val="20"/>
                <w:szCs w:val="20"/>
              </w:rPr>
              <w:t>/s/    R</w:t>
            </w:r>
            <w:r>
              <w:rPr>
                <w:rFonts w:eastAsia="Times New Roman"/>
                <w:color w:val="000000"/>
                <w:sz w:val="16"/>
                <w:szCs w:val="16"/>
              </w:rPr>
              <w:t>OGER</w:t>
            </w:r>
            <w:r>
              <w:rPr>
                <w:rFonts w:eastAsia="Times New Roman"/>
                <w:color w:val="000000"/>
                <w:sz w:val="20"/>
                <w:szCs w:val="20"/>
              </w:rPr>
              <w:t xml:space="preserve"> B. F</w:t>
            </w:r>
            <w:r>
              <w:rPr>
                <w:rFonts w:eastAsia="Times New Roman"/>
                <w:color w:val="000000"/>
                <w:sz w:val="16"/>
                <w:szCs w:val="16"/>
              </w:rPr>
              <w:t>RADIN</w:t>
            </w: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Roger B. Fradin</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8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1867059841"/>
              <w:rPr>
                <w:rFonts w:eastAsia="Times New Roman"/>
              </w:rPr>
            </w:pPr>
            <w:r>
              <w:rPr>
                <w:rFonts w:eastAsia="Times New Roman"/>
                <w:color w:val="000000"/>
                <w:sz w:val="20"/>
                <w:szCs w:val="20"/>
              </w:rPr>
              <w:t>/s/    H</w:t>
            </w:r>
            <w:r>
              <w:rPr>
                <w:rFonts w:eastAsia="Times New Roman"/>
                <w:color w:val="000000"/>
                <w:sz w:val="16"/>
                <w:szCs w:val="16"/>
              </w:rPr>
              <w:t>ARRY</w:t>
            </w:r>
            <w:r>
              <w:rPr>
                <w:rFonts w:eastAsia="Times New Roman"/>
                <w:color w:val="000000"/>
                <w:sz w:val="20"/>
                <w:szCs w:val="20"/>
              </w:rPr>
              <w:t xml:space="preserve"> B. H</w:t>
            </w:r>
            <w:r>
              <w:rPr>
                <w:rFonts w:eastAsia="Times New Roman"/>
                <w:color w:val="000000"/>
                <w:sz w:val="16"/>
                <w:szCs w:val="16"/>
              </w:rPr>
              <w:t xml:space="preserve">ARRIS </w:t>
            </w:r>
            <w:r>
              <w:rPr>
                <w:rFonts w:eastAsia="Times New Roman"/>
                <w:color w:val="000000"/>
                <w:sz w:val="20"/>
                <w:szCs w:val="20"/>
              </w:rPr>
              <w:t>J</w:t>
            </w:r>
            <w:r>
              <w:rPr>
                <w:rFonts w:eastAsia="Times New Roman"/>
                <w:color w:val="000000"/>
                <w:sz w:val="16"/>
                <w:szCs w:val="16"/>
              </w:rPr>
              <w:t>R</w:t>
            </w: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8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Harry B. Harris, Jr.</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1910581094"/>
              <w:rPr>
                <w:rFonts w:eastAsia="Times New Roman"/>
              </w:rPr>
            </w:pPr>
            <w:r>
              <w:rPr>
                <w:rFonts w:eastAsia="Times New Roman"/>
                <w:color w:val="000000"/>
                <w:sz w:val="20"/>
                <w:szCs w:val="20"/>
              </w:rPr>
              <w:t>/s/    L</w:t>
            </w:r>
            <w:r>
              <w:rPr>
                <w:rFonts w:eastAsia="Times New Roman"/>
                <w:color w:val="000000"/>
                <w:sz w:val="16"/>
                <w:szCs w:val="16"/>
              </w:rPr>
              <w:t>EWIS</w:t>
            </w:r>
            <w:r>
              <w:rPr>
                <w:rFonts w:eastAsia="Times New Roman"/>
                <w:color w:val="000000"/>
                <w:sz w:val="20"/>
                <w:szCs w:val="20"/>
              </w:rPr>
              <w:t xml:space="preserve"> H</w:t>
            </w:r>
            <w:r>
              <w:rPr>
                <w:rFonts w:eastAsia="Times New Roman"/>
                <w:color w:val="000000"/>
                <w:sz w:val="16"/>
                <w:szCs w:val="16"/>
              </w:rPr>
              <w:t>AY</w:t>
            </w:r>
            <w:r>
              <w:rPr>
                <w:rFonts w:eastAsia="Times New Roman"/>
                <w:color w:val="000000"/>
                <w:sz w:val="20"/>
                <w:szCs w:val="20"/>
              </w:rPr>
              <w:t xml:space="preserve"> III*</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Lewis Hay III</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422991007"/>
              <w:rPr>
                <w:rFonts w:eastAsia="Times New Roman"/>
              </w:rPr>
            </w:pPr>
            <w:r>
              <w:rPr>
                <w:rFonts w:eastAsia="Times New Roman"/>
                <w:color w:val="000000"/>
                <w:sz w:val="20"/>
                <w:szCs w:val="20"/>
              </w:rPr>
              <w:t>/s/    L</w:t>
            </w:r>
            <w:r>
              <w:rPr>
                <w:rFonts w:eastAsia="Times New Roman"/>
                <w:color w:val="000000"/>
                <w:sz w:val="16"/>
                <w:szCs w:val="16"/>
              </w:rPr>
              <w:t>EWIS</w:t>
            </w:r>
            <w:r>
              <w:rPr>
                <w:rFonts w:eastAsia="Times New Roman"/>
                <w:color w:val="000000"/>
                <w:sz w:val="20"/>
                <w:szCs w:val="20"/>
              </w:rPr>
              <w:t xml:space="preserve"> K</w:t>
            </w:r>
            <w:r>
              <w:rPr>
                <w:rFonts w:eastAsia="Times New Roman"/>
                <w:color w:val="000000"/>
                <w:sz w:val="16"/>
                <w:szCs w:val="16"/>
              </w:rPr>
              <w:t>RAMER</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Lewis Kramer</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1849128726"/>
              <w:rPr>
                <w:rFonts w:eastAsia="Times New Roman"/>
              </w:rPr>
            </w:pPr>
            <w:r>
              <w:rPr>
                <w:rFonts w:eastAsia="Times New Roman"/>
                <w:color w:val="000000"/>
                <w:sz w:val="20"/>
                <w:szCs w:val="20"/>
              </w:rPr>
              <w:t>/s/    R</w:t>
            </w:r>
            <w:r>
              <w:rPr>
                <w:rFonts w:eastAsia="Times New Roman"/>
                <w:color w:val="000000"/>
                <w:sz w:val="16"/>
                <w:szCs w:val="16"/>
              </w:rPr>
              <w:t>ITA</w:t>
            </w:r>
            <w:r>
              <w:rPr>
                <w:rFonts w:eastAsia="Times New Roman"/>
                <w:color w:val="000000"/>
                <w:sz w:val="20"/>
                <w:szCs w:val="20"/>
              </w:rPr>
              <w:t xml:space="preserve"> S. L</w:t>
            </w:r>
            <w:r>
              <w:rPr>
                <w:rFonts w:eastAsia="Times New Roman"/>
                <w:color w:val="000000"/>
                <w:sz w:val="16"/>
                <w:szCs w:val="16"/>
              </w:rPr>
              <w:t>ANE</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Rita S. Lane</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608004009"/>
              <w:rPr>
                <w:rFonts w:eastAsia="Times New Roman"/>
              </w:rPr>
            </w:pPr>
            <w:r>
              <w:rPr>
                <w:rFonts w:eastAsia="Times New Roman"/>
                <w:color w:val="000000"/>
                <w:sz w:val="20"/>
                <w:szCs w:val="20"/>
              </w:rPr>
              <w:t>/s/    R</w:t>
            </w:r>
            <w:r>
              <w:rPr>
                <w:rFonts w:eastAsia="Times New Roman"/>
                <w:color w:val="000000"/>
                <w:sz w:val="16"/>
                <w:szCs w:val="16"/>
              </w:rPr>
              <w:t>OBERT</w:t>
            </w:r>
            <w:r>
              <w:rPr>
                <w:rFonts w:eastAsia="Times New Roman"/>
                <w:color w:val="000000"/>
                <w:sz w:val="20"/>
                <w:szCs w:val="20"/>
              </w:rPr>
              <w:t xml:space="preserve"> </w:t>
            </w:r>
            <w:r>
              <w:rPr>
                <w:rFonts w:eastAsia="Times New Roman"/>
                <w:color w:val="000000"/>
                <w:sz w:val="20"/>
                <w:szCs w:val="20"/>
              </w:rPr>
              <w:t>B. M</w:t>
            </w:r>
            <w:r>
              <w:rPr>
                <w:rFonts w:eastAsia="Times New Roman"/>
                <w:color w:val="000000"/>
                <w:sz w:val="16"/>
                <w:szCs w:val="16"/>
              </w:rPr>
              <w:t>ILLARD</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Robert B. Millard</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AE54EE">
            <w:pPr>
              <w:spacing w:after="100"/>
              <w:divId w:val="1618835474"/>
              <w:rPr>
                <w:rFonts w:eastAsia="Times New Roman"/>
              </w:rPr>
            </w:pPr>
            <w:r>
              <w:rPr>
                <w:rFonts w:eastAsia="Times New Roman"/>
                <w:color w:val="000000"/>
                <w:sz w:val="20"/>
                <w:szCs w:val="20"/>
              </w:rPr>
              <w:t>/s/    L</w:t>
            </w:r>
            <w:r>
              <w:rPr>
                <w:rFonts w:eastAsia="Times New Roman"/>
                <w:color w:val="000000"/>
                <w:sz w:val="16"/>
                <w:szCs w:val="16"/>
              </w:rPr>
              <w:t>LOYD</w:t>
            </w:r>
            <w:r>
              <w:rPr>
                <w:rFonts w:eastAsia="Times New Roman"/>
                <w:color w:val="000000"/>
                <w:sz w:val="20"/>
                <w:szCs w:val="20"/>
              </w:rPr>
              <w:t xml:space="preserve"> W. N</w:t>
            </w:r>
            <w:r>
              <w:rPr>
                <w:rFonts w:eastAsia="Times New Roman"/>
                <w:color w:val="000000"/>
                <w:sz w:val="16"/>
                <w:szCs w:val="16"/>
              </w:rPr>
              <w:t>EWTON</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February 25, 2022</w:t>
            </w:r>
          </w:p>
        </w:tc>
      </w:tr>
      <w:tr w:rsidR="00000000">
        <w:trPr>
          <w:divId w:val="959997900"/>
          <w:trHeight w:val="240"/>
        </w:trPr>
        <w:tc>
          <w:tcPr>
            <w:tcW w:w="0" w:type="auto"/>
            <w:gridSpan w:val="9"/>
            <w:tcBorders>
              <w:top w:val="single" w:sz="8" w:space="0" w:color="000000"/>
            </w:tcBorders>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Lloyd W. Newton</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vMerge/>
            <w:vAlign w:val="center"/>
            <w:hideMark/>
          </w:tcPr>
          <w:p w:rsidR="00000000" w:rsidRDefault="00AE54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vMerge/>
            <w:vAlign w:val="center"/>
            <w:hideMark/>
          </w:tcPr>
          <w:p w:rsidR="00000000" w:rsidRDefault="00AE54EE">
            <w:pPr>
              <w:spacing w:after="100"/>
              <w:rPr>
                <w:rFonts w:eastAsia="Times New Roman"/>
              </w:rPr>
            </w:pPr>
          </w:p>
        </w:tc>
      </w:tr>
      <w:tr w:rsidR="00000000">
        <w:trPr>
          <w:divId w:val="959997900"/>
          <w:trHeight w:val="100"/>
        </w:trPr>
        <w:tc>
          <w:tcPr>
            <w:tcW w:w="0" w:type="auto"/>
            <w:gridSpan w:val="9"/>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E54EE">
            <w:pPr>
              <w:spacing w:after="100"/>
              <w:rPr>
                <w:rFonts w:eastAsia="Times New Roman"/>
                <w:sz w:val="20"/>
                <w:szCs w:val="20"/>
              </w:rPr>
            </w:pPr>
          </w:p>
        </w:tc>
      </w:tr>
      <w:tr w:rsidR="00000000">
        <w:trPr>
          <w:divId w:val="959997900"/>
        </w:trPr>
        <w:tc>
          <w:tcPr>
            <w:tcW w:w="0" w:type="auto"/>
            <w:gridSpan w:val="3"/>
            <w:tcMar>
              <w:top w:w="30" w:type="dxa"/>
              <w:left w:w="20" w:type="dxa"/>
              <w:bottom w:w="30" w:type="dxa"/>
              <w:right w:w="20" w:type="dxa"/>
            </w:tcMar>
            <w:hideMark/>
          </w:tcPr>
          <w:p w:rsidR="00000000" w:rsidRDefault="00AE54E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divId w:val="1908026870"/>
              <w:rPr>
                <w:rFonts w:eastAsia="Times New Roman"/>
              </w:rPr>
            </w:pPr>
            <w:r>
              <w:rPr>
                <w:rFonts w:eastAsia="Times New Roman"/>
                <w:color w:val="000000"/>
                <w:sz w:val="20"/>
                <w:szCs w:val="20"/>
              </w:rPr>
              <w:t>/s/    S</w:t>
            </w:r>
            <w:r>
              <w:rPr>
                <w:rFonts w:eastAsia="Times New Roman"/>
                <w:color w:val="000000"/>
                <w:sz w:val="16"/>
                <w:szCs w:val="16"/>
              </w:rPr>
              <w:t>COTT</w:t>
            </w:r>
            <w:r>
              <w:rPr>
                <w:rFonts w:eastAsia="Times New Roman"/>
                <w:color w:val="000000"/>
                <w:sz w:val="20"/>
                <w:szCs w:val="20"/>
              </w:rPr>
              <w:t xml:space="preserve"> T. M</w:t>
            </w:r>
            <w:r>
              <w:rPr>
                <w:rFonts w:eastAsia="Times New Roman"/>
                <w:color w:val="000000"/>
                <w:sz w:val="16"/>
                <w:szCs w:val="16"/>
              </w:rPr>
              <w:t>IKUEN</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r>
      <w:tr w:rsidR="00000000">
        <w:trPr>
          <w:divId w:val="95999790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Scott T. Mikuen</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r>
      <w:tr w:rsidR="00000000">
        <w:trPr>
          <w:divId w:val="95999790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Attorney-in-Fact</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r>
      <w:tr w:rsidR="00000000">
        <w:trPr>
          <w:divId w:val="959997900"/>
        </w:trPr>
        <w:tc>
          <w:tcPr>
            <w:tcW w:w="0" w:type="auto"/>
            <w:gridSpan w:val="3"/>
            <w:tcMar>
              <w:top w:w="0" w:type="dxa"/>
              <w:left w:w="20" w:type="dxa"/>
              <w:bottom w:w="0" w:type="dxa"/>
              <w:right w:w="20" w:type="dxa"/>
            </w:tcMar>
            <w:vAlign w:val="center"/>
            <w:hideMark/>
          </w:tcPr>
          <w:p w:rsidR="00000000" w:rsidRDefault="00AE54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20"/>
                <w:szCs w:val="20"/>
              </w:rPr>
              <w:t>pursuant to a power of attorney</w:t>
            </w: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E54E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E54EE">
            <w:pPr>
              <w:spacing w:after="100"/>
              <w:rPr>
                <w:rFonts w:eastAsia="Times New Roman"/>
              </w:rPr>
            </w:pPr>
          </w:p>
        </w:tc>
      </w:tr>
    </w:tbl>
    <w:p w:rsidR="00AE54EE" w:rsidRDefault="00AE54EE">
      <w:pPr>
        <w:ind w:firstLine="450"/>
        <w:jc w:val="center"/>
        <w:divId w:val="474569533"/>
        <w:rPr>
          <w:rFonts w:eastAsia="Times New Roman"/>
        </w:rPr>
      </w:pPr>
      <w:r>
        <w:rPr>
          <w:rFonts w:eastAsia="Times New Roman"/>
          <w:color w:val="000000"/>
          <w:sz w:val="20"/>
          <w:szCs w:val="20"/>
        </w:rPr>
        <w:t>135</w:t>
      </w:r>
    </w:p>
    <w:sectPr w:rsidR="00AE54E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E54EE"/>
    <w:rsid w:val="00AE54EE"/>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3/iso4217"/>
  <w:attachedSchema w:val="http://www.xbrl.org/inlineXBRL/transformation/2020-02-12"/>
  <w:attachedSchema w:val="http://www.xbrl.org/2003/instance"/>
  <w:attachedSchema w:val="http://fasb.org/srt/2021-01-31"/>
  <w:attachedSchema w:val="http://www.xbrl.org/2013/inlineXBRL"/>
  <w:attachedSchema w:val="http://xbrl.sec.gov/country/2021"/>
  <w:attachedSchema w:val="http://harris.com/20211231"/>
  <w:attachedSchema w:val="http://xbrl.sec.gov/dei/2021q4"/>
  <w:attachedSchema w:val="http://xbrl.sec.gov/stpr/2021"/>
  <w:attachedSchema w:val="http://www.w3.org/1999/xlink"/>
  <w:attachedSchema w:val="http://xbrl.org/2006/xbrldi"/>
  <w:attachedSchema w:val="http://www.sec.gov/inlineXBRL/transformation/2015-08-31"/>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82">
      <w:marLeft w:val="0"/>
      <w:marRight w:val="0"/>
      <w:marTop w:val="100"/>
      <w:marBottom w:val="100"/>
      <w:divBdr>
        <w:top w:val="none" w:sz="0" w:space="0" w:color="auto"/>
        <w:left w:val="none" w:sz="0" w:space="0" w:color="auto"/>
        <w:bottom w:val="none" w:sz="0" w:space="0" w:color="auto"/>
        <w:right w:val="none" w:sz="0" w:space="0" w:color="auto"/>
      </w:divBdr>
    </w:div>
    <w:div w:id="549132">
      <w:marLeft w:val="0"/>
      <w:marRight w:val="0"/>
      <w:marTop w:val="0"/>
      <w:marBottom w:val="100"/>
      <w:divBdr>
        <w:top w:val="none" w:sz="0" w:space="0" w:color="auto"/>
        <w:left w:val="none" w:sz="0" w:space="0" w:color="auto"/>
        <w:bottom w:val="none" w:sz="0" w:space="0" w:color="auto"/>
        <w:right w:val="none" w:sz="0" w:space="0" w:color="auto"/>
      </w:divBdr>
    </w:div>
    <w:div w:id="936717">
      <w:marLeft w:val="0"/>
      <w:marRight w:val="0"/>
      <w:marTop w:val="100"/>
      <w:marBottom w:val="0"/>
      <w:divBdr>
        <w:top w:val="none" w:sz="0" w:space="0" w:color="auto"/>
        <w:left w:val="none" w:sz="0" w:space="0" w:color="auto"/>
        <w:bottom w:val="none" w:sz="0" w:space="0" w:color="auto"/>
        <w:right w:val="none" w:sz="0" w:space="0" w:color="auto"/>
      </w:divBdr>
    </w:div>
    <w:div w:id="1248269">
      <w:marLeft w:val="0"/>
      <w:marRight w:val="0"/>
      <w:marTop w:val="80"/>
      <w:marBottom w:val="100"/>
      <w:divBdr>
        <w:top w:val="none" w:sz="0" w:space="0" w:color="auto"/>
        <w:left w:val="none" w:sz="0" w:space="0" w:color="auto"/>
        <w:bottom w:val="none" w:sz="0" w:space="0" w:color="auto"/>
        <w:right w:val="none" w:sz="0" w:space="0" w:color="auto"/>
      </w:divBdr>
    </w:div>
    <w:div w:id="2248203">
      <w:marLeft w:val="0"/>
      <w:marRight w:val="0"/>
      <w:marTop w:val="0"/>
      <w:marBottom w:val="0"/>
      <w:divBdr>
        <w:top w:val="none" w:sz="0" w:space="0" w:color="auto"/>
        <w:left w:val="none" w:sz="0" w:space="0" w:color="auto"/>
        <w:bottom w:val="none" w:sz="0" w:space="0" w:color="auto"/>
        <w:right w:val="none" w:sz="0" w:space="0" w:color="auto"/>
      </w:divBdr>
      <w:divsChild>
        <w:div w:id="135798950">
          <w:marLeft w:val="0"/>
          <w:marRight w:val="0"/>
          <w:marTop w:val="0"/>
          <w:marBottom w:val="0"/>
          <w:divBdr>
            <w:top w:val="none" w:sz="0" w:space="0" w:color="auto"/>
            <w:left w:val="none" w:sz="0" w:space="0" w:color="auto"/>
            <w:bottom w:val="none" w:sz="0" w:space="0" w:color="auto"/>
            <w:right w:val="none" w:sz="0" w:space="0" w:color="auto"/>
          </w:divBdr>
          <w:divsChild>
            <w:div w:id="84058347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441474">
      <w:marLeft w:val="0"/>
      <w:marRight w:val="0"/>
      <w:marTop w:val="80"/>
      <w:marBottom w:val="100"/>
      <w:divBdr>
        <w:top w:val="none" w:sz="0" w:space="0" w:color="auto"/>
        <w:left w:val="none" w:sz="0" w:space="0" w:color="auto"/>
        <w:bottom w:val="none" w:sz="0" w:space="0" w:color="auto"/>
        <w:right w:val="none" w:sz="0" w:space="0" w:color="auto"/>
      </w:divBdr>
    </w:div>
    <w:div w:id="2898327">
      <w:marLeft w:val="0"/>
      <w:marRight w:val="0"/>
      <w:marTop w:val="0"/>
      <w:marBottom w:val="0"/>
      <w:divBdr>
        <w:top w:val="none" w:sz="0" w:space="0" w:color="auto"/>
        <w:left w:val="none" w:sz="0" w:space="0" w:color="auto"/>
        <w:bottom w:val="none" w:sz="0" w:space="0" w:color="auto"/>
        <w:right w:val="none" w:sz="0" w:space="0" w:color="auto"/>
      </w:divBdr>
    </w:div>
    <w:div w:id="3408699">
      <w:marLeft w:val="0"/>
      <w:marRight w:val="0"/>
      <w:marTop w:val="100"/>
      <w:marBottom w:val="100"/>
      <w:divBdr>
        <w:top w:val="none" w:sz="0" w:space="0" w:color="auto"/>
        <w:left w:val="none" w:sz="0" w:space="0" w:color="auto"/>
        <w:bottom w:val="none" w:sz="0" w:space="0" w:color="auto"/>
        <w:right w:val="none" w:sz="0" w:space="0" w:color="auto"/>
      </w:divBdr>
    </w:div>
    <w:div w:id="4015114">
      <w:marLeft w:val="0"/>
      <w:marRight w:val="0"/>
      <w:marTop w:val="100"/>
      <w:marBottom w:val="100"/>
      <w:divBdr>
        <w:top w:val="none" w:sz="0" w:space="0" w:color="auto"/>
        <w:left w:val="none" w:sz="0" w:space="0" w:color="auto"/>
        <w:bottom w:val="none" w:sz="0" w:space="0" w:color="auto"/>
        <w:right w:val="none" w:sz="0" w:space="0" w:color="auto"/>
      </w:divBdr>
    </w:div>
    <w:div w:id="4603064">
      <w:marLeft w:val="0"/>
      <w:marRight w:val="0"/>
      <w:marTop w:val="80"/>
      <w:marBottom w:val="100"/>
      <w:divBdr>
        <w:top w:val="none" w:sz="0" w:space="0" w:color="auto"/>
        <w:left w:val="none" w:sz="0" w:space="0" w:color="auto"/>
        <w:bottom w:val="none" w:sz="0" w:space="0" w:color="auto"/>
        <w:right w:val="none" w:sz="0" w:space="0" w:color="auto"/>
      </w:divBdr>
    </w:div>
    <w:div w:id="5639783">
      <w:marLeft w:val="0"/>
      <w:marRight w:val="0"/>
      <w:marTop w:val="100"/>
      <w:marBottom w:val="0"/>
      <w:divBdr>
        <w:top w:val="none" w:sz="0" w:space="0" w:color="auto"/>
        <w:left w:val="none" w:sz="0" w:space="0" w:color="auto"/>
        <w:bottom w:val="none" w:sz="0" w:space="0" w:color="auto"/>
        <w:right w:val="none" w:sz="0" w:space="0" w:color="auto"/>
      </w:divBdr>
      <w:divsChild>
        <w:div w:id="251669868">
          <w:marLeft w:val="0"/>
          <w:marRight w:val="0"/>
          <w:marTop w:val="0"/>
          <w:marBottom w:val="0"/>
          <w:divBdr>
            <w:top w:val="none" w:sz="0" w:space="0" w:color="auto"/>
            <w:left w:val="none" w:sz="0" w:space="0" w:color="auto"/>
            <w:bottom w:val="none" w:sz="0" w:space="0" w:color="auto"/>
            <w:right w:val="none" w:sz="0" w:space="0" w:color="auto"/>
          </w:divBdr>
        </w:div>
        <w:div w:id="196045292">
          <w:marLeft w:val="0"/>
          <w:marRight w:val="0"/>
          <w:marTop w:val="0"/>
          <w:marBottom w:val="0"/>
          <w:divBdr>
            <w:top w:val="none" w:sz="0" w:space="0" w:color="auto"/>
            <w:left w:val="none" w:sz="0" w:space="0" w:color="auto"/>
            <w:bottom w:val="none" w:sz="0" w:space="0" w:color="auto"/>
            <w:right w:val="none" w:sz="0" w:space="0" w:color="auto"/>
          </w:divBdr>
        </w:div>
        <w:div w:id="868684230">
          <w:marLeft w:val="0"/>
          <w:marRight w:val="0"/>
          <w:marTop w:val="0"/>
          <w:marBottom w:val="0"/>
          <w:divBdr>
            <w:top w:val="none" w:sz="0" w:space="0" w:color="auto"/>
            <w:left w:val="none" w:sz="0" w:space="0" w:color="auto"/>
            <w:bottom w:val="none" w:sz="0" w:space="0" w:color="auto"/>
            <w:right w:val="none" w:sz="0" w:space="0" w:color="auto"/>
          </w:divBdr>
        </w:div>
      </w:divsChild>
    </w:div>
    <w:div w:id="7679320">
      <w:marLeft w:val="0"/>
      <w:marRight w:val="0"/>
      <w:marTop w:val="180"/>
      <w:marBottom w:val="0"/>
      <w:divBdr>
        <w:top w:val="none" w:sz="0" w:space="0" w:color="auto"/>
        <w:left w:val="none" w:sz="0" w:space="0" w:color="auto"/>
        <w:bottom w:val="none" w:sz="0" w:space="0" w:color="auto"/>
        <w:right w:val="none" w:sz="0" w:space="0" w:color="auto"/>
      </w:divBdr>
    </w:div>
    <w:div w:id="7997280">
      <w:marLeft w:val="0"/>
      <w:marRight w:val="0"/>
      <w:marTop w:val="0"/>
      <w:marBottom w:val="100"/>
      <w:divBdr>
        <w:top w:val="none" w:sz="0" w:space="0" w:color="auto"/>
        <w:left w:val="none" w:sz="0" w:space="0" w:color="auto"/>
        <w:bottom w:val="none" w:sz="0" w:space="0" w:color="auto"/>
        <w:right w:val="none" w:sz="0" w:space="0" w:color="auto"/>
      </w:divBdr>
    </w:div>
    <w:div w:id="9572094">
      <w:marLeft w:val="0"/>
      <w:marRight w:val="0"/>
      <w:marTop w:val="180"/>
      <w:marBottom w:val="0"/>
      <w:divBdr>
        <w:top w:val="none" w:sz="0" w:space="0" w:color="auto"/>
        <w:left w:val="none" w:sz="0" w:space="0" w:color="auto"/>
        <w:bottom w:val="none" w:sz="0" w:space="0" w:color="auto"/>
        <w:right w:val="none" w:sz="0" w:space="0" w:color="auto"/>
      </w:divBdr>
      <w:divsChild>
        <w:div w:id="1735005617">
          <w:marLeft w:val="0"/>
          <w:marRight w:val="0"/>
          <w:marTop w:val="0"/>
          <w:marBottom w:val="0"/>
          <w:divBdr>
            <w:top w:val="none" w:sz="0" w:space="0" w:color="auto"/>
            <w:left w:val="none" w:sz="0" w:space="0" w:color="auto"/>
            <w:bottom w:val="none" w:sz="0" w:space="0" w:color="auto"/>
            <w:right w:val="none" w:sz="0" w:space="0" w:color="auto"/>
          </w:divBdr>
        </w:div>
      </w:divsChild>
    </w:div>
    <w:div w:id="10449105">
      <w:marLeft w:val="0"/>
      <w:marRight w:val="0"/>
      <w:marTop w:val="100"/>
      <w:marBottom w:val="0"/>
      <w:divBdr>
        <w:top w:val="none" w:sz="0" w:space="0" w:color="auto"/>
        <w:left w:val="none" w:sz="0" w:space="0" w:color="auto"/>
        <w:bottom w:val="none" w:sz="0" w:space="0" w:color="auto"/>
        <w:right w:val="none" w:sz="0" w:space="0" w:color="auto"/>
      </w:divBdr>
    </w:div>
    <w:div w:id="10690882">
      <w:marLeft w:val="0"/>
      <w:marRight w:val="0"/>
      <w:marTop w:val="0"/>
      <w:marBottom w:val="100"/>
      <w:divBdr>
        <w:top w:val="none" w:sz="0" w:space="0" w:color="auto"/>
        <w:left w:val="none" w:sz="0" w:space="0" w:color="auto"/>
        <w:bottom w:val="none" w:sz="0" w:space="0" w:color="auto"/>
        <w:right w:val="none" w:sz="0" w:space="0" w:color="auto"/>
      </w:divBdr>
    </w:div>
    <w:div w:id="11613777">
      <w:marLeft w:val="0"/>
      <w:marRight w:val="0"/>
      <w:marTop w:val="100"/>
      <w:marBottom w:val="100"/>
      <w:divBdr>
        <w:top w:val="none" w:sz="0" w:space="0" w:color="auto"/>
        <w:left w:val="none" w:sz="0" w:space="0" w:color="auto"/>
        <w:bottom w:val="none" w:sz="0" w:space="0" w:color="auto"/>
        <w:right w:val="none" w:sz="0" w:space="0" w:color="auto"/>
      </w:divBdr>
    </w:div>
    <w:div w:id="12221229">
      <w:marLeft w:val="0"/>
      <w:marRight w:val="0"/>
      <w:marTop w:val="0"/>
      <w:marBottom w:val="100"/>
      <w:divBdr>
        <w:top w:val="none" w:sz="0" w:space="0" w:color="auto"/>
        <w:left w:val="none" w:sz="0" w:space="0" w:color="auto"/>
        <w:bottom w:val="none" w:sz="0" w:space="0" w:color="auto"/>
        <w:right w:val="none" w:sz="0" w:space="0" w:color="auto"/>
      </w:divBdr>
    </w:div>
    <w:div w:id="12341336">
      <w:marLeft w:val="0"/>
      <w:marRight w:val="0"/>
      <w:marTop w:val="100"/>
      <w:marBottom w:val="100"/>
      <w:divBdr>
        <w:top w:val="none" w:sz="0" w:space="0" w:color="auto"/>
        <w:left w:val="none" w:sz="0" w:space="0" w:color="auto"/>
        <w:bottom w:val="none" w:sz="0" w:space="0" w:color="auto"/>
        <w:right w:val="none" w:sz="0" w:space="0" w:color="auto"/>
      </w:divBdr>
    </w:div>
    <w:div w:id="13505260">
      <w:marLeft w:val="0"/>
      <w:marRight w:val="0"/>
      <w:marTop w:val="180"/>
      <w:marBottom w:val="0"/>
      <w:divBdr>
        <w:top w:val="none" w:sz="0" w:space="0" w:color="auto"/>
        <w:left w:val="none" w:sz="0" w:space="0" w:color="auto"/>
        <w:bottom w:val="none" w:sz="0" w:space="0" w:color="auto"/>
        <w:right w:val="none" w:sz="0" w:space="0" w:color="auto"/>
      </w:divBdr>
    </w:div>
    <w:div w:id="14812868">
      <w:marLeft w:val="0"/>
      <w:marRight w:val="0"/>
      <w:marTop w:val="180"/>
      <w:marBottom w:val="0"/>
      <w:divBdr>
        <w:top w:val="none" w:sz="0" w:space="0" w:color="auto"/>
        <w:left w:val="none" w:sz="0" w:space="0" w:color="auto"/>
        <w:bottom w:val="none" w:sz="0" w:space="0" w:color="auto"/>
        <w:right w:val="none" w:sz="0" w:space="0" w:color="auto"/>
      </w:divBdr>
    </w:div>
    <w:div w:id="14813038">
      <w:marLeft w:val="0"/>
      <w:marRight w:val="0"/>
      <w:marTop w:val="0"/>
      <w:marBottom w:val="0"/>
      <w:divBdr>
        <w:top w:val="none" w:sz="0" w:space="0" w:color="auto"/>
        <w:left w:val="none" w:sz="0" w:space="0" w:color="auto"/>
        <w:bottom w:val="none" w:sz="0" w:space="0" w:color="auto"/>
        <w:right w:val="none" w:sz="0" w:space="0" w:color="auto"/>
      </w:divBdr>
    </w:div>
    <w:div w:id="16203667">
      <w:marLeft w:val="0"/>
      <w:marRight w:val="0"/>
      <w:marTop w:val="0"/>
      <w:marBottom w:val="0"/>
      <w:divBdr>
        <w:top w:val="none" w:sz="0" w:space="0" w:color="auto"/>
        <w:left w:val="none" w:sz="0" w:space="0" w:color="auto"/>
        <w:bottom w:val="none" w:sz="0" w:space="0" w:color="auto"/>
        <w:right w:val="none" w:sz="0" w:space="0" w:color="auto"/>
      </w:divBdr>
      <w:divsChild>
        <w:div w:id="2110154956">
          <w:marLeft w:val="0"/>
          <w:marRight w:val="0"/>
          <w:marTop w:val="0"/>
          <w:marBottom w:val="0"/>
          <w:divBdr>
            <w:top w:val="none" w:sz="0" w:space="0" w:color="auto"/>
            <w:left w:val="none" w:sz="0" w:space="0" w:color="auto"/>
            <w:bottom w:val="none" w:sz="0" w:space="0" w:color="auto"/>
            <w:right w:val="none" w:sz="0" w:space="0" w:color="auto"/>
          </w:divBdr>
          <w:divsChild>
            <w:div w:id="146750905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590000">
      <w:marLeft w:val="0"/>
      <w:marRight w:val="0"/>
      <w:marTop w:val="0"/>
      <w:marBottom w:val="0"/>
      <w:divBdr>
        <w:top w:val="none" w:sz="0" w:space="0" w:color="auto"/>
        <w:left w:val="none" w:sz="0" w:space="0" w:color="auto"/>
        <w:bottom w:val="none" w:sz="0" w:space="0" w:color="auto"/>
        <w:right w:val="none" w:sz="0" w:space="0" w:color="auto"/>
      </w:divBdr>
    </w:div>
    <w:div w:id="16853590">
      <w:marLeft w:val="0"/>
      <w:marRight w:val="0"/>
      <w:marTop w:val="100"/>
      <w:marBottom w:val="0"/>
      <w:divBdr>
        <w:top w:val="none" w:sz="0" w:space="0" w:color="auto"/>
        <w:left w:val="none" w:sz="0" w:space="0" w:color="auto"/>
        <w:bottom w:val="none" w:sz="0" w:space="0" w:color="auto"/>
        <w:right w:val="none" w:sz="0" w:space="0" w:color="auto"/>
      </w:divBdr>
    </w:div>
    <w:div w:id="16974910">
      <w:marLeft w:val="0"/>
      <w:marRight w:val="0"/>
      <w:marTop w:val="180"/>
      <w:marBottom w:val="0"/>
      <w:divBdr>
        <w:top w:val="none" w:sz="0" w:space="0" w:color="auto"/>
        <w:left w:val="none" w:sz="0" w:space="0" w:color="auto"/>
        <w:bottom w:val="none" w:sz="0" w:space="0" w:color="auto"/>
        <w:right w:val="none" w:sz="0" w:space="0" w:color="auto"/>
      </w:divBdr>
    </w:div>
    <w:div w:id="17240155">
      <w:marLeft w:val="0"/>
      <w:marRight w:val="0"/>
      <w:marTop w:val="100"/>
      <w:marBottom w:val="0"/>
      <w:divBdr>
        <w:top w:val="none" w:sz="0" w:space="0" w:color="auto"/>
        <w:left w:val="none" w:sz="0" w:space="0" w:color="auto"/>
        <w:bottom w:val="none" w:sz="0" w:space="0" w:color="auto"/>
        <w:right w:val="none" w:sz="0" w:space="0" w:color="auto"/>
      </w:divBdr>
    </w:div>
    <w:div w:id="17439453">
      <w:marLeft w:val="0"/>
      <w:marRight w:val="0"/>
      <w:marTop w:val="0"/>
      <w:marBottom w:val="0"/>
      <w:divBdr>
        <w:top w:val="none" w:sz="0" w:space="0" w:color="auto"/>
        <w:left w:val="none" w:sz="0" w:space="0" w:color="auto"/>
        <w:bottom w:val="none" w:sz="0" w:space="0" w:color="auto"/>
        <w:right w:val="none" w:sz="0" w:space="0" w:color="auto"/>
      </w:divBdr>
    </w:div>
    <w:div w:id="17439754">
      <w:marLeft w:val="0"/>
      <w:marRight w:val="0"/>
      <w:marTop w:val="100"/>
      <w:marBottom w:val="100"/>
      <w:divBdr>
        <w:top w:val="none" w:sz="0" w:space="0" w:color="auto"/>
        <w:left w:val="none" w:sz="0" w:space="0" w:color="auto"/>
        <w:bottom w:val="none" w:sz="0" w:space="0" w:color="auto"/>
        <w:right w:val="none" w:sz="0" w:space="0" w:color="auto"/>
      </w:divBdr>
    </w:div>
    <w:div w:id="20665971">
      <w:marLeft w:val="0"/>
      <w:marRight w:val="0"/>
      <w:marTop w:val="0"/>
      <w:marBottom w:val="0"/>
      <w:divBdr>
        <w:top w:val="none" w:sz="0" w:space="0" w:color="auto"/>
        <w:left w:val="none" w:sz="0" w:space="0" w:color="auto"/>
        <w:bottom w:val="none" w:sz="0" w:space="0" w:color="auto"/>
        <w:right w:val="none" w:sz="0" w:space="0" w:color="auto"/>
      </w:divBdr>
    </w:div>
    <w:div w:id="20791235">
      <w:marLeft w:val="0"/>
      <w:marRight w:val="0"/>
      <w:marTop w:val="0"/>
      <w:marBottom w:val="0"/>
      <w:divBdr>
        <w:top w:val="none" w:sz="0" w:space="0" w:color="auto"/>
        <w:left w:val="none" w:sz="0" w:space="0" w:color="auto"/>
        <w:bottom w:val="none" w:sz="0" w:space="0" w:color="auto"/>
        <w:right w:val="none" w:sz="0" w:space="0" w:color="auto"/>
      </w:divBdr>
      <w:divsChild>
        <w:div w:id="995842164">
          <w:marLeft w:val="0"/>
          <w:marRight w:val="0"/>
          <w:marTop w:val="0"/>
          <w:marBottom w:val="100"/>
          <w:divBdr>
            <w:top w:val="none" w:sz="0" w:space="0" w:color="auto"/>
            <w:left w:val="none" w:sz="0" w:space="0" w:color="auto"/>
            <w:bottom w:val="none" w:sz="0" w:space="0" w:color="auto"/>
            <w:right w:val="none" w:sz="0" w:space="0" w:color="auto"/>
          </w:divBdr>
        </w:div>
      </w:divsChild>
    </w:div>
    <w:div w:id="20857929">
      <w:marLeft w:val="0"/>
      <w:marRight w:val="0"/>
      <w:marTop w:val="180"/>
      <w:marBottom w:val="100"/>
      <w:divBdr>
        <w:top w:val="none" w:sz="0" w:space="0" w:color="auto"/>
        <w:left w:val="none" w:sz="0" w:space="0" w:color="auto"/>
        <w:bottom w:val="none" w:sz="0" w:space="0" w:color="auto"/>
        <w:right w:val="none" w:sz="0" w:space="0" w:color="auto"/>
      </w:divBdr>
    </w:div>
    <w:div w:id="21328966">
      <w:marLeft w:val="0"/>
      <w:marRight w:val="0"/>
      <w:marTop w:val="100"/>
      <w:marBottom w:val="100"/>
      <w:divBdr>
        <w:top w:val="none" w:sz="0" w:space="0" w:color="auto"/>
        <w:left w:val="none" w:sz="0" w:space="0" w:color="auto"/>
        <w:bottom w:val="none" w:sz="0" w:space="0" w:color="auto"/>
        <w:right w:val="none" w:sz="0" w:space="0" w:color="auto"/>
      </w:divBdr>
    </w:div>
    <w:div w:id="24602461">
      <w:marLeft w:val="0"/>
      <w:marRight w:val="0"/>
      <w:marTop w:val="0"/>
      <w:marBottom w:val="0"/>
      <w:divBdr>
        <w:top w:val="none" w:sz="0" w:space="0" w:color="auto"/>
        <w:left w:val="none" w:sz="0" w:space="0" w:color="auto"/>
        <w:bottom w:val="none" w:sz="0" w:space="0" w:color="auto"/>
        <w:right w:val="none" w:sz="0" w:space="0" w:color="auto"/>
      </w:divBdr>
    </w:div>
    <w:div w:id="24870900">
      <w:marLeft w:val="0"/>
      <w:marRight w:val="0"/>
      <w:marTop w:val="0"/>
      <w:marBottom w:val="100"/>
      <w:divBdr>
        <w:top w:val="none" w:sz="0" w:space="0" w:color="auto"/>
        <w:left w:val="none" w:sz="0" w:space="0" w:color="auto"/>
        <w:bottom w:val="none" w:sz="0" w:space="0" w:color="auto"/>
        <w:right w:val="none" w:sz="0" w:space="0" w:color="auto"/>
      </w:divBdr>
    </w:div>
    <w:div w:id="25181741">
      <w:marLeft w:val="0"/>
      <w:marRight w:val="0"/>
      <w:marTop w:val="80"/>
      <w:marBottom w:val="100"/>
      <w:divBdr>
        <w:top w:val="none" w:sz="0" w:space="0" w:color="auto"/>
        <w:left w:val="none" w:sz="0" w:space="0" w:color="auto"/>
        <w:bottom w:val="none" w:sz="0" w:space="0" w:color="auto"/>
        <w:right w:val="none" w:sz="0" w:space="0" w:color="auto"/>
      </w:divBdr>
    </w:div>
    <w:div w:id="25569529">
      <w:marLeft w:val="0"/>
      <w:marRight w:val="0"/>
      <w:marTop w:val="0"/>
      <w:marBottom w:val="100"/>
      <w:divBdr>
        <w:top w:val="none" w:sz="0" w:space="0" w:color="auto"/>
        <w:left w:val="none" w:sz="0" w:space="0" w:color="auto"/>
        <w:bottom w:val="none" w:sz="0" w:space="0" w:color="auto"/>
        <w:right w:val="none" w:sz="0" w:space="0" w:color="auto"/>
      </w:divBdr>
    </w:div>
    <w:div w:id="26953516">
      <w:marLeft w:val="0"/>
      <w:marRight w:val="0"/>
      <w:marTop w:val="100"/>
      <w:marBottom w:val="100"/>
      <w:divBdr>
        <w:top w:val="none" w:sz="0" w:space="0" w:color="auto"/>
        <w:left w:val="none" w:sz="0" w:space="0" w:color="auto"/>
        <w:bottom w:val="none" w:sz="0" w:space="0" w:color="auto"/>
        <w:right w:val="none" w:sz="0" w:space="0" w:color="auto"/>
      </w:divBdr>
    </w:div>
    <w:div w:id="27800200">
      <w:marLeft w:val="0"/>
      <w:marRight w:val="0"/>
      <w:marTop w:val="0"/>
      <w:marBottom w:val="0"/>
      <w:divBdr>
        <w:top w:val="none" w:sz="0" w:space="0" w:color="auto"/>
        <w:left w:val="none" w:sz="0" w:space="0" w:color="auto"/>
        <w:bottom w:val="none" w:sz="0" w:space="0" w:color="auto"/>
        <w:right w:val="none" w:sz="0" w:space="0" w:color="auto"/>
      </w:divBdr>
    </w:div>
    <w:div w:id="29690988">
      <w:marLeft w:val="0"/>
      <w:marRight w:val="0"/>
      <w:marTop w:val="180"/>
      <w:marBottom w:val="0"/>
      <w:divBdr>
        <w:top w:val="none" w:sz="0" w:space="0" w:color="auto"/>
        <w:left w:val="none" w:sz="0" w:space="0" w:color="auto"/>
        <w:bottom w:val="none" w:sz="0" w:space="0" w:color="auto"/>
        <w:right w:val="none" w:sz="0" w:space="0" w:color="auto"/>
      </w:divBdr>
    </w:div>
    <w:div w:id="30228174">
      <w:marLeft w:val="0"/>
      <w:marRight w:val="0"/>
      <w:marTop w:val="100"/>
      <w:marBottom w:val="0"/>
      <w:divBdr>
        <w:top w:val="none" w:sz="0" w:space="0" w:color="auto"/>
        <w:left w:val="none" w:sz="0" w:space="0" w:color="auto"/>
        <w:bottom w:val="none" w:sz="0" w:space="0" w:color="auto"/>
        <w:right w:val="none" w:sz="0" w:space="0" w:color="auto"/>
      </w:divBdr>
    </w:div>
    <w:div w:id="31659917">
      <w:marLeft w:val="0"/>
      <w:marRight w:val="0"/>
      <w:marTop w:val="0"/>
      <w:marBottom w:val="100"/>
      <w:divBdr>
        <w:top w:val="none" w:sz="0" w:space="0" w:color="auto"/>
        <w:left w:val="none" w:sz="0" w:space="0" w:color="auto"/>
        <w:bottom w:val="none" w:sz="0" w:space="0" w:color="auto"/>
        <w:right w:val="none" w:sz="0" w:space="0" w:color="auto"/>
      </w:divBdr>
    </w:div>
    <w:div w:id="32581108">
      <w:marLeft w:val="0"/>
      <w:marRight w:val="0"/>
      <w:marTop w:val="100"/>
      <w:marBottom w:val="100"/>
      <w:divBdr>
        <w:top w:val="none" w:sz="0" w:space="0" w:color="auto"/>
        <w:left w:val="none" w:sz="0" w:space="0" w:color="auto"/>
        <w:bottom w:val="none" w:sz="0" w:space="0" w:color="auto"/>
        <w:right w:val="none" w:sz="0" w:space="0" w:color="auto"/>
      </w:divBdr>
    </w:div>
    <w:div w:id="34045257">
      <w:marLeft w:val="0"/>
      <w:marRight w:val="0"/>
      <w:marTop w:val="0"/>
      <w:marBottom w:val="0"/>
      <w:divBdr>
        <w:top w:val="none" w:sz="0" w:space="0" w:color="auto"/>
        <w:left w:val="none" w:sz="0" w:space="0" w:color="auto"/>
        <w:bottom w:val="none" w:sz="0" w:space="0" w:color="auto"/>
        <w:right w:val="none" w:sz="0" w:space="0" w:color="auto"/>
      </w:divBdr>
      <w:divsChild>
        <w:div w:id="1865555139">
          <w:marLeft w:val="0"/>
          <w:marRight w:val="0"/>
          <w:marTop w:val="0"/>
          <w:marBottom w:val="0"/>
          <w:divBdr>
            <w:top w:val="none" w:sz="0" w:space="0" w:color="auto"/>
            <w:left w:val="none" w:sz="0" w:space="0" w:color="auto"/>
            <w:bottom w:val="none" w:sz="0" w:space="0" w:color="auto"/>
            <w:right w:val="none" w:sz="0" w:space="0" w:color="auto"/>
          </w:divBdr>
          <w:divsChild>
            <w:div w:id="156776054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4282361">
      <w:marLeft w:val="0"/>
      <w:marRight w:val="0"/>
      <w:marTop w:val="180"/>
      <w:marBottom w:val="0"/>
      <w:divBdr>
        <w:top w:val="none" w:sz="0" w:space="0" w:color="auto"/>
        <w:left w:val="none" w:sz="0" w:space="0" w:color="auto"/>
        <w:bottom w:val="none" w:sz="0" w:space="0" w:color="auto"/>
        <w:right w:val="none" w:sz="0" w:space="0" w:color="auto"/>
      </w:divBdr>
    </w:div>
    <w:div w:id="34744547">
      <w:marLeft w:val="0"/>
      <w:marRight w:val="0"/>
      <w:marTop w:val="180"/>
      <w:marBottom w:val="0"/>
      <w:divBdr>
        <w:top w:val="none" w:sz="0" w:space="0" w:color="auto"/>
        <w:left w:val="none" w:sz="0" w:space="0" w:color="auto"/>
        <w:bottom w:val="none" w:sz="0" w:space="0" w:color="auto"/>
        <w:right w:val="none" w:sz="0" w:space="0" w:color="auto"/>
      </w:divBdr>
    </w:div>
    <w:div w:id="36318196">
      <w:marLeft w:val="0"/>
      <w:marRight w:val="0"/>
      <w:marTop w:val="0"/>
      <w:marBottom w:val="0"/>
      <w:divBdr>
        <w:top w:val="none" w:sz="0" w:space="0" w:color="auto"/>
        <w:left w:val="none" w:sz="0" w:space="0" w:color="auto"/>
        <w:bottom w:val="none" w:sz="0" w:space="0" w:color="auto"/>
        <w:right w:val="none" w:sz="0" w:space="0" w:color="auto"/>
      </w:divBdr>
    </w:div>
    <w:div w:id="36322559">
      <w:marLeft w:val="0"/>
      <w:marRight w:val="0"/>
      <w:marTop w:val="0"/>
      <w:marBottom w:val="100"/>
      <w:divBdr>
        <w:top w:val="none" w:sz="0" w:space="0" w:color="auto"/>
        <w:left w:val="none" w:sz="0" w:space="0" w:color="auto"/>
        <w:bottom w:val="none" w:sz="0" w:space="0" w:color="auto"/>
        <w:right w:val="none" w:sz="0" w:space="0" w:color="auto"/>
      </w:divBdr>
    </w:div>
    <w:div w:id="37366326">
      <w:marLeft w:val="0"/>
      <w:marRight w:val="0"/>
      <w:marTop w:val="180"/>
      <w:marBottom w:val="0"/>
      <w:divBdr>
        <w:top w:val="none" w:sz="0" w:space="0" w:color="auto"/>
        <w:left w:val="none" w:sz="0" w:space="0" w:color="auto"/>
        <w:bottom w:val="none" w:sz="0" w:space="0" w:color="auto"/>
        <w:right w:val="none" w:sz="0" w:space="0" w:color="auto"/>
      </w:divBdr>
    </w:div>
    <w:div w:id="37553602">
      <w:marLeft w:val="0"/>
      <w:marRight w:val="0"/>
      <w:marTop w:val="0"/>
      <w:marBottom w:val="0"/>
      <w:divBdr>
        <w:top w:val="none" w:sz="0" w:space="0" w:color="auto"/>
        <w:left w:val="none" w:sz="0" w:space="0" w:color="auto"/>
        <w:bottom w:val="none" w:sz="0" w:space="0" w:color="auto"/>
        <w:right w:val="none" w:sz="0" w:space="0" w:color="auto"/>
      </w:divBdr>
      <w:divsChild>
        <w:div w:id="1984970166">
          <w:marLeft w:val="0"/>
          <w:marRight w:val="0"/>
          <w:marTop w:val="0"/>
          <w:marBottom w:val="0"/>
          <w:divBdr>
            <w:top w:val="none" w:sz="0" w:space="0" w:color="auto"/>
            <w:left w:val="none" w:sz="0" w:space="0" w:color="auto"/>
            <w:bottom w:val="none" w:sz="0" w:space="0" w:color="auto"/>
            <w:right w:val="none" w:sz="0" w:space="0" w:color="auto"/>
          </w:divBdr>
          <w:divsChild>
            <w:div w:id="208680482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8821577">
      <w:marLeft w:val="0"/>
      <w:marRight w:val="0"/>
      <w:marTop w:val="0"/>
      <w:marBottom w:val="100"/>
      <w:divBdr>
        <w:top w:val="none" w:sz="0" w:space="0" w:color="auto"/>
        <w:left w:val="none" w:sz="0" w:space="0" w:color="auto"/>
        <w:bottom w:val="none" w:sz="0" w:space="0" w:color="auto"/>
        <w:right w:val="none" w:sz="0" w:space="0" w:color="auto"/>
      </w:divBdr>
    </w:div>
    <w:div w:id="43138332">
      <w:marLeft w:val="0"/>
      <w:marRight w:val="0"/>
      <w:marTop w:val="180"/>
      <w:marBottom w:val="0"/>
      <w:divBdr>
        <w:top w:val="none" w:sz="0" w:space="0" w:color="auto"/>
        <w:left w:val="none" w:sz="0" w:space="0" w:color="auto"/>
        <w:bottom w:val="none" w:sz="0" w:space="0" w:color="auto"/>
        <w:right w:val="none" w:sz="0" w:space="0" w:color="auto"/>
      </w:divBdr>
    </w:div>
    <w:div w:id="44565321">
      <w:marLeft w:val="0"/>
      <w:marRight w:val="0"/>
      <w:marTop w:val="0"/>
      <w:marBottom w:val="100"/>
      <w:divBdr>
        <w:top w:val="none" w:sz="0" w:space="0" w:color="auto"/>
        <w:left w:val="none" w:sz="0" w:space="0" w:color="auto"/>
        <w:bottom w:val="none" w:sz="0" w:space="0" w:color="auto"/>
        <w:right w:val="none" w:sz="0" w:space="0" w:color="auto"/>
      </w:divBdr>
    </w:div>
    <w:div w:id="45685359">
      <w:marLeft w:val="0"/>
      <w:marRight w:val="0"/>
      <w:marTop w:val="0"/>
      <w:marBottom w:val="0"/>
      <w:divBdr>
        <w:top w:val="none" w:sz="0" w:space="0" w:color="auto"/>
        <w:left w:val="none" w:sz="0" w:space="0" w:color="auto"/>
        <w:bottom w:val="none" w:sz="0" w:space="0" w:color="auto"/>
        <w:right w:val="none" w:sz="0" w:space="0" w:color="auto"/>
      </w:divBdr>
      <w:divsChild>
        <w:div w:id="1162694084">
          <w:marLeft w:val="0"/>
          <w:marRight w:val="0"/>
          <w:marTop w:val="0"/>
          <w:marBottom w:val="0"/>
          <w:divBdr>
            <w:top w:val="none" w:sz="0" w:space="0" w:color="auto"/>
            <w:left w:val="none" w:sz="0" w:space="0" w:color="auto"/>
            <w:bottom w:val="none" w:sz="0" w:space="0" w:color="auto"/>
            <w:right w:val="none" w:sz="0" w:space="0" w:color="auto"/>
          </w:divBdr>
          <w:divsChild>
            <w:div w:id="88672438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5956672">
      <w:marLeft w:val="0"/>
      <w:marRight w:val="0"/>
      <w:marTop w:val="80"/>
      <w:marBottom w:val="100"/>
      <w:divBdr>
        <w:top w:val="none" w:sz="0" w:space="0" w:color="auto"/>
        <w:left w:val="none" w:sz="0" w:space="0" w:color="auto"/>
        <w:bottom w:val="none" w:sz="0" w:space="0" w:color="auto"/>
        <w:right w:val="none" w:sz="0" w:space="0" w:color="auto"/>
      </w:divBdr>
    </w:div>
    <w:div w:id="55206973">
      <w:marLeft w:val="0"/>
      <w:marRight w:val="0"/>
      <w:marTop w:val="0"/>
      <w:marBottom w:val="100"/>
      <w:divBdr>
        <w:top w:val="none" w:sz="0" w:space="0" w:color="auto"/>
        <w:left w:val="none" w:sz="0" w:space="0" w:color="auto"/>
        <w:bottom w:val="none" w:sz="0" w:space="0" w:color="auto"/>
        <w:right w:val="none" w:sz="0" w:space="0" w:color="auto"/>
      </w:divBdr>
    </w:div>
    <w:div w:id="55471251">
      <w:marLeft w:val="0"/>
      <w:marRight w:val="0"/>
      <w:marTop w:val="0"/>
      <w:marBottom w:val="100"/>
      <w:divBdr>
        <w:top w:val="none" w:sz="0" w:space="0" w:color="auto"/>
        <w:left w:val="none" w:sz="0" w:space="0" w:color="auto"/>
        <w:bottom w:val="none" w:sz="0" w:space="0" w:color="auto"/>
        <w:right w:val="none" w:sz="0" w:space="0" w:color="auto"/>
      </w:divBdr>
    </w:div>
    <w:div w:id="56825292">
      <w:marLeft w:val="0"/>
      <w:marRight w:val="0"/>
      <w:marTop w:val="0"/>
      <w:marBottom w:val="0"/>
      <w:divBdr>
        <w:top w:val="none" w:sz="0" w:space="0" w:color="auto"/>
        <w:left w:val="none" w:sz="0" w:space="0" w:color="auto"/>
        <w:bottom w:val="none" w:sz="0" w:space="0" w:color="auto"/>
        <w:right w:val="none" w:sz="0" w:space="0" w:color="auto"/>
      </w:divBdr>
    </w:div>
    <w:div w:id="57410732">
      <w:marLeft w:val="0"/>
      <w:marRight w:val="0"/>
      <w:marTop w:val="0"/>
      <w:marBottom w:val="100"/>
      <w:divBdr>
        <w:top w:val="none" w:sz="0" w:space="0" w:color="auto"/>
        <w:left w:val="none" w:sz="0" w:space="0" w:color="auto"/>
        <w:bottom w:val="none" w:sz="0" w:space="0" w:color="auto"/>
        <w:right w:val="none" w:sz="0" w:space="0" w:color="auto"/>
      </w:divBdr>
    </w:div>
    <w:div w:id="58745745">
      <w:marLeft w:val="0"/>
      <w:marRight w:val="0"/>
      <w:marTop w:val="100"/>
      <w:marBottom w:val="0"/>
      <w:divBdr>
        <w:top w:val="none" w:sz="0" w:space="0" w:color="auto"/>
        <w:left w:val="none" w:sz="0" w:space="0" w:color="auto"/>
        <w:bottom w:val="none" w:sz="0" w:space="0" w:color="auto"/>
        <w:right w:val="none" w:sz="0" w:space="0" w:color="auto"/>
      </w:divBdr>
    </w:div>
    <w:div w:id="58943788">
      <w:marLeft w:val="0"/>
      <w:marRight w:val="0"/>
      <w:marTop w:val="180"/>
      <w:marBottom w:val="0"/>
      <w:divBdr>
        <w:top w:val="none" w:sz="0" w:space="0" w:color="auto"/>
        <w:left w:val="none" w:sz="0" w:space="0" w:color="auto"/>
        <w:bottom w:val="none" w:sz="0" w:space="0" w:color="auto"/>
        <w:right w:val="none" w:sz="0" w:space="0" w:color="auto"/>
      </w:divBdr>
      <w:divsChild>
        <w:div w:id="133105776">
          <w:marLeft w:val="0"/>
          <w:marRight w:val="0"/>
          <w:marTop w:val="0"/>
          <w:marBottom w:val="0"/>
          <w:divBdr>
            <w:top w:val="none" w:sz="0" w:space="0" w:color="auto"/>
            <w:left w:val="none" w:sz="0" w:space="0" w:color="auto"/>
            <w:bottom w:val="none" w:sz="0" w:space="0" w:color="auto"/>
            <w:right w:val="none" w:sz="0" w:space="0" w:color="auto"/>
          </w:divBdr>
        </w:div>
      </w:divsChild>
    </w:div>
    <w:div w:id="61291496">
      <w:marLeft w:val="0"/>
      <w:marRight w:val="0"/>
      <w:marTop w:val="0"/>
      <w:marBottom w:val="0"/>
      <w:divBdr>
        <w:top w:val="none" w:sz="0" w:space="0" w:color="auto"/>
        <w:left w:val="none" w:sz="0" w:space="0" w:color="auto"/>
        <w:bottom w:val="none" w:sz="0" w:space="0" w:color="auto"/>
        <w:right w:val="none" w:sz="0" w:space="0" w:color="auto"/>
      </w:divBdr>
      <w:divsChild>
        <w:div w:id="1586263562">
          <w:marLeft w:val="0"/>
          <w:marRight w:val="0"/>
          <w:marTop w:val="0"/>
          <w:marBottom w:val="100"/>
          <w:divBdr>
            <w:top w:val="none" w:sz="0" w:space="0" w:color="auto"/>
            <w:left w:val="none" w:sz="0" w:space="0" w:color="auto"/>
            <w:bottom w:val="none" w:sz="0" w:space="0" w:color="auto"/>
            <w:right w:val="none" w:sz="0" w:space="0" w:color="auto"/>
          </w:divBdr>
        </w:div>
      </w:divsChild>
    </w:div>
    <w:div w:id="62988707">
      <w:marLeft w:val="0"/>
      <w:marRight w:val="0"/>
      <w:marTop w:val="0"/>
      <w:marBottom w:val="0"/>
      <w:divBdr>
        <w:top w:val="none" w:sz="0" w:space="0" w:color="auto"/>
        <w:left w:val="none" w:sz="0" w:space="0" w:color="auto"/>
        <w:bottom w:val="none" w:sz="0" w:space="0" w:color="auto"/>
        <w:right w:val="none" w:sz="0" w:space="0" w:color="auto"/>
      </w:divBdr>
      <w:divsChild>
        <w:div w:id="1639383614">
          <w:marLeft w:val="0"/>
          <w:marRight w:val="0"/>
          <w:marTop w:val="0"/>
          <w:marBottom w:val="100"/>
          <w:divBdr>
            <w:top w:val="none" w:sz="0" w:space="0" w:color="auto"/>
            <w:left w:val="none" w:sz="0" w:space="0" w:color="auto"/>
            <w:bottom w:val="none" w:sz="0" w:space="0" w:color="auto"/>
            <w:right w:val="none" w:sz="0" w:space="0" w:color="auto"/>
          </w:divBdr>
        </w:div>
      </w:divsChild>
    </w:div>
    <w:div w:id="65226198">
      <w:marLeft w:val="0"/>
      <w:marRight w:val="0"/>
      <w:marTop w:val="0"/>
      <w:marBottom w:val="100"/>
      <w:divBdr>
        <w:top w:val="none" w:sz="0" w:space="0" w:color="auto"/>
        <w:left w:val="none" w:sz="0" w:space="0" w:color="auto"/>
        <w:bottom w:val="none" w:sz="0" w:space="0" w:color="auto"/>
        <w:right w:val="none" w:sz="0" w:space="0" w:color="auto"/>
      </w:divBdr>
    </w:div>
    <w:div w:id="65998500">
      <w:marLeft w:val="0"/>
      <w:marRight w:val="0"/>
      <w:marTop w:val="180"/>
      <w:marBottom w:val="0"/>
      <w:divBdr>
        <w:top w:val="none" w:sz="0" w:space="0" w:color="auto"/>
        <w:left w:val="none" w:sz="0" w:space="0" w:color="auto"/>
        <w:bottom w:val="none" w:sz="0" w:space="0" w:color="auto"/>
        <w:right w:val="none" w:sz="0" w:space="0" w:color="auto"/>
      </w:divBdr>
    </w:div>
    <w:div w:id="67266172">
      <w:marLeft w:val="0"/>
      <w:marRight w:val="0"/>
      <w:marTop w:val="0"/>
      <w:marBottom w:val="0"/>
      <w:divBdr>
        <w:top w:val="none" w:sz="0" w:space="0" w:color="auto"/>
        <w:left w:val="none" w:sz="0" w:space="0" w:color="auto"/>
        <w:bottom w:val="none" w:sz="0" w:space="0" w:color="auto"/>
        <w:right w:val="none" w:sz="0" w:space="0" w:color="auto"/>
      </w:divBdr>
      <w:divsChild>
        <w:div w:id="2052725729">
          <w:marLeft w:val="0"/>
          <w:marRight w:val="0"/>
          <w:marTop w:val="0"/>
          <w:marBottom w:val="0"/>
          <w:divBdr>
            <w:top w:val="none" w:sz="0" w:space="0" w:color="auto"/>
            <w:left w:val="none" w:sz="0" w:space="0" w:color="auto"/>
            <w:bottom w:val="none" w:sz="0" w:space="0" w:color="auto"/>
            <w:right w:val="none" w:sz="0" w:space="0" w:color="auto"/>
          </w:divBdr>
          <w:divsChild>
            <w:div w:id="3460604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8843934">
      <w:marLeft w:val="0"/>
      <w:marRight w:val="0"/>
      <w:marTop w:val="80"/>
      <w:marBottom w:val="100"/>
      <w:divBdr>
        <w:top w:val="none" w:sz="0" w:space="0" w:color="auto"/>
        <w:left w:val="none" w:sz="0" w:space="0" w:color="auto"/>
        <w:bottom w:val="none" w:sz="0" w:space="0" w:color="auto"/>
        <w:right w:val="none" w:sz="0" w:space="0" w:color="auto"/>
      </w:divBdr>
    </w:div>
    <w:div w:id="69624415">
      <w:marLeft w:val="0"/>
      <w:marRight w:val="0"/>
      <w:marTop w:val="100"/>
      <w:marBottom w:val="100"/>
      <w:divBdr>
        <w:top w:val="none" w:sz="0" w:space="0" w:color="auto"/>
        <w:left w:val="none" w:sz="0" w:space="0" w:color="auto"/>
        <w:bottom w:val="none" w:sz="0" w:space="0" w:color="auto"/>
        <w:right w:val="none" w:sz="0" w:space="0" w:color="auto"/>
      </w:divBdr>
    </w:div>
    <w:div w:id="70470017">
      <w:marLeft w:val="0"/>
      <w:marRight w:val="0"/>
      <w:marTop w:val="0"/>
      <w:marBottom w:val="0"/>
      <w:divBdr>
        <w:top w:val="none" w:sz="0" w:space="0" w:color="auto"/>
        <w:left w:val="none" w:sz="0" w:space="0" w:color="auto"/>
        <w:bottom w:val="none" w:sz="0" w:space="0" w:color="auto"/>
        <w:right w:val="none" w:sz="0" w:space="0" w:color="auto"/>
      </w:divBdr>
    </w:div>
    <w:div w:id="70664615">
      <w:marLeft w:val="0"/>
      <w:marRight w:val="0"/>
      <w:marTop w:val="100"/>
      <w:marBottom w:val="100"/>
      <w:divBdr>
        <w:top w:val="none" w:sz="0" w:space="0" w:color="auto"/>
        <w:left w:val="none" w:sz="0" w:space="0" w:color="auto"/>
        <w:bottom w:val="none" w:sz="0" w:space="0" w:color="auto"/>
        <w:right w:val="none" w:sz="0" w:space="0" w:color="auto"/>
      </w:divBdr>
    </w:div>
    <w:div w:id="77867777">
      <w:marLeft w:val="0"/>
      <w:marRight w:val="0"/>
      <w:marTop w:val="0"/>
      <w:marBottom w:val="100"/>
      <w:divBdr>
        <w:top w:val="none" w:sz="0" w:space="0" w:color="auto"/>
        <w:left w:val="none" w:sz="0" w:space="0" w:color="auto"/>
        <w:bottom w:val="none" w:sz="0" w:space="0" w:color="auto"/>
        <w:right w:val="none" w:sz="0" w:space="0" w:color="auto"/>
      </w:divBdr>
    </w:div>
    <w:div w:id="79329692">
      <w:marLeft w:val="0"/>
      <w:marRight w:val="0"/>
      <w:marTop w:val="180"/>
      <w:marBottom w:val="0"/>
      <w:divBdr>
        <w:top w:val="none" w:sz="0" w:space="0" w:color="auto"/>
        <w:left w:val="none" w:sz="0" w:space="0" w:color="auto"/>
        <w:bottom w:val="none" w:sz="0" w:space="0" w:color="auto"/>
        <w:right w:val="none" w:sz="0" w:space="0" w:color="auto"/>
      </w:divBdr>
    </w:div>
    <w:div w:id="79524567">
      <w:marLeft w:val="0"/>
      <w:marRight w:val="0"/>
      <w:marTop w:val="0"/>
      <w:marBottom w:val="100"/>
      <w:divBdr>
        <w:top w:val="none" w:sz="0" w:space="0" w:color="auto"/>
        <w:left w:val="none" w:sz="0" w:space="0" w:color="auto"/>
        <w:bottom w:val="none" w:sz="0" w:space="0" w:color="auto"/>
        <w:right w:val="none" w:sz="0" w:space="0" w:color="auto"/>
      </w:divBdr>
    </w:div>
    <w:div w:id="80180143">
      <w:marLeft w:val="0"/>
      <w:marRight w:val="0"/>
      <w:marTop w:val="100"/>
      <w:marBottom w:val="0"/>
      <w:divBdr>
        <w:top w:val="none" w:sz="0" w:space="0" w:color="auto"/>
        <w:left w:val="none" w:sz="0" w:space="0" w:color="auto"/>
        <w:bottom w:val="none" w:sz="0" w:space="0" w:color="auto"/>
        <w:right w:val="none" w:sz="0" w:space="0" w:color="auto"/>
      </w:divBdr>
    </w:div>
    <w:div w:id="81026325">
      <w:marLeft w:val="0"/>
      <w:marRight w:val="0"/>
      <w:marTop w:val="0"/>
      <w:marBottom w:val="0"/>
      <w:divBdr>
        <w:top w:val="none" w:sz="0" w:space="0" w:color="auto"/>
        <w:left w:val="none" w:sz="0" w:space="0" w:color="auto"/>
        <w:bottom w:val="none" w:sz="0" w:space="0" w:color="auto"/>
        <w:right w:val="none" w:sz="0" w:space="0" w:color="auto"/>
      </w:divBdr>
      <w:divsChild>
        <w:div w:id="666179292">
          <w:marLeft w:val="0"/>
          <w:marRight w:val="0"/>
          <w:marTop w:val="0"/>
          <w:marBottom w:val="0"/>
          <w:divBdr>
            <w:top w:val="none" w:sz="0" w:space="0" w:color="auto"/>
            <w:left w:val="none" w:sz="0" w:space="0" w:color="auto"/>
            <w:bottom w:val="none" w:sz="0" w:space="0" w:color="auto"/>
            <w:right w:val="none" w:sz="0" w:space="0" w:color="auto"/>
          </w:divBdr>
          <w:divsChild>
            <w:div w:id="73269611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3262596">
      <w:marLeft w:val="0"/>
      <w:marRight w:val="0"/>
      <w:marTop w:val="0"/>
      <w:marBottom w:val="0"/>
      <w:divBdr>
        <w:top w:val="none" w:sz="0" w:space="0" w:color="auto"/>
        <w:left w:val="none" w:sz="0" w:space="0" w:color="auto"/>
        <w:bottom w:val="none" w:sz="0" w:space="0" w:color="auto"/>
        <w:right w:val="none" w:sz="0" w:space="0" w:color="auto"/>
      </w:divBdr>
    </w:div>
    <w:div w:id="83496401">
      <w:marLeft w:val="0"/>
      <w:marRight w:val="0"/>
      <w:marTop w:val="0"/>
      <w:marBottom w:val="0"/>
      <w:divBdr>
        <w:top w:val="none" w:sz="0" w:space="0" w:color="auto"/>
        <w:left w:val="none" w:sz="0" w:space="0" w:color="auto"/>
        <w:bottom w:val="none" w:sz="0" w:space="0" w:color="auto"/>
        <w:right w:val="none" w:sz="0" w:space="0" w:color="auto"/>
      </w:divBdr>
      <w:divsChild>
        <w:div w:id="412312656">
          <w:marLeft w:val="0"/>
          <w:marRight w:val="0"/>
          <w:marTop w:val="0"/>
          <w:marBottom w:val="0"/>
          <w:divBdr>
            <w:top w:val="none" w:sz="0" w:space="0" w:color="auto"/>
            <w:left w:val="none" w:sz="0" w:space="0" w:color="auto"/>
            <w:bottom w:val="none" w:sz="0" w:space="0" w:color="auto"/>
            <w:right w:val="none" w:sz="0" w:space="0" w:color="auto"/>
          </w:divBdr>
          <w:divsChild>
            <w:div w:id="16555719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4233813">
      <w:marLeft w:val="0"/>
      <w:marRight w:val="0"/>
      <w:marTop w:val="100"/>
      <w:marBottom w:val="0"/>
      <w:divBdr>
        <w:top w:val="none" w:sz="0" w:space="0" w:color="auto"/>
        <w:left w:val="none" w:sz="0" w:space="0" w:color="auto"/>
        <w:bottom w:val="none" w:sz="0" w:space="0" w:color="auto"/>
        <w:right w:val="none" w:sz="0" w:space="0" w:color="auto"/>
      </w:divBdr>
      <w:divsChild>
        <w:div w:id="192574535">
          <w:marLeft w:val="0"/>
          <w:marRight w:val="0"/>
          <w:marTop w:val="0"/>
          <w:marBottom w:val="0"/>
          <w:divBdr>
            <w:top w:val="none" w:sz="0" w:space="0" w:color="auto"/>
            <w:left w:val="none" w:sz="0" w:space="0" w:color="auto"/>
            <w:bottom w:val="none" w:sz="0" w:space="0" w:color="auto"/>
            <w:right w:val="none" w:sz="0" w:space="0" w:color="auto"/>
          </w:divBdr>
        </w:div>
      </w:divsChild>
    </w:div>
    <w:div w:id="84691437">
      <w:marLeft w:val="0"/>
      <w:marRight w:val="0"/>
      <w:marTop w:val="0"/>
      <w:marBottom w:val="100"/>
      <w:divBdr>
        <w:top w:val="none" w:sz="0" w:space="0" w:color="auto"/>
        <w:left w:val="none" w:sz="0" w:space="0" w:color="auto"/>
        <w:bottom w:val="none" w:sz="0" w:space="0" w:color="auto"/>
        <w:right w:val="none" w:sz="0" w:space="0" w:color="auto"/>
      </w:divBdr>
    </w:div>
    <w:div w:id="85853542">
      <w:marLeft w:val="0"/>
      <w:marRight w:val="0"/>
      <w:marTop w:val="0"/>
      <w:marBottom w:val="100"/>
      <w:divBdr>
        <w:top w:val="none" w:sz="0" w:space="0" w:color="auto"/>
        <w:left w:val="none" w:sz="0" w:space="0" w:color="auto"/>
        <w:bottom w:val="none" w:sz="0" w:space="0" w:color="auto"/>
        <w:right w:val="none" w:sz="0" w:space="0" w:color="auto"/>
      </w:divBdr>
    </w:div>
    <w:div w:id="85882997">
      <w:marLeft w:val="0"/>
      <w:marRight w:val="0"/>
      <w:marTop w:val="0"/>
      <w:marBottom w:val="0"/>
      <w:divBdr>
        <w:top w:val="none" w:sz="0" w:space="0" w:color="auto"/>
        <w:left w:val="none" w:sz="0" w:space="0" w:color="auto"/>
        <w:bottom w:val="none" w:sz="0" w:space="0" w:color="auto"/>
        <w:right w:val="none" w:sz="0" w:space="0" w:color="auto"/>
      </w:divBdr>
      <w:divsChild>
        <w:div w:id="1265923334">
          <w:marLeft w:val="0"/>
          <w:marRight w:val="0"/>
          <w:marTop w:val="0"/>
          <w:marBottom w:val="0"/>
          <w:divBdr>
            <w:top w:val="none" w:sz="0" w:space="0" w:color="auto"/>
            <w:left w:val="none" w:sz="0" w:space="0" w:color="auto"/>
            <w:bottom w:val="none" w:sz="0" w:space="0" w:color="auto"/>
            <w:right w:val="none" w:sz="0" w:space="0" w:color="auto"/>
          </w:divBdr>
          <w:divsChild>
            <w:div w:id="114655529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8745413">
      <w:marLeft w:val="0"/>
      <w:marRight w:val="0"/>
      <w:marTop w:val="180"/>
      <w:marBottom w:val="0"/>
      <w:divBdr>
        <w:top w:val="none" w:sz="0" w:space="0" w:color="auto"/>
        <w:left w:val="none" w:sz="0" w:space="0" w:color="auto"/>
        <w:bottom w:val="none" w:sz="0" w:space="0" w:color="auto"/>
        <w:right w:val="none" w:sz="0" w:space="0" w:color="auto"/>
      </w:divBdr>
    </w:div>
    <w:div w:id="89811644">
      <w:marLeft w:val="0"/>
      <w:marRight w:val="0"/>
      <w:marTop w:val="180"/>
      <w:marBottom w:val="0"/>
      <w:divBdr>
        <w:top w:val="none" w:sz="0" w:space="0" w:color="auto"/>
        <w:left w:val="none" w:sz="0" w:space="0" w:color="auto"/>
        <w:bottom w:val="none" w:sz="0" w:space="0" w:color="auto"/>
        <w:right w:val="none" w:sz="0" w:space="0" w:color="auto"/>
      </w:divBdr>
    </w:div>
    <w:div w:id="90400115">
      <w:marLeft w:val="0"/>
      <w:marRight w:val="0"/>
      <w:marTop w:val="0"/>
      <w:marBottom w:val="100"/>
      <w:divBdr>
        <w:top w:val="none" w:sz="0" w:space="0" w:color="auto"/>
        <w:left w:val="none" w:sz="0" w:space="0" w:color="auto"/>
        <w:bottom w:val="none" w:sz="0" w:space="0" w:color="auto"/>
        <w:right w:val="none" w:sz="0" w:space="0" w:color="auto"/>
      </w:divBdr>
    </w:div>
    <w:div w:id="90862421">
      <w:marLeft w:val="0"/>
      <w:marRight w:val="0"/>
      <w:marTop w:val="0"/>
      <w:marBottom w:val="0"/>
      <w:divBdr>
        <w:top w:val="none" w:sz="0" w:space="0" w:color="auto"/>
        <w:left w:val="none" w:sz="0" w:space="0" w:color="auto"/>
        <w:bottom w:val="none" w:sz="0" w:space="0" w:color="auto"/>
        <w:right w:val="none" w:sz="0" w:space="0" w:color="auto"/>
      </w:divBdr>
    </w:div>
    <w:div w:id="91248918">
      <w:marLeft w:val="0"/>
      <w:marRight w:val="0"/>
      <w:marTop w:val="0"/>
      <w:marBottom w:val="0"/>
      <w:divBdr>
        <w:top w:val="none" w:sz="0" w:space="0" w:color="auto"/>
        <w:left w:val="none" w:sz="0" w:space="0" w:color="auto"/>
        <w:bottom w:val="none" w:sz="0" w:space="0" w:color="auto"/>
        <w:right w:val="none" w:sz="0" w:space="0" w:color="auto"/>
      </w:divBdr>
    </w:div>
    <w:div w:id="92173463">
      <w:marLeft w:val="0"/>
      <w:marRight w:val="0"/>
      <w:marTop w:val="80"/>
      <w:marBottom w:val="100"/>
      <w:divBdr>
        <w:top w:val="none" w:sz="0" w:space="0" w:color="auto"/>
        <w:left w:val="none" w:sz="0" w:space="0" w:color="auto"/>
        <w:bottom w:val="none" w:sz="0" w:space="0" w:color="auto"/>
        <w:right w:val="none" w:sz="0" w:space="0" w:color="auto"/>
      </w:divBdr>
    </w:div>
    <w:div w:id="93676936">
      <w:marLeft w:val="0"/>
      <w:marRight w:val="0"/>
      <w:marTop w:val="0"/>
      <w:marBottom w:val="100"/>
      <w:divBdr>
        <w:top w:val="none" w:sz="0" w:space="0" w:color="auto"/>
        <w:left w:val="none" w:sz="0" w:space="0" w:color="auto"/>
        <w:bottom w:val="none" w:sz="0" w:space="0" w:color="auto"/>
        <w:right w:val="none" w:sz="0" w:space="0" w:color="auto"/>
      </w:divBdr>
    </w:div>
    <w:div w:id="94442165">
      <w:marLeft w:val="0"/>
      <w:marRight w:val="0"/>
      <w:marTop w:val="0"/>
      <w:marBottom w:val="100"/>
      <w:divBdr>
        <w:top w:val="none" w:sz="0" w:space="0" w:color="auto"/>
        <w:left w:val="none" w:sz="0" w:space="0" w:color="auto"/>
        <w:bottom w:val="none" w:sz="0" w:space="0" w:color="auto"/>
        <w:right w:val="none" w:sz="0" w:space="0" w:color="auto"/>
      </w:divBdr>
    </w:div>
    <w:div w:id="97146536">
      <w:marLeft w:val="0"/>
      <w:marRight w:val="0"/>
      <w:marTop w:val="0"/>
      <w:marBottom w:val="0"/>
      <w:divBdr>
        <w:top w:val="none" w:sz="0" w:space="0" w:color="auto"/>
        <w:left w:val="none" w:sz="0" w:space="0" w:color="auto"/>
        <w:bottom w:val="none" w:sz="0" w:space="0" w:color="auto"/>
        <w:right w:val="none" w:sz="0" w:space="0" w:color="auto"/>
      </w:divBdr>
    </w:div>
    <w:div w:id="97260435">
      <w:marLeft w:val="0"/>
      <w:marRight w:val="0"/>
      <w:marTop w:val="0"/>
      <w:marBottom w:val="0"/>
      <w:divBdr>
        <w:top w:val="none" w:sz="0" w:space="0" w:color="auto"/>
        <w:left w:val="none" w:sz="0" w:space="0" w:color="auto"/>
        <w:bottom w:val="none" w:sz="0" w:space="0" w:color="auto"/>
        <w:right w:val="none" w:sz="0" w:space="0" w:color="auto"/>
      </w:divBdr>
    </w:div>
    <w:div w:id="98256596">
      <w:marLeft w:val="0"/>
      <w:marRight w:val="0"/>
      <w:marTop w:val="0"/>
      <w:marBottom w:val="100"/>
      <w:divBdr>
        <w:top w:val="none" w:sz="0" w:space="0" w:color="auto"/>
        <w:left w:val="none" w:sz="0" w:space="0" w:color="auto"/>
        <w:bottom w:val="none" w:sz="0" w:space="0" w:color="auto"/>
        <w:right w:val="none" w:sz="0" w:space="0" w:color="auto"/>
      </w:divBdr>
    </w:div>
    <w:div w:id="98721457">
      <w:marLeft w:val="0"/>
      <w:marRight w:val="0"/>
      <w:marTop w:val="100"/>
      <w:marBottom w:val="100"/>
      <w:divBdr>
        <w:top w:val="none" w:sz="0" w:space="0" w:color="auto"/>
        <w:left w:val="none" w:sz="0" w:space="0" w:color="auto"/>
        <w:bottom w:val="none" w:sz="0" w:space="0" w:color="auto"/>
        <w:right w:val="none" w:sz="0" w:space="0" w:color="auto"/>
      </w:divBdr>
    </w:div>
    <w:div w:id="98793307">
      <w:marLeft w:val="0"/>
      <w:marRight w:val="0"/>
      <w:marTop w:val="180"/>
      <w:marBottom w:val="100"/>
      <w:divBdr>
        <w:top w:val="none" w:sz="0" w:space="0" w:color="auto"/>
        <w:left w:val="none" w:sz="0" w:space="0" w:color="auto"/>
        <w:bottom w:val="none" w:sz="0" w:space="0" w:color="auto"/>
        <w:right w:val="none" w:sz="0" w:space="0" w:color="auto"/>
      </w:divBdr>
    </w:div>
    <w:div w:id="99883129">
      <w:marLeft w:val="0"/>
      <w:marRight w:val="0"/>
      <w:marTop w:val="0"/>
      <w:marBottom w:val="0"/>
      <w:divBdr>
        <w:top w:val="none" w:sz="0" w:space="0" w:color="auto"/>
        <w:left w:val="none" w:sz="0" w:space="0" w:color="auto"/>
        <w:bottom w:val="none" w:sz="0" w:space="0" w:color="auto"/>
        <w:right w:val="none" w:sz="0" w:space="0" w:color="auto"/>
      </w:divBdr>
    </w:div>
    <w:div w:id="101650807">
      <w:marLeft w:val="0"/>
      <w:marRight w:val="0"/>
      <w:marTop w:val="100"/>
      <w:marBottom w:val="100"/>
      <w:divBdr>
        <w:top w:val="none" w:sz="0" w:space="0" w:color="auto"/>
        <w:left w:val="none" w:sz="0" w:space="0" w:color="auto"/>
        <w:bottom w:val="none" w:sz="0" w:space="0" w:color="auto"/>
        <w:right w:val="none" w:sz="0" w:space="0" w:color="auto"/>
      </w:divBdr>
    </w:div>
    <w:div w:id="102042954">
      <w:marLeft w:val="0"/>
      <w:marRight w:val="0"/>
      <w:marTop w:val="100"/>
      <w:marBottom w:val="0"/>
      <w:divBdr>
        <w:top w:val="none" w:sz="0" w:space="0" w:color="auto"/>
        <w:left w:val="none" w:sz="0" w:space="0" w:color="auto"/>
        <w:bottom w:val="none" w:sz="0" w:space="0" w:color="auto"/>
        <w:right w:val="none" w:sz="0" w:space="0" w:color="auto"/>
      </w:divBdr>
    </w:div>
    <w:div w:id="102117472">
      <w:marLeft w:val="0"/>
      <w:marRight w:val="0"/>
      <w:marTop w:val="0"/>
      <w:marBottom w:val="0"/>
      <w:divBdr>
        <w:top w:val="none" w:sz="0" w:space="0" w:color="auto"/>
        <w:left w:val="none" w:sz="0" w:space="0" w:color="auto"/>
        <w:bottom w:val="none" w:sz="0" w:space="0" w:color="auto"/>
        <w:right w:val="none" w:sz="0" w:space="0" w:color="auto"/>
      </w:divBdr>
    </w:div>
    <w:div w:id="103154605">
      <w:marLeft w:val="0"/>
      <w:marRight w:val="0"/>
      <w:marTop w:val="0"/>
      <w:marBottom w:val="100"/>
      <w:divBdr>
        <w:top w:val="none" w:sz="0" w:space="0" w:color="auto"/>
        <w:left w:val="none" w:sz="0" w:space="0" w:color="auto"/>
        <w:bottom w:val="none" w:sz="0" w:space="0" w:color="auto"/>
        <w:right w:val="none" w:sz="0" w:space="0" w:color="auto"/>
      </w:divBdr>
    </w:div>
    <w:div w:id="105344724">
      <w:marLeft w:val="0"/>
      <w:marRight w:val="0"/>
      <w:marTop w:val="0"/>
      <w:marBottom w:val="100"/>
      <w:divBdr>
        <w:top w:val="none" w:sz="0" w:space="0" w:color="auto"/>
        <w:left w:val="none" w:sz="0" w:space="0" w:color="auto"/>
        <w:bottom w:val="none" w:sz="0" w:space="0" w:color="auto"/>
        <w:right w:val="none" w:sz="0" w:space="0" w:color="auto"/>
      </w:divBdr>
    </w:div>
    <w:div w:id="106315386">
      <w:marLeft w:val="0"/>
      <w:marRight w:val="0"/>
      <w:marTop w:val="0"/>
      <w:marBottom w:val="0"/>
      <w:divBdr>
        <w:top w:val="none" w:sz="0" w:space="0" w:color="auto"/>
        <w:left w:val="none" w:sz="0" w:space="0" w:color="auto"/>
        <w:bottom w:val="none" w:sz="0" w:space="0" w:color="auto"/>
        <w:right w:val="none" w:sz="0" w:space="0" w:color="auto"/>
      </w:divBdr>
    </w:div>
    <w:div w:id="106584181">
      <w:marLeft w:val="0"/>
      <w:marRight w:val="0"/>
      <w:marTop w:val="80"/>
      <w:marBottom w:val="100"/>
      <w:divBdr>
        <w:top w:val="none" w:sz="0" w:space="0" w:color="auto"/>
        <w:left w:val="none" w:sz="0" w:space="0" w:color="auto"/>
        <w:bottom w:val="none" w:sz="0" w:space="0" w:color="auto"/>
        <w:right w:val="none" w:sz="0" w:space="0" w:color="auto"/>
      </w:divBdr>
    </w:div>
    <w:div w:id="106968700">
      <w:marLeft w:val="0"/>
      <w:marRight w:val="0"/>
      <w:marTop w:val="0"/>
      <w:marBottom w:val="100"/>
      <w:divBdr>
        <w:top w:val="none" w:sz="0" w:space="0" w:color="auto"/>
        <w:left w:val="none" w:sz="0" w:space="0" w:color="auto"/>
        <w:bottom w:val="none" w:sz="0" w:space="0" w:color="auto"/>
        <w:right w:val="none" w:sz="0" w:space="0" w:color="auto"/>
      </w:divBdr>
    </w:div>
    <w:div w:id="107627052">
      <w:marLeft w:val="0"/>
      <w:marRight w:val="0"/>
      <w:marTop w:val="100"/>
      <w:marBottom w:val="0"/>
      <w:divBdr>
        <w:top w:val="none" w:sz="0" w:space="0" w:color="auto"/>
        <w:left w:val="none" w:sz="0" w:space="0" w:color="auto"/>
        <w:bottom w:val="none" w:sz="0" w:space="0" w:color="auto"/>
        <w:right w:val="none" w:sz="0" w:space="0" w:color="auto"/>
      </w:divBdr>
    </w:div>
    <w:div w:id="111096575">
      <w:marLeft w:val="0"/>
      <w:marRight w:val="0"/>
      <w:marTop w:val="0"/>
      <w:marBottom w:val="0"/>
      <w:divBdr>
        <w:top w:val="none" w:sz="0" w:space="0" w:color="auto"/>
        <w:left w:val="none" w:sz="0" w:space="0" w:color="auto"/>
        <w:bottom w:val="none" w:sz="0" w:space="0" w:color="auto"/>
        <w:right w:val="none" w:sz="0" w:space="0" w:color="auto"/>
      </w:divBdr>
    </w:div>
    <w:div w:id="111752118">
      <w:marLeft w:val="0"/>
      <w:marRight w:val="0"/>
      <w:marTop w:val="100"/>
      <w:marBottom w:val="100"/>
      <w:divBdr>
        <w:top w:val="none" w:sz="0" w:space="0" w:color="auto"/>
        <w:left w:val="none" w:sz="0" w:space="0" w:color="auto"/>
        <w:bottom w:val="none" w:sz="0" w:space="0" w:color="auto"/>
        <w:right w:val="none" w:sz="0" w:space="0" w:color="auto"/>
      </w:divBdr>
    </w:div>
    <w:div w:id="112555183">
      <w:marLeft w:val="0"/>
      <w:marRight w:val="0"/>
      <w:marTop w:val="0"/>
      <w:marBottom w:val="0"/>
      <w:divBdr>
        <w:top w:val="none" w:sz="0" w:space="0" w:color="auto"/>
        <w:left w:val="none" w:sz="0" w:space="0" w:color="auto"/>
        <w:bottom w:val="none" w:sz="0" w:space="0" w:color="auto"/>
        <w:right w:val="none" w:sz="0" w:space="0" w:color="auto"/>
      </w:divBdr>
    </w:div>
    <w:div w:id="114640991">
      <w:marLeft w:val="0"/>
      <w:marRight w:val="0"/>
      <w:marTop w:val="100"/>
      <w:marBottom w:val="100"/>
      <w:divBdr>
        <w:top w:val="none" w:sz="0" w:space="0" w:color="auto"/>
        <w:left w:val="none" w:sz="0" w:space="0" w:color="auto"/>
        <w:bottom w:val="none" w:sz="0" w:space="0" w:color="auto"/>
        <w:right w:val="none" w:sz="0" w:space="0" w:color="auto"/>
      </w:divBdr>
    </w:div>
    <w:div w:id="116680060">
      <w:marLeft w:val="0"/>
      <w:marRight w:val="0"/>
      <w:marTop w:val="0"/>
      <w:marBottom w:val="100"/>
      <w:divBdr>
        <w:top w:val="none" w:sz="0" w:space="0" w:color="auto"/>
        <w:left w:val="none" w:sz="0" w:space="0" w:color="auto"/>
        <w:bottom w:val="none" w:sz="0" w:space="0" w:color="auto"/>
        <w:right w:val="none" w:sz="0" w:space="0" w:color="auto"/>
      </w:divBdr>
    </w:div>
    <w:div w:id="117452103">
      <w:marLeft w:val="0"/>
      <w:marRight w:val="0"/>
      <w:marTop w:val="0"/>
      <w:marBottom w:val="0"/>
      <w:divBdr>
        <w:top w:val="none" w:sz="0" w:space="0" w:color="auto"/>
        <w:left w:val="none" w:sz="0" w:space="0" w:color="auto"/>
        <w:bottom w:val="none" w:sz="0" w:space="0" w:color="auto"/>
        <w:right w:val="none" w:sz="0" w:space="0" w:color="auto"/>
      </w:divBdr>
    </w:div>
    <w:div w:id="119348593">
      <w:marLeft w:val="0"/>
      <w:marRight w:val="0"/>
      <w:marTop w:val="0"/>
      <w:marBottom w:val="0"/>
      <w:divBdr>
        <w:top w:val="none" w:sz="0" w:space="0" w:color="auto"/>
        <w:left w:val="none" w:sz="0" w:space="0" w:color="auto"/>
        <w:bottom w:val="none" w:sz="0" w:space="0" w:color="auto"/>
        <w:right w:val="none" w:sz="0" w:space="0" w:color="auto"/>
      </w:divBdr>
    </w:div>
    <w:div w:id="121854048">
      <w:marLeft w:val="0"/>
      <w:marRight w:val="0"/>
      <w:marTop w:val="0"/>
      <w:marBottom w:val="100"/>
      <w:divBdr>
        <w:top w:val="none" w:sz="0" w:space="0" w:color="auto"/>
        <w:left w:val="none" w:sz="0" w:space="0" w:color="auto"/>
        <w:bottom w:val="none" w:sz="0" w:space="0" w:color="auto"/>
        <w:right w:val="none" w:sz="0" w:space="0" w:color="auto"/>
      </w:divBdr>
      <w:divsChild>
        <w:div w:id="693769435">
          <w:marLeft w:val="0"/>
          <w:marRight w:val="0"/>
          <w:marTop w:val="0"/>
          <w:marBottom w:val="0"/>
          <w:divBdr>
            <w:top w:val="none" w:sz="0" w:space="0" w:color="auto"/>
            <w:left w:val="none" w:sz="0" w:space="0" w:color="auto"/>
            <w:bottom w:val="none" w:sz="0" w:space="0" w:color="auto"/>
            <w:right w:val="none" w:sz="0" w:space="0" w:color="auto"/>
          </w:divBdr>
        </w:div>
        <w:div w:id="860553673">
          <w:marLeft w:val="0"/>
          <w:marRight w:val="0"/>
          <w:marTop w:val="0"/>
          <w:marBottom w:val="0"/>
          <w:divBdr>
            <w:top w:val="none" w:sz="0" w:space="0" w:color="auto"/>
            <w:left w:val="none" w:sz="0" w:space="0" w:color="auto"/>
            <w:bottom w:val="none" w:sz="0" w:space="0" w:color="auto"/>
            <w:right w:val="none" w:sz="0" w:space="0" w:color="auto"/>
          </w:divBdr>
        </w:div>
        <w:div w:id="2005159116">
          <w:marLeft w:val="0"/>
          <w:marRight w:val="0"/>
          <w:marTop w:val="0"/>
          <w:marBottom w:val="0"/>
          <w:divBdr>
            <w:top w:val="none" w:sz="0" w:space="0" w:color="auto"/>
            <w:left w:val="none" w:sz="0" w:space="0" w:color="auto"/>
            <w:bottom w:val="none" w:sz="0" w:space="0" w:color="auto"/>
            <w:right w:val="none" w:sz="0" w:space="0" w:color="auto"/>
          </w:divBdr>
        </w:div>
      </w:divsChild>
    </w:div>
    <w:div w:id="124352312">
      <w:marLeft w:val="0"/>
      <w:marRight w:val="0"/>
      <w:marTop w:val="100"/>
      <w:marBottom w:val="100"/>
      <w:divBdr>
        <w:top w:val="none" w:sz="0" w:space="0" w:color="auto"/>
        <w:left w:val="none" w:sz="0" w:space="0" w:color="auto"/>
        <w:bottom w:val="none" w:sz="0" w:space="0" w:color="auto"/>
        <w:right w:val="none" w:sz="0" w:space="0" w:color="auto"/>
      </w:divBdr>
    </w:div>
    <w:div w:id="126628772">
      <w:marLeft w:val="0"/>
      <w:marRight w:val="0"/>
      <w:marTop w:val="0"/>
      <w:marBottom w:val="100"/>
      <w:divBdr>
        <w:top w:val="none" w:sz="0" w:space="0" w:color="auto"/>
        <w:left w:val="none" w:sz="0" w:space="0" w:color="auto"/>
        <w:bottom w:val="none" w:sz="0" w:space="0" w:color="auto"/>
        <w:right w:val="none" w:sz="0" w:space="0" w:color="auto"/>
      </w:divBdr>
    </w:div>
    <w:div w:id="127170346">
      <w:marLeft w:val="0"/>
      <w:marRight w:val="0"/>
      <w:marTop w:val="0"/>
      <w:marBottom w:val="0"/>
      <w:divBdr>
        <w:top w:val="none" w:sz="0" w:space="0" w:color="auto"/>
        <w:left w:val="none" w:sz="0" w:space="0" w:color="auto"/>
        <w:bottom w:val="none" w:sz="0" w:space="0" w:color="auto"/>
        <w:right w:val="none" w:sz="0" w:space="0" w:color="auto"/>
      </w:divBdr>
      <w:divsChild>
        <w:div w:id="1986466487">
          <w:marLeft w:val="0"/>
          <w:marRight w:val="0"/>
          <w:marTop w:val="0"/>
          <w:marBottom w:val="100"/>
          <w:divBdr>
            <w:top w:val="none" w:sz="0" w:space="0" w:color="auto"/>
            <w:left w:val="none" w:sz="0" w:space="0" w:color="auto"/>
            <w:bottom w:val="none" w:sz="0" w:space="0" w:color="auto"/>
            <w:right w:val="none" w:sz="0" w:space="0" w:color="auto"/>
          </w:divBdr>
        </w:div>
      </w:divsChild>
    </w:div>
    <w:div w:id="127355468">
      <w:marLeft w:val="0"/>
      <w:marRight w:val="0"/>
      <w:marTop w:val="0"/>
      <w:marBottom w:val="100"/>
      <w:divBdr>
        <w:top w:val="none" w:sz="0" w:space="0" w:color="auto"/>
        <w:left w:val="none" w:sz="0" w:space="0" w:color="auto"/>
        <w:bottom w:val="none" w:sz="0" w:space="0" w:color="auto"/>
        <w:right w:val="none" w:sz="0" w:space="0" w:color="auto"/>
      </w:divBdr>
    </w:div>
    <w:div w:id="128282910">
      <w:marLeft w:val="0"/>
      <w:marRight w:val="0"/>
      <w:marTop w:val="0"/>
      <w:marBottom w:val="0"/>
      <w:divBdr>
        <w:top w:val="none" w:sz="0" w:space="0" w:color="auto"/>
        <w:left w:val="none" w:sz="0" w:space="0" w:color="auto"/>
        <w:bottom w:val="none" w:sz="0" w:space="0" w:color="auto"/>
        <w:right w:val="none" w:sz="0" w:space="0" w:color="auto"/>
      </w:divBdr>
    </w:div>
    <w:div w:id="129131596">
      <w:marLeft w:val="0"/>
      <w:marRight w:val="0"/>
      <w:marTop w:val="100"/>
      <w:marBottom w:val="100"/>
      <w:divBdr>
        <w:top w:val="none" w:sz="0" w:space="0" w:color="auto"/>
        <w:left w:val="none" w:sz="0" w:space="0" w:color="auto"/>
        <w:bottom w:val="none" w:sz="0" w:space="0" w:color="auto"/>
        <w:right w:val="none" w:sz="0" w:space="0" w:color="auto"/>
      </w:divBdr>
    </w:div>
    <w:div w:id="129178529">
      <w:marLeft w:val="0"/>
      <w:marRight w:val="0"/>
      <w:marTop w:val="0"/>
      <w:marBottom w:val="100"/>
      <w:divBdr>
        <w:top w:val="none" w:sz="0" w:space="0" w:color="auto"/>
        <w:left w:val="none" w:sz="0" w:space="0" w:color="auto"/>
        <w:bottom w:val="none" w:sz="0" w:space="0" w:color="auto"/>
        <w:right w:val="none" w:sz="0" w:space="0" w:color="auto"/>
      </w:divBdr>
    </w:div>
    <w:div w:id="129907628">
      <w:marLeft w:val="0"/>
      <w:marRight w:val="0"/>
      <w:marTop w:val="0"/>
      <w:marBottom w:val="0"/>
      <w:divBdr>
        <w:top w:val="none" w:sz="0" w:space="0" w:color="auto"/>
        <w:left w:val="none" w:sz="0" w:space="0" w:color="auto"/>
        <w:bottom w:val="none" w:sz="0" w:space="0" w:color="auto"/>
        <w:right w:val="none" w:sz="0" w:space="0" w:color="auto"/>
      </w:divBdr>
    </w:div>
    <w:div w:id="131141077">
      <w:marLeft w:val="0"/>
      <w:marRight w:val="0"/>
      <w:marTop w:val="0"/>
      <w:marBottom w:val="0"/>
      <w:divBdr>
        <w:top w:val="none" w:sz="0" w:space="0" w:color="auto"/>
        <w:left w:val="none" w:sz="0" w:space="0" w:color="auto"/>
        <w:bottom w:val="none" w:sz="0" w:space="0" w:color="auto"/>
        <w:right w:val="none" w:sz="0" w:space="0" w:color="auto"/>
      </w:divBdr>
      <w:divsChild>
        <w:div w:id="598299147">
          <w:marLeft w:val="0"/>
          <w:marRight w:val="0"/>
          <w:marTop w:val="0"/>
          <w:marBottom w:val="100"/>
          <w:divBdr>
            <w:top w:val="none" w:sz="0" w:space="0" w:color="auto"/>
            <w:left w:val="none" w:sz="0" w:space="0" w:color="auto"/>
            <w:bottom w:val="none" w:sz="0" w:space="0" w:color="auto"/>
            <w:right w:val="none" w:sz="0" w:space="0" w:color="auto"/>
          </w:divBdr>
        </w:div>
      </w:divsChild>
    </w:div>
    <w:div w:id="131751958">
      <w:marLeft w:val="0"/>
      <w:marRight w:val="0"/>
      <w:marTop w:val="0"/>
      <w:marBottom w:val="0"/>
      <w:divBdr>
        <w:top w:val="none" w:sz="0" w:space="0" w:color="auto"/>
        <w:left w:val="none" w:sz="0" w:space="0" w:color="auto"/>
        <w:bottom w:val="none" w:sz="0" w:space="0" w:color="auto"/>
        <w:right w:val="none" w:sz="0" w:space="0" w:color="auto"/>
      </w:divBdr>
      <w:divsChild>
        <w:div w:id="1299335794">
          <w:marLeft w:val="0"/>
          <w:marRight w:val="0"/>
          <w:marTop w:val="0"/>
          <w:marBottom w:val="100"/>
          <w:divBdr>
            <w:top w:val="none" w:sz="0" w:space="0" w:color="auto"/>
            <w:left w:val="none" w:sz="0" w:space="0" w:color="auto"/>
            <w:bottom w:val="none" w:sz="0" w:space="0" w:color="auto"/>
            <w:right w:val="none" w:sz="0" w:space="0" w:color="auto"/>
          </w:divBdr>
        </w:div>
      </w:divsChild>
    </w:div>
    <w:div w:id="133377829">
      <w:marLeft w:val="0"/>
      <w:marRight w:val="0"/>
      <w:marTop w:val="100"/>
      <w:marBottom w:val="100"/>
      <w:divBdr>
        <w:top w:val="none" w:sz="0" w:space="0" w:color="auto"/>
        <w:left w:val="none" w:sz="0" w:space="0" w:color="auto"/>
        <w:bottom w:val="none" w:sz="0" w:space="0" w:color="auto"/>
        <w:right w:val="none" w:sz="0" w:space="0" w:color="auto"/>
      </w:divBdr>
    </w:div>
    <w:div w:id="133454563">
      <w:marLeft w:val="0"/>
      <w:marRight w:val="0"/>
      <w:marTop w:val="180"/>
      <w:marBottom w:val="0"/>
      <w:divBdr>
        <w:top w:val="none" w:sz="0" w:space="0" w:color="auto"/>
        <w:left w:val="none" w:sz="0" w:space="0" w:color="auto"/>
        <w:bottom w:val="none" w:sz="0" w:space="0" w:color="auto"/>
        <w:right w:val="none" w:sz="0" w:space="0" w:color="auto"/>
      </w:divBdr>
    </w:div>
    <w:div w:id="135417619">
      <w:marLeft w:val="0"/>
      <w:marRight w:val="0"/>
      <w:marTop w:val="80"/>
      <w:marBottom w:val="100"/>
      <w:divBdr>
        <w:top w:val="none" w:sz="0" w:space="0" w:color="auto"/>
        <w:left w:val="none" w:sz="0" w:space="0" w:color="auto"/>
        <w:bottom w:val="none" w:sz="0" w:space="0" w:color="auto"/>
        <w:right w:val="none" w:sz="0" w:space="0" w:color="auto"/>
      </w:divBdr>
    </w:div>
    <w:div w:id="137766973">
      <w:marLeft w:val="0"/>
      <w:marRight w:val="0"/>
      <w:marTop w:val="100"/>
      <w:marBottom w:val="100"/>
      <w:divBdr>
        <w:top w:val="none" w:sz="0" w:space="0" w:color="auto"/>
        <w:left w:val="none" w:sz="0" w:space="0" w:color="auto"/>
        <w:bottom w:val="none" w:sz="0" w:space="0" w:color="auto"/>
        <w:right w:val="none" w:sz="0" w:space="0" w:color="auto"/>
      </w:divBdr>
    </w:div>
    <w:div w:id="138235307">
      <w:marLeft w:val="0"/>
      <w:marRight w:val="0"/>
      <w:marTop w:val="0"/>
      <w:marBottom w:val="0"/>
      <w:divBdr>
        <w:top w:val="none" w:sz="0" w:space="0" w:color="auto"/>
        <w:left w:val="none" w:sz="0" w:space="0" w:color="auto"/>
        <w:bottom w:val="none" w:sz="0" w:space="0" w:color="auto"/>
        <w:right w:val="none" w:sz="0" w:space="0" w:color="auto"/>
      </w:divBdr>
      <w:divsChild>
        <w:div w:id="376319560">
          <w:marLeft w:val="0"/>
          <w:marRight w:val="0"/>
          <w:marTop w:val="0"/>
          <w:marBottom w:val="100"/>
          <w:divBdr>
            <w:top w:val="none" w:sz="0" w:space="0" w:color="auto"/>
            <w:left w:val="none" w:sz="0" w:space="0" w:color="auto"/>
            <w:bottom w:val="none" w:sz="0" w:space="0" w:color="auto"/>
            <w:right w:val="none" w:sz="0" w:space="0" w:color="auto"/>
          </w:divBdr>
        </w:div>
      </w:divsChild>
    </w:div>
    <w:div w:id="138496013">
      <w:marLeft w:val="0"/>
      <w:marRight w:val="0"/>
      <w:marTop w:val="100"/>
      <w:marBottom w:val="100"/>
      <w:divBdr>
        <w:top w:val="none" w:sz="0" w:space="0" w:color="auto"/>
        <w:left w:val="none" w:sz="0" w:space="0" w:color="auto"/>
        <w:bottom w:val="none" w:sz="0" w:space="0" w:color="auto"/>
        <w:right w:val="none" w:sz="0" w:space="0" w:color="auto"/>
      </w:divBdr>
    </w:div>
    <w:div w:id="138695790">
      <w:marLeft w:val="0"/>
      <w:marRight w:val="0"/>
      <w:marTop w:val="0"/>
      <w:marBottom w:val="0"/>
      <w:divBdr>
        <w:top w:val="none" w:sz="0" w:space="0" w:color="auto"/>
        <w:left w:val="none" w:sz="0" w:space="0" w:color="auto"/>
        <w:bottom w:val="none" w:sz="0" w:space="0" w:color="auto"/>
        <w:right w:val="none" w:sz="0" w:space="0" w:color="auto"/>
      </w:divBdr>
      <w:divsChild>
        <w:div w:id="1210999261">
          <w:marLeft w:val="0"/>
          <w:marRight w:val="0"/>
          <w:marTop w:val="0"/>
          <w:marBottom w:val="100"/>
          <w:divBdr>
            <w:top w:val="none" w:sz="0" w:space="0" w:color="auto"/>
            <w:left w:val="none" w:sz="0" w:space="0" w:color="auto"/>
            <w:bottom w:val="none" w:sz="0" w:space="0" w:color="auto"/>
            <w:right w:val="none" w:sz="0" w:space="0" w:color="auto"/>
          </w:divBdr>
        </w:div>
      </w:divsChild>
    </w:div>
    <w:div w:id="139229450">
      <w:marLeft w:val="0"/>
      <w:marRight w:val="0"/>
      <w:marTop w:val="0"/>
      <w:marBottom w:val="0"/>
      <w:divBdr>
        <w:top w:val="none" w:sz="0" w:space="0" w:color="auto"/>
        <w:left w:val="none" w:sz="0" w:space="0" w:color="auto"/>
        <w:bottom w:val="none" w:sz="0" w:space="0" w:color="auto"/>
        <w:right w:val="none" w:sz="0" w:space="0" w:color="auto"/>
      </w:divBdr>
      <w:divsChild>
        <w:div w:id="1118916884">
          <w:marLeft w:val="0"/>
          <w:marRight w:val="0"/>
          <w:marTop w:val="0"/>
          <w:marBottom w:val="100"/>
          <w:divBdr>
            <w:top w:val="none" w:sz="0" w:space="0" w:color="auto"/>
            <w:left w:val="none" w:sz="0" w:space="0" w:color="auto"/>
            <w:bottom w:val="none" w:sz="0" w:space="0" w:color="auto"/>
            <w:right w:val="none" w:sz="0" w:space="0" w:color="auto"/>
          </w:divBdr>
        </w:div>
      </w:divsChild>
    </w:div>
    <w:div w:id="142165833">
      <w:marLeft w:val="0"/>
      <w:marRight w:val="0"/>
      <w:marTop w:val="0"/>
      <w:marBottom w:val="0"/>
      <w:divBdr>
        <w:top w:val="none" w:sz="0" w:space="0" w:color="auto"/>
        <w:left w:val="none" w:sz="0" w:space="0" w:color="auto"/>
        <w:bottom w:val="none" w:sz="0" w:space="0" w:color="auto"/>
        <w:right w:val="none" w:sz="0" w:space="0" w:color="auto"/>
      </w:divBdr>
      <w:divsChild>
        <w:div w:id="1797412206">
          <w:marLeft w:val="0"/>
          <w:marRight w:val="0"/>
          <w:marTop w:val="0"/>
          <w:marBottom w:val="100"/>
          <w:divBdr>
            <w:top w:val="none" w:sz="0" w:space="0" w:color="auto"/>
            <w:left w:val="none" w:sz="0" w:space="0" w:color="auto"/>
            <w:bottom w:val="none" w:sz="0" w:space="0" w:color="auto"/>
            <w:right w:val="none" w:sz="0" w:space="0" w:color="auto"/>
          </w:divBdr>
        </w:div>
      </w:divsChild>
    </w:div>
    <w:div w:id="143353331">
      <w:marLeft w:val="0"/>
      <w:marRight w:val="0"/>
      <w:marTop w:val="100"/>
      <w:marBottom w:val="0"/>
      <w:divBdr>
        <w:top w:val="none" w:sz="0" w:space="0" w:color="auto"/>
        <w:left w:val="none" w:sz="0" w:space="0" w:color="auto"/>
        <w:bottom w:val="none" w:sz="0" w:space="0" w:color="auto"/>
        <w:right w:val="none" w:sz="0" w:space="0" w:color="auto"/>
      </w:divBdr>
      <w:divsChild>
        <w:div w:id="1882744622">
          <w:marLeft w:val="0"/>
          <w:marRight w:val="0"/>
          <w:marTop w:val="0"/>
          <w:marBottom w:val="0"/>
          <w:divBdr>
            <w:top w:val="none" w:sz="0" w:space="0" w:color="auto"/>
            <w:left w:val="none" w:sz="0" w:space="0" w:color="auto"/>
            <w:bottom w:val="none" w:sz="0" w:space="0" w:color="auto"/>
            <w:right w:val="none" w:sz="0" w:space="0" w:color="auto"/>
          </w:divBdr>
        </w:div>
        <w:div w:id="2025471882">
          <w:marLeft w:val="0"/>
          <w:marRight w:val="0"/>
          <w:marTop w:val="0"/>
          <w:marBottom w:val="0"/>
          <w:divBdr>
            <w:top w:val="none" w:sz="0" w:space="0" w:color="auto"/>
            <w:left w:val="none" w:sz="0" w:space="0" w:color="auto"/>
            <w:bottom w:val="none" w:sz="0" w:space="0" w:color="auto"/>
            <w:right w:val="none" w:sz="0" w:space="0" w:color="auto"/>
          </w:divBdr>
        </w:div>
      </w:divsChild>
    </w:div>
    <w:div w:id="144663625">
      <w:marLeft w:val="0"/>
      <w:marRight w:val="0"/>
      <w:marTop w:val="100"/>
      <w:marBottom w:val="100"/>
      <w:divBdr>
        <w:top w:val="none" w:sz="0" w:space="0" w:color="auto"/>
        <w:left w:val="none" w:sz="0" w:space="0" w:color="auto"/>
        <w:bottom w:val="none" w:sz="0" w:space="0" w:color="auto"/>
        <w:right w:val="none" w:sz="0" w:space="0" w:color="auto"/>
      </w:divBdr>
    </w:div>
    <w:div w:id="145904604">
      <w:marLeft w:val="0"/>
      <w:marRight w:val="0"/>
      <w:marTop w:val="180"/>
      <w:marBottom w:val="0"/>
      <w:divBdr>
        <w:top w:val="none" w:sz="0" w:space="0" w:color="auto"/>
        <w:left w:val="none" w:sz="0" w:space="0" w:color="auto"/>
        <w:bottom w:val="none" w:sz="0" w:space="0" w:color="auto"/>
        <w:right w:val="none" w:sz="0" w:space="0" w:color="auto"/>
      </w:divBdr>
    </w:div>
    <w:div w:id="147136097">
      <w:marLeft w:val="0"/>
      <w:marRight w:val="0"/>
      <w:marTop w:val="100"/>
      <w:marBottom w:val="100"/>
      <w:divBdr>
        <w:top w:val="none" w:sz="0" w:space="0" w:color="auto"/>
        <w:left w:val="none" w:sz="0" w:space="0" w:color="auto"/>
        <w:bottom w:val="none" w:sz="0" w:space="0" w:color="auto"/>
        <w:right w:val="none" w:sz="0" w:space="0" w:color="auto"/>
      </w:divBdr>
    </w:div>
    <w:div w:id="148595252">
      <w:marLeft w:val="0"/>
      <w:marRight w:val="0"/>
      <w:marTop w:val="0"/>
      <w:marBottom w:val="0"/>
      <w:divBdr>
        <w:top w:val="none" w:sz="0" w:space="0" w:color="auto"/>
        <w:left w:val="none" w:sz="0" w:space="0" w:color="auto"/>
        <w:bottom w:val="none" w:sz="0" w:space="0" w:color="auto"/>
        <w:right w:val="none" w:sz="0" w:space="0" w:color="auto"/>
      </w:divBdr>
    </w:div>
    <w:div w:id="149101421">
      <w:marLeft w:val="0"/>
      <w:marRight w:val="0"/>
      <w:marTop w:val="0"/>
      <w:marBottom w:val="0"/>
      <w:divBdr>
        <w:top w:val="none" w:sz="0" w:space="0" w:color="auto"/>
        <w:left w:val="none" w:sz="0" w:space="0" w:color="auto"/>
        <w:bottom w:val="none" w:sz="0" w:space="0" w:color="auto"/>
        <w:right w:val="none" w:sz="0" w:space="0" w:color="auto"/>
      </w:divBdr>
    </w:div>
    <w:div w:id="149369548">
      <w:marLeft w:val="0"/>
      <w:marRight w:val="0"/>
      <w:marTop w:val="100"/>
      <w:marBottom w:val="100"/>
      <w:divBdr>
        <w:top w:val="none" w:sz="0" w:space="0" w:color="auto"/>
        <w:left w:val="none" w:sz="0" w:space="0" w:color="auto"/>
        <w:bottom w:val="none" w:sz="0" w:space="0" w:color="auto"/>
        <w:right w:val="none" w:sz="0" w:space="0" w:color="auto"/>
      </w:divBdr>
    </w:div>
    <w:div w:id="149907734">
      <w:marLeft w:val="0"/>
      <w:marRight w:val="0"/>
      <w:marTop w:val="0"/>
      <w:marBottom w:val="0"/>
      <w:divBdr>
        <w:top w:val="none" w:sz="0" w:space="0" w:color="auto"/>
        <w:left w:val="none" w:sz="0" w:space="0" w:color="auto"/>
        <w:bottom w:val="none" w:sz="0" w:space="0" w:color="auto"/>
        <w:right w:val="none" w:sz="0" w:space="0" w:color="auto"/>
      </w:divBdr>
      <w:divsChild>
        <w:div w:id="751975749">
          <w:marLeft w:val="0"/>
          <w:marRight w:val="0"/>
          <w:marTop w:val="0"/>
          <w:marBottom w:val="100"/>
          <w:divBdr>
            <w:top w:val="none" w:sz="0" w:space="0" w:color="auto"/>
            <w:left w:val="none" w:sz="0" w:space="0" w:color="auto"/>
            <w:bottom w:val="none" w:sz="0" w:space="0" w:color="auto"/>
            <w:right w:val="none" w:sz="0" w:space="0" w:color="auto"/>
          </w:divBdr>
        </w:div>
      </w:divsChild>
    </w:div>
    <w:div w:id="150175594">
      <w:marLeft w:val="0"/>
      <w:marRight w:val="0"/>
      <w:marTop w:val="0"/>
      <w:marBottom w:val="100"/>
      <w:divBdr>
        <w:top w:val="none" w:sz="0" w:space="0" w:color="auto"/>
        <w:left w:val="none" w:sz="0" w:space="0" w:color="auto"/>
        <w:bottom w:val="none" w:sz="0" w:space="0" w:color="auto"/>
        <w:right w:val="none" w:sz="0" w:space="0" w:color="auto"/>
      </w:divBdr>
    </w:div>
    <w:div w:id="150222244">
      <w:marLeft w:val="0"/>
      <w:marRight w:val="0"/>
      <w:marTop w:val="180"/>
      <w:marBottom w:val="0"/>
      <w:divBdr>
        <w:top w:val="none" w:sz="0" w:space="0" w:color="auto"/>
        <w:left w:val="none" w:sz="0" w:space="0" w:color="auto"/>
        <w:bottom w:val="none" w:sz="0" w:space="0" w:color="auto"/>
        <w:right w:val="none" w:sz="0" w:space="0" w:color="auto"/>
      </w:divBdr>
      <w:divsChild>
        <w:div w:id="2064862599">
          <w:marLeft w:val="0"/>
          <w:marRight w:val="0"/>
          <w:marTop w:val="0"/>
          <w:marBottom w:val="0"/>
          <w:divBdr>
            <w:top w:val="none" w:sz="0" w:space="0" w:color="auto"/>
            <w:left w:val="none" w:sz="0" w:space="0" w:color="auto"/>
            <w:bottom w:val="none" w:sz="0" w:space="0" w:color="auto"/>
            <w:right w:val="none" w:sz="0" w:space="0" w:color="auto"/>
          </w:divBdr>
        </w:div>
        <w:div w:id="1459449471">
          <w:marLeft w:val="0"/>
          <w:marRight w:val="0"/>
          <w:marTop w:val="0"/>
          <w:marBottom w:val="0"/>
          <w:divBdr>
            <w:top w:val="none" w:sz="0" w:space="0" w:color="auto"/>
            <w:left w:val="none" w:sz="0" w:space="0" w:color="auto"/>
            <w:bottom w:val="none" w:sz="0" w:space="0" w:color="auto"/>
            <w:right w:val="none" w:sz="0" w:space="0" w:color="auto"/>
          </w:divBdr>
        </w:div>
      </w:divsChild>
    </w:div>
    <w:div w:id="152992427">
      <w:marLeft w:val="0"/>
      <w:marRight w:val="0"/>
      <w:marTop w:val="180"/>
      <w:marBottom w:val="0"/>
      <w:divBdr>
        <w:top w:val="none" w:sz="0" w:space="0" w:color="auto"/>
        <w:left w:val="none" w:sz="0" w:space="0" w:color="auto"/>
        <w:bottom w:val="none" w:sz="0" w:space="0" w:color="auto"/>
        <w:right w:val="none" w:sz="0" w:space="0" w:color="auto"/>
      </w:divBdr>
    </w:div>
    <w:div w:id="154418649">
      <w:marLeft w:val="0"/>
      <w:marRight w:val="0"/>
      <w:marTop w:val="100"/>
      <w:marBottom w:val="100"/>
      <w:divBdr>
        <w:top w:val="none" w:sz="0" w:space="0" w:color="auto"/>
        <w:left w:val="none" w:sz="0" w:space="0" w:color="auto"/>
        <w:bottom w:val="none" w:sz="0" w:space="0" w:color="auto"/>
        <w:right w:val="none" w:sz="0" w:space="0" w:color="auto"/>
      </w:divBdr>
    </w:div>
    <w:div w:id="157623125">
      <w:marLeft w:val="0"/>
      <w:marRight w:val="0"/>
      <w:marTop w:val="0"/>
      <w:marBottom w:val="0"/>
      <w:divBdr>
        <w:top w:val="none" w:sz="0" w:space="0" w:color="auto"/>
        <w:left w:val="none" w:sz="0" w:space="0" w:color="auto"/>
        <w:bottom w:val="none" w:sz="0" w:space="0" w:color="auto"/>
        <w:right w:val="none" w:sz="0" w:space="0" w:color="auto"/>
      </w:divBdr>
      <w:divsChild>
        <w:div w:id="1469779782">
          <w:marLeft w:val="0"/>
          <w:marRight w:val="0"/>
          <w:marTop w:val="0"/>
          <w:marBottom w:val="100"/>
          <w:divBdr>
            <w:top w:val="none" w:sz="0" w:space="0" w:color="auto"/>
            <w:left w:val="none" w:sz="0" w:space="0" w:color="auto"/>
            <w:bottom w:val="none" w:sz="0" w:space="0" w:color="auto"/>
            <w:right w:val="none" w:sz="0" w:space="0" w:color="auto"/>
          </w:divBdr>
        </w:div>
      </w:divsChild>
    </w:div>
    <w:div w:id="159079531">
      <w:marLeft w:val="0"/>
      <w:marRight w:val="0"/>
      <w:marTop w:val="0"/>
      <w:marBottom w:val="0"/>
      <w:divBdr>
        <w:top w:val="none" w:sz="0" w:space="0" w:color="auto"/>
        <w:left w:val="none" w:sz="0" w:space="0" w:color="auto"/>
        <w:bottom w:val="none" w:sz="0" w:space="0" w:color="auto"/>
        <w:right w:val="none" w:sz="0" w:space="0" w:color="auto"/>
      </w:divBdr>
    </w:div>
    <w:div w:id="159086055">
      <w:marLeft w:val="0"/>
      <w:marRight w:val="0"/>
      <w:marTop w:val="0"/>
      <w:marBottom w:val="0"/>
      <w:divBdr>
        <w:top w:val="none" w:sz="0" w:space="0" w:color="auto"/>
        <w:left w:val="none" w:sz="0" w:space="0" w:color="auto"/>
        <w:bottom w:val="none" w:sz="0" w:space="0" w:color="auto"/>
        <w:right w:val="none" w:sz="0" w:space="0" w:color="auto"/>
      </w:divBdr>
      <w:divsChild>
        <w:div w:id="679745217">
          <w:marLeft w:val="0"/>
          <w:marRight w:val="0"/>
          <w:marTop w:val="0"/>
          <w:marBottom w:val="100"/>
          <w:divBdr>
            <w:top w:val="none" w:sz="0" w:space="0" w:color="auto"/>
            <w:left w:val="none" w:sz="0" w:space="0" w:color="auto"/>
            <w:bottom w:val="none" w:sz="0" w:space="0" w:color="auto"/>
            <w:right w:val="none" w:sz="0" w:space="0" w:color="auto"/>
          </w:divBdr>
        </w:div>
      </w:divsChild>
    </w:div>
    <w:div w:id="160463297">
      <w:marLeft w:val="0"/>
      <w:marRight w:val="0"/>
      <w:marTop w:val="100"/>
      <w:marBottom w:val="100"/>
      <w:divBdr>
        <w:top w:val="none" w:sz="0" w:space="0" w:color="auto"/>
        <w:left w:val="none" w:sz="0" w:space="0" w:color="auto"/>
        <w:bottom w:val="none" w:sz="0" w:space="0" w:color="auto"/>
        <w:right w:val="none" w:sz="0" w:space="0" w:color="auto"/>
      </w:divBdr>
    </w:div>
    <w:div w:id="160972631">
      <w:marLeft w:val="0"/>
      <w:marRight w:val="0"/>
      <w:marTop w:val="100"/>
      <w:marBottom w:val="0"/>
      <w:divBdr>
        <w:top w:val="none" w:sz="0" w:space="0" w:color="auto"/>
        <w:left w:val="none" w:sz="0" w:space="0" w:color="auto"/>
        <w:bottom w:val="none" w:sz="0" w:space="0" w:color="auto"/>
        <w:right w:val="none" w:sz="0" w:space="0" w:color="auto"/>
      </w:divBdr>
    </w:div>
    <w:div w:id="162360619">
      <w:marLeft w:val="0"/>
      <w:marRight w:val="0"/>
      <w:marTop w:val="180"/>
      <w:marBottom w:val="0"/>
      <w:divBdr>
        <w:top w:val="none" w:sz="0" w:space="0" w:color="auto"/>
        <w:left w:val="none" w:sz="0" w:space="0" w:color="auto"/>
        <w:bottom w:val="none" w:sz="0" w:space="0" w:color="auto"/>
        <w:right w:val="none" w:sz="0" w:space="0" w:color="auto"/>
      </w:divBdr>
    </w:div>
    <w:div w:id="163521920">
      <w:marLeft w:val="0"/>
      <w:marRight w:val="0"/>
      <w:marTop w:val="0"/>
      <w:marBottom w:val="0"/>
      <w:divBdr>
        <w:top w:val="none" w:sz="0" w:space="0" w:color="auto"/>
        <w:left w:val="none" w:sz="0" w:space="0" w:color="auto"/>
        <w:bottom w:val="none" w:sz="0" w:space="0" w:color="auto"/>
        <w:right w:val="none" w:sz="0" w:space="0" w:color="auto"/>
      </w:divBdr>
    </w:div>
    <w:div w:id="164633557">
      <w:marLeft w:val="0"/>
      <w:marRight w:val="0"/>
      <w:marTop w:val="0"/>
      <w:marBottom w:val="0"/>
      <w:divBdr>
        <w:top w:val="none" w:sz="0" w:space="0" w:color="auto"/>
        <w:left w:val="none" w:sz="0" w:space="0" w:color="auto"/>
        <w:bottom w:val="none" w:sz="0" w:space="0" w:color="auto"/>
        <w:right w:val="none" w:sz="0" w:space="0" w:color="auto"/>
      </w:divBdr>
      <w:divsChild>
        <w:div w:id="1242838023">
          <w:marLeft w:val="0"/>
          <w:marRight w:val="0"/>
          <w:marTop w:val="0"/>
          <w:marBottom w:val="100"/>
          <w:divBdr>
            <w:top w:val="none" w:sz="0" w:space="0" w:color="auto"/>
            <w:left w:val="none" w:sz="0" w:space="0" w:color="auto"/>
            <w:bottom w:val="none" w:sz="0" w:space="0" w:color="auto"/>
            <w:right w:val="none" w:sz="0" w:space="0" w:color="auto"/>
          </w:divBdr>
        </w:div>
      </w:divsChild>
    </w:div>
    <w:div w:id="165749927">
      <w:marLeft w:val="0"/>
      <w:marRight w:val="0"/>
      <w:marTop w:val="180"/>
      <w:marBottom w:val="0"/>
      <w:divBdr>
        <w:top w:val="none" w:sz="0" w:space="0" w:color="auto"/>
        <w:left w:val="none" w:sz="0" w:space="0" w:color="auto"/>
        <w:bottom w:val="none" w:sz="0" w:space="0" w:color="auto"/>
        <w:right w:val="none" w:sz="0" w:space="0" w:color="auto"/>
      </w:divBdr>
    </w:div>
    <w:div w:id="166605509">
      <w:marLeft w:val="0"/>
      <w:marRight w:val="0"/>
      <w:marTop w:val="100"/>
      <w:marBottom w:val="100"/>
      <w:divBdr>
        <w:top w:val="none" w:sz="0" w:space="0" w:color="auto"/>
        <w:left w:val="none" w:sz="0" w:space="0" w:color="auto"/>
        <w:bottom w:val="none" w:sz="0" w:space="0" w:color="auto"/>
        <w:right w:val="none" w:sz="0" w:space="0" w:color="auto"/>
      </w:divBdr>
    </w:div>
    <w:div w:id="167788698">
      <w:marLeft w:val="0"/>
      <w:marRight w:val="0"/>
      <w:marTop w:val="0"/>
      <w:marBottom w:val="0"/>
      <w:divBdr>
        <w:top w:val="none" w:sz="0" w:space="0" w:color="auto"/>
        <w:left w:val="none" w:sz="0" w:space="0" w:color="auto"/>
        <w:bottom w:val="none" w:sz="0" w:space="0" w:color="auto"/>
        <w:right w:val="none" w:sz="0" w:space="0" w:color="auto"/>
      </w:divBdr>
      <w:divsChild>
        <w:div w:id="1231698968">
          <w:marLeft w:val="0"/>
          <w:marRight w:val="0"/>
          <w:marTop w:val="0"/>
          <w:marBottom w:val="100"/>
          <w:divBdr>
            <w:top w:val="none" w:sz="0" w:space="0" w:color="auto"/>
            <w:left w:val="none" w:sz="0" w:space="0" w:color="auto"/>
            <w:bottom w:val="none" w:sz="0" w:space="0" w:color="auto"/>
            <w:right w:val="none" w:sz="0" w:space="0" w:color="auto"/>
          </w:divBdr>
        </w:div>
      </w:divsChild>
    </w:div>
    <w:div w:id="168058625">
      <w:marLeft w:val="0"/>
      <w:marRight w:val="0"/>
      <w:marTop w:val="0"/>
      <w:marBottom w:val="0"/>
      <w:divBdr>
        <w:top w:val="none" w:sz="0" w:space="0" w:color="auto"/>
        <w:left w:val="none" w:sz="0" w:space="0" w:color="auto"/>
        <w:bottom w:val="none" w:sz="0" w:space="0" w:color="auto"/>
        <w:right w:val="none" w:sz="0" w:space="0" w:color="auto"/>
      </w:divBdr>
    </w:div>
    <w:div w:id="172454284">
      <w:marLeft w:val="0"/>
      <w:marRight w:val="0"/>
      <w:marTop w:val="100"/>
      <w:marBottom w:val="100"/>
      <w:divBdr>
        <w:top w:val="none" w:sz="0" w:space="0" w:color="auto"/>
        <w:left w:val="none" w:sz="0" w:space="0" w:color="auto"/>
        <w:bottom w:val="none" w:sz="0" w:space="0" w:color="auto"/>
        <w:right w:val="none" w:sz="0" w:space="0" w:color="auto"/>
      </w:divBdr>
    </w:div>
    <w:div w:id="172771096">
      <w:marLeft w:val="0"/>
      <w:marRight w:val="0"/>
      <w:marTop w:val="60"/>
      <w:marBottom w:val="0"/>
      <w:divBdr>
        <w:top w:val="none" w:sz="0" w:space="0" w:color="auto"/>
        <w:left w:val="none" w:sz="0" w:space="0" w:color="auto"/>
        <w:bottom w:val="none" w:sz="0" w:space="0" w:color="auto"/>
        <w:right w:val="none" w:sz="0" w:space="0" w:color="auto"/>
      </w:divBdr>
    </w:div>
    <w:div w:id="175578736">
      <w:marLeft w:val="0"/>
      <w:marRight w:val="0"/>
      <w:marTop w:val="100"/>
      <w:marBottom w:val="100"/>
      <w:divBdr>
        <w:top w:val="none" w:sz="0" w:space="0" w:color="auto"/>
        <w:left w:val="none" w:sz="0" w:space="0" w:color="auto"/>
        <w:bottom w:val="none" w:sz="0" w:space="0" w:color="auto"/>
        <w:right w:val="none" w:sz="0" w:space="0" w:color="auto"/>
      </w:divBdr>
    </w:div>
    <w:div w:id="177695916">
      <w:marLeft w:val="0"/>
      <w:marRight w:val="0"/>
      <w:marTop w:val="180"/>
      <w:marBottom w:val="0"/>
      <w:divBdr>
        <w:top w:val="none" w:sz="0" w:space="0" w:color="auto"/>
        <w:left w:val="none" w:sz="0" w:space="0" w:color="auto"/>
        <w:bottom w:val="none" w:sz="0" w:space="0" w:color="auto"/>
        <w:right w:val="none" w:sz="0" w:space="0" w:color="auto"/>
      </w:divBdr>
    </w:div>
    <w:div w:id="177935982">
      <w:marLeft w:val="0"/>
      <w:marRight w:val="0"/>
      <w:marTop w:val="180"/>
      <w:marBottom w:val="0"/>
      <w:divBdr>
        <w:top w:val="none" w:sz="0" w:space="0" w:color="auto"/>
        <w:left w:val="none" w:sz="0" w:space="0" w:color="auto"/>
        <w:bottom w:val="none" w:sz="0" w:space="0" w:color="auto"/>
        <w:right w:val="none" w:sz="0" w:space="0" w:color="auto"/>
      </w:divBdr>
    </w:div>
    <w:div w:id="178547303">
      <w:marLeft w:val="0"/>
      <w:marRight w:val="0"/>
      <w:marTop w:val="0"/>
      <w:marBottom w:val="100"/>
      <w:divBdr>
        <w:top w:val="none" w:sz="0" w:space="0" w:color="auto"/>
        <w:left w:val="none" w:sz="0" w:space="0" w:color="auto"/>
        <w:bottom w:val="none" w:sz="0" w:space="0" w:color="auto"/>
        <w:right w:val="none" w:sz="0" w:space="0" w:color="auto"/>
      </w:divBdr>
    </w:div>
    <w:div w:id="179126518">
      <w:marLeft w:val="0"/>
      <w:marRight w:val="0"/>
      <w:marTop w:val="0"/>
      <w:marBottom w:val="0"/>
      <w:divBdr>
        <w:top w:val="none" w:sz="0" w:space="0" w:color="auto"/>
        <w:left w:val="none" w:sz="0" w:space="0" w:color="auto"/>
        <w:bottom w:val="none" w:sz="0" w:space="0" w:color="auto"/>
        <w:right w:val="none" w:sz="0" w:space="0" w:color="auto"/>
      </w:divBdr>
      <w:divsChild>
        <w:div w:id="1147089253">
          <w:marLeft w:val="0"/>
          <w:marRight w:val="0"/>
          <w:marTop w:val="0"/>
          <w:marBottom w:val="100"/>
          <w:divBdr>
            <w:top w:val="none" w:sz="0" w:space="0" w:color="auto"/>
            <w:left w:val="none" w:sz="0" w:space="0" w:color="auto"/>
            <w:bottom w:val="none" w:sz="0" w:space="0" w:color="auto"/>
            <w:right w:val="none" w:sz="0" w:space="0" w:color="auto"/>
          </w:divBdr>
        </w:div>
      </w:divsChild>
    </w:div>
    <w:div w:id="181288868">
      <w:marLeft w:val="0"/>
      <w:marRight w:val="0"/>
      <w:marTop w:val="100"/>
      <w:marBottom w:val="0"/>
      <w:divBdr>
        <w:top w:val="none" w:sz="0" w:space="0" w:color="auto"/>
        <w:left w:val="none" w:sz="0" w:space="0" w:color="auto"/>
        <w:bottom w:val="none" w:sz="0" w:space="0" w:color="auto"/>
        <w:right w:val="none" w:sz="0" w:space="0" w:color="auto"/>
      </w:divBdr>
    </w:div>
    <w:div w:id="182743045">
      <w:marLeft w:val="0"/>
      <w:marRight w:val="0"/>
      <w:marTop w:val="0"/>
      <w:marBottom w:val="0"/>
      <w:divBdr>
        <w:top w:val="none" w:sz="0" w:space="0" w:color="auto"/>
        <w:left w:val="none" w:sz="0" w:space="0" w:color="auto"/>
        <w:bottom w:val="none" w:sz="0" w:space="0" w:color="auto"/>
        <w:right w:val="none" w:sz="0" w:space="0" w:color="auto"/>
      </w:divBdr>
      <w:divsChild>
        <w:div w:id="616647015">
          <w:marLeft w:val="0"/>
          <w:marRight w:val="0"/>
          <w:marTop w:val="0"/>
          <w:marBottom w:val="0"/>
          <w:divBdr>
            <w:top w:val="none" w:sz="0" w:space="0" w:color="auto"/>
            <w:left w:val="none" w:sz="0" w:space="0" w:color="auto"/>
            <w:bottom w:val="none" w:sz="0" w:space="0" w:color="auto"/>
            <w:right w:val="none" w:sz="0" w:space="0" w:color="auto"/>
          </w:divBdr>
          <w:divsChild>
            <w:div w:id="94276503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3060963">
      <w:marLeft w:val="0"/>
      <w:marRight w:val="0"/>
      <w:marTop w:val="0"/>
      <w:marBottom w:val="0"/>
      <w:divBdr>
        <w:top w:val="none" w:sz="0" w:space="0" w:color="auto"/>
        <w:left w:val="none" w:sz="0" w:space="0" w:color="auto"/>
        <w:bottom w:val="none" w:sz="0" w:space="0" w:color="auto"/>
        <w:right w:val="none" w:sz="0" w:space="0" w:color="auto"/>
      </w:divBdr>
      <w:divsChild>
        <w:div w:id="780494565">
          <w:marLeft w:val="0"/>
          <w:marRight w:val="0"/>
          <w:marTop w:val="0"/>
          <w:marBottom w:val="100"/>
          <w:divBdr>
            <w:top w:val="none" w:sz="0" w:space="0" w:color="auto"/>
            <w:left w:val="none" w:sz="0" w:space="0" w:color="auto"/>
            <w:bottom w:val="none" w:sz="0" w:space="0" w:color="auto"/>
            <w:right w:val="none" w:sz="0" w:space="0" w:color="auto"/>
          </w:divBdr>
        </w:div>
      </w:divsChild>
    </w:div>
    <w:div w:id="185482457">
      <w:marLeft w:val="0"/>
      <w:marRight w:val="0"/>
      <w:marTop w:val="180"/>
      <w:marBottom w:val="0"/>
      <w:divBdr>
        <w:top w:val="none" w:sz="0" w:space="0" w:color="auto"/>
        <w:left w:val="none" w:sz="0" w:space="0" w:color="auto"/>
        <w:bottom w:val="none" w:sz="0" w:space="0" w:color="auto"/>
        <w:right w:val="none" w:sz="0" w:space="0" w:color="auto"/>
      </w:divBdr>
    </w:div>
    <w:div w:id="186021926">
      <w:marLeft w:val="0"/>
      <w:marRight w:val="0"/>
      <w:marTop w:val="0"/>
      <w:marBottom w:val="0"/>
      <w:divBdr>
        <w:top w:val="none" w:sz="0" w:space="0" w:color="auto"/>
        <w:left w:val="none" w:sz="0" w:space="0" w:color="auto"/>
        <w:bottom w:val="none" w:sz="0" w:space="0" w:color="auto"/>
        <w:right w:val="none" w:sz="0" w:space="0" w:color="auto"/>
      </w:divBdr>
    </w:div>
    <w:div w:id="189295736">
      <w:marLeft w:val="0"/>
      <w:marRight w:val="0"/>
      <w:marTop w:val="180"/>
      <w:marBottom w:val="0"/>
      <w:divBdr>
        <w:top w:val="none" w:sz="0" w:space="0" w:color="auto"/>
        <w:left w:val="none" w:sz="0" w:space="0" w:color="auto"/>
        <w:bottom w:val="none" w:sz="0" w:space="0" w:color="auto"/>
        <w:right w:val="none" w:sz="0" w:space="0" w:color="auto"/>
      </w:divBdr>
    </w:div>
    <w:div w:id="193202827">
      <w:marLeft w:val="0"/>
      <w:marRight w:val="0"/>
      <w:marTop w:val="100"/>
      <w:marBottom w:val="100"/>
      <w:divBdr>
        <w:top w:val="none" w:sz="0" w:space="0" w:color="auto"/>
        <w:left w:val="none" w:sz="0" w:space="0" w:color="auto"/>
        <w:bottom w:val="none" w:sz="0" w:space="0" w:color="auto"/>
        <w:right w:val="none" w:sz="0" w:space="0" w:color="auto"/>
      </w:divBdr>
    </w:div>
    <w:div w:id="194346414">
      <w:marLeft w:val="0"/>
      <w:marRight w:val="0"/>
      <w:marTop w:val="100"/>
      <w:marBottom w:val="0"/>
      <w:divBdr>
        <w:top w:val="none" w:sz="0" w:space="0" w:color="auto"/>
        <w:left w:val="none" w:sz="0" w:space="0" w:color="auto"/>
        <w:bottom w:val="none" w:sz="0" w:space="0" w:color="auto"/>
        <w:right w:val="none" w:sz="0" w:space="0" w:color="auto"/>
      </w:divBdr>
    </w:div>
    <w:div w:id="197398344">
      <w:marLeft w:val="0"/>
      <w:marRight w:val="0"/>
      <w:marTop w:val="0"/>
      <w:marBottom w:val="0"/>
      <w:divBdr>
        <w:top w:val="none" w:sz="0" w:space="0" w:color="auto"/>
        <w:left w:val="none" w:sz="0" w:space="0" w:color="auto"/>
        <w:bottom w:val="none" w:sz="0" w:space="0" w:color="auto"/>
        <w:right w:val="none" w:sz="0" w:space="0" w:color="auto"/>
      </w:divBdr>
      <w:divsChild>
        <w:div w:id="1876188821">
          <w:marLeft w:val="0"/>
          <w:marRight w:val="0"/>
          <w:marTop w:val="0"/>
          <w:marBottom w:val="100"/>
          <w:divBdr>
            <w:top w:val="none" w:sz="0" w:space="0" w:color="auto"/>
            <w:left w:val="none" w:sz="0" w:space="0" w:color="auto"/>
            <w:bottom w:val="none" w:sz="0" w:space="0" w:color="auto"/>
            <w:right w:val="none" w:sz="0" w:space="0" w:color="auto"/>
          </w:divBdr>
        </w:div>
      </w:divsChild>
    </w:div>
    <w:div w:id="198015947">
      <w:marLeft w:val="0"/>
      <w:marRight w:val="0"/>
      <w:marTop w:val="0"/>
      <w:marBottom w:val="100"/>
      <w:divBdr>
        <w:top w:val="none" w:sz="0" w:space="0" w:color="auto"/>
        <w:left w:val="none" w:sz="0" w:space="0" w:color="auto"/>
        <w:bottom w:val="none" w:sz="0" w:space="0" w:color="auto"/>
        <w:right w:val="none" w:sz="0" w:space="0" w:color="auto"/>
      </w:divBdr>
    </w:div>
    <w:div w:id="199560154">
      <w:marLeft w:val="0"/>
      <w:marRight w:val="0"/>
      <w:marTop w:val="0"/>
      <w:marBottom w:val="0"/>
      <w:divBdr>
        <w:top w:val="none" w:sz="0" w:space="0" w:color="auto"/>
        <w:left w:val="none" w:sz="0" w:space="0" w:color="auto"/>
        <w:bottom w:val="none" w:sz="0" w:space="0" w:color="auto"/>
        <w:right w:val="none" w:sz="0" w:space="0" w:color="auto"/>
      </w:divBdr>
    </w:div>
    <w:div w:id="199821999">
      <w:marLeft w:val="0"/>
      <w:marRight w:val="0"/>
      <w:marTop w:val="0"/>
      <w:marBottom w:val="0"/>
      <w:divBdr>
        <w:top w:val="none" w:sz="0" w:space="0" w:color="auto"/>
        <w:left w:val="none" w:sz="0" w:space="0" w:color="auto"/>
        <w:bottom w:val="none" w:sz="0" w:space="0" w:color="auto"/>
        <w:right w:val="none" w:sz="0" w:space="0" w:color="auto"/>
      </w:divBdr>
    </w:div>
    <w:div w:id="200948173">
      <w:marLeft w:val="0"/>
      <w:marRight w:val="0"/>
      <w:marTop w:val="180"/>
      <w:marBottom w:val="0"/>
      <w:divBdr>
        <w:top w:val="none" w:sz="0" w:space="0" w:color="auto"/>
        <w:left w:val="none" w:sz="0" w:space="0" w:color="auto"/>
        <w:bottom w:val="none" w:sz="0" w:space="0" w:color="auto"/>
        <w:right w:val="none" w:sz="0" w:space="0" w:color="auto"/>
      </w:divBdr>
      <w:divsChild>
        <w:div w:id="151142417">
          <w:marLeft w:val="0"/>
          <w:marRight w:val="0"/>
          <w:marTop w:val="180"/>
          <w:marBottom w:val="0"/>
          <w:divBdr>
            <w:top w:val="none" w:sz="0" w:space="0" w:color="auto"/>
            <w:left w:val="none" w:sz="0" w:space="0" w:color="auto"/>
            <w:bottom w:val="none" w:sz="0" w:space="0" w:color="auto"/>
            <w:right w:val="none" w:sz="0" w:space="0" w:color="auto"/>
          </w:divBdr>
        </w:div>
      </w:divsChild>
    </w:div>
    <w:div w:id="201064596">
      <w:marLeft w:val="0"/>
      <w:marRight w:val="0"/>
      <w:marTop w:val="0"/>
      <w:marBottom w:val="0"/>
      <w:divBdr>
        <w:top w:val="none" w:sz="0" w:space="0" w:color="auto"/>
        <w:left w:val="none" w:sz="0" w:space="0" w:color="auto"/>
        <w:bottom w:val="none" w:sz="0" w:space="0" w:color="auto"/>
        <w:right w:val="none" w:sz="0" w:space="0" w:color="auto"/>
      </w:divBdr>
      <w:divsChild>
        <w:div w:id="11108164">
          <w:marLeft w:val="0"/>
          <w:marRight w:val="0"/>
          <w:marTop w:val="0"/>
          <w:marBottom w:val="0"/>
          <w:divBdr>
            <w:top w:val="none" w:sz="0" w:space="0" w:color="auto"/>
            <w:left w:val="none" w:sz="0" w:space="0" w:color="auto"/>
            <w:bottom w:val="none" w:sz="0" w:space="0" w:color="auto"/>
            <w:right w:val="none" w:sz="0" w:space="0" w:color="auto"/>
          </w:divBdr>
          <w:divsChild>
            <w:div w:id="155395478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4874850">
      <w:marLeft w:val="0"/>
      <w:marRight w:val="0"/>
      <w:marTop w:val="0"/>
      <w:marBottom w:val="0"/>
      <w:divBdr>
        <w:top w:val="none" w:sz="0" w:space="0" w:color="auto"/>
        <w:left w:val="none" w:sz="0" w:space="0" w:color="auto"/>
        <w:bottom w:val="none" w:sz="0" w:space="0" w:color="auto"/>
        <w:right w:val="none" w:sz="0" w:space="0" w:color="auto"/>
      </w:divBdr>
    </w:div>
    <w:div w:id="205066512">
      <w:marLeft w:val="0"/>
      <w:marRight w:val="0"/>
      <w:marTop w:val="100"/>
      <w:marBottom w:val="0"/>
      <w:divBdr>
        <w:top w:val="none" w:sz="0" w:space="0" w:color="auto"/>
        <w:left w:val="none" w:sz="0" w:space="0" w:color="auto"/>
        <w:bottom w:val="none" w:sz="0" w:space="0" w:color="auto"/>
        <w:right w:val="none" w:sz="0" w:space="0" w:color="auto"/>
      </w:divBdr>
      <w:divsChild>
        <w:div w:id="1871262225">
          <w:marLeft w:val="0"/>
          <w:marRight w:val="0"/>
          <w:marTop w:val="0"/>
          <w:marBottom w:val="0"/>
          <w:divBdr>
            <w:top w:val="none" w:sz="0" w:space="0" w:color="auto"/>
            <w:left w:val="none" w:sz="0" w:space="0" w:color="auto"/>
            <w:bottom w:val="none" w:sz="0" w:space="0" w:color="auto"/>
            <w:right w:val="none" w:sz="0" w:space="0" w:color="auto"/>
          </w:divBdr>
        </w:div>
        <w:div w:id="1524660971">
          <w:marLeft w:val="0"/>
          <w:marRight w:val="0"/>
          <w:marTop w:val="0"/>
          <w:marBottom w:val="0"/>
          <w:divBdr>
            <w:top w:val="none" w:sz="0" w:space="0" w:color="auto"/>
            <w:left w:val="none" w:sz="0" w:space="0" w:color="auto"/>
            <w:bottom w:val="none" w:sz="0" w:space="0" w:color="auto"/>
            <w:right w:val="none" w:sz="0" w:space="0" w:color="auto"/>
          </w:divBdr>
        </w:div>
        <w:div w:id="1172527526">
          <w:marLeft w:val="0"/>
          <w:marRight w:val="0"/>
          <w:marTop w:val="0"/>
          <w:marBottom w:val="0"/>
          <w:divBdr>
            <w:top w:val="none" w:sz="0" w:space="0" w:color="auto"/>
            <w:left w:val="none" w:sz="0" w:space="0" w:color="auto"/>
            <w:bottom w:val="none" w:sz="0" w:space="0" w:color="auto"/>
            <w:right w:val="none" w:sz="0" w:space="0" w:color="auto"/>
          </w:divBdr>
        </w:div>
        <w:div w:id="1773209903">
          <w:marLeft w:val="0"/>
          <w:marRight w:val="0"/>
          <w:marTop w:val="0"/>
          <w:marBottom w:val="0"/>
          <w:divBdr>
            <w:top w:val="none" w:sz="0" w:space="0" w:color="auto"/>
            <w:left w:val="none" w:sz="0" w:space="0" w:color="auto"/>
            <w:bottom w:val="none" w:sz="0" w:space="0" w:color="auto"/>
            <w:right w:val="none" w:sz="0" w:space="0" w:color="auto"/>
          </w:divBdr>
        </w:div>
        <w:div w:id="1427461010">
          <w:marLeft w:val="0"/>
          <w:marRight w:val="0"/>
          <w:marTop w:val="0"/>
          <w:marBottom w:val="0"/>
          <w:divBdr>
            <w:top w:val="none" w:sz="0" w:space="0" w:color="auto"/>
            <w:left w:val="none" w:sz="0" w:space="0" w:color="auto"/>
            <w:bottom w:val="none" w:sz="0" w:space="0" w:color="auto"/>
            <w:right w:val="none" w:sz="0" w:space="0" w:color="auto"/>
          </w:divBdr>
        </w:div>
      </w:divsChild>
    </w:div>
    <w:div w:id="207038470">
      <w:marLeft w:val="0"/>
      <w:marRight w:val="0"/>
      <w:marTop w:val="100"/>
      <w:marBottom w:val="100"/>
      <w:divBdr>
        <w:top w:val="none" w:sz="0" w:space="0" w:color="auto"/>
        <w:left w:val="none" w:sz="0" w:space="0" w:color="auto"/>
        <w:bottom w:val="none" w:sz="0" w:space="0" w:color="auto"/>
        <w:right w:val="none" w:sz="0" w:space="0" w:color="auto"/>
      </w:divBdr>
    </w:div>
    <w:div w:id="207184913">
      <w:marLeft w:val="0"/>
      <w:marRight w:val="0"/>
      <w:marTop w:val="0"/>
      <w:marBottom w:val="100"/>
      <w:divBdr>
        <w:top w:val="none" w:sz="0" w:space="0" w:color="auto"/>
        <w:left w:val="none" w:sz="0" w:space="0" w:color="auto"/>
        <w:bottom w:val="none" w:sz="0" w:space="0" w:color="auto"/>
        <w:right w:val="none" w:sz="0" w:space="0" w:color="auto"/>
      </w:divBdr>
    </w:div>
    <w:div w:id="207686048">
      <w:marLeft w:val="0"/>
      <w:marRight w:val="0"/>
      <w:marTop w:val="0"/>
      <w:marBottom w:val="0"/>
      <w:divBdr>
        <w:top w:val="none" w:sz="0" w:space="0" w:color="auto"/>
        <w:left w:val="none" w:sz="0" w:space="0" w:color="auto"/>
        <w:bottom w:val="none" w:sz="0" w:space="0" w:color="auto"/>
        <w:right w:val="none" w:sz="0" w:space="0" w:color="auto"/>
      </w:divBdr>
    </w:div>
    <w:div w:id="208348042">
      <w:marLeft w:val="0"/>
      <w:marRight w:val="0"/>
      <w:marTop w:val="100"/>
      <w:marBottom w:val="100"/>
      <w:divBdr>
        <w:top w:val="none" w:sz="0" w:space="0" w:color="auto"/>
        <w:left w:val="none" w:sz="0" w:space="0" w:color="auto"/>
        <w:bottom w:val="none" w:sz="0" w:space="0" w:color="auto"/>
        <w:right w:val="none" w:sz="0" w:space="0" w:color="auto"/>
      </w:divBdr>
    </w:div>
    <w:div w:id="208348153">
      <w:marLeft w:val="0"/>
      <w:marRight w:val="0"/>
      <w:marTop w:val="0"/>
      <w:marBottom w:val="100"/>
      <w:divBdr>
        <w:top w:val="none" w:sz="0" w:space="0" w:color="auto"/>
        <w:left w:val="none" w:sz="0" w:space="0" w:color="auto"/>
        <w:bottom w:val="none" w:sz="0" w:space="0" w:color="auto"/>
        <w:right w:val="none" w:sz="0" w:space="0" w:color="auto"/>
      </w:divBdr>
    </w:div>
    <w:div w:id="208952653">
      <w:marLeft w:val="0"/>
      <w:marRight w:val="0"/>
      <w:marTop w:val="100"/>
      <w:marBottom w:val="0"/>
      <w:divBdr>
        <w:top w:val="none" w:sz="0" w:space="0" w:color="auto"/>
        <w:left w:val="none" w:sz="0" w:space="0" w:color="auto"/>
        <w:bottom w:val="none" w:sz="0" w:space="0" w:color="auto"/>
        <w:right w:val="none" w:sz="0" w:space="0" w:color="auto"/>
      </w:divBdr>
    </w:div>
    <w:div w:id="209343909">
      <w:marLeft w:val="0"/>
      <w:marRight w:val="0"/>
      <w:marTop w:val="100"/>
      <w:marBottom w:val="100"/>
      <w:divBdr>
        <w:top w:val="none" w:sz="0" w:space="0" w:color="auto"/>
        <w:left w:val="none" w:sz="0" w:space="0" w:color="auto"/>
        <w:bottom w:val="none" w:sz="0" w:space="0" w:color="auto"/>
        <w:right w:val="none" w:sz="0" w:space="0" w:color="auto"/>
      </w:divBdr>
    </w:div>
    <w:div w:id="211693140">
      <w:marLeft w:val="0"/>
      <w:marRight w:val="0"/>
      <w:marTop w:val="0"/>
      <w:marBottom w:val="0"/>
      <w:divBdr>
        <w:top w:val="none" w:sz="0" w:space="0" w:color="auto"/>
        <w:left w:val="none" w:sz="0" w:space="0" w:color="auto"/>
        <w:bottom w:val="none" w:sz="0" w:space="0" w:color="auto"/>
        <w:right w:val="none" w:sz="0" w:space="0" w:color="auto"/>
      </w:divBdr>
    </w:div>
    <w:div w:id="214122019">
      <w:marLeft w:val="0"/>
      <w:marRight w:val="0"/>
      <w:marTop w:val="0"/>
      <w:marBottom w:val="100"/>
      <w:divBdr>
        <w:top w:val="none" w:sz="0" w:space="0" w:color="auto"/>
        <w:left w:val="none" w:sz="0" w:space="0" w:color="auto"/>
        <w:bottom w:val="none" w:sz="0" w:space="0" w:color="auto"/>
        <w:right w:val="none" w:sz="0" w:space="0" w:color="auto"/>
      </w:divBdr>
    </w:div>
    <w:div w:id="214514369">
      <w:marLeft w:val="0"/>
      <w:marRight w:val="0"/>
      <w:marTop w:val="0"/>
      <w:marBottom w:val="0"/>
      <w:divBdr>
        <w:top w:val="none" w:sz="0" w:space="0" w:color="auto"/>
        <w:left w:val="none" w:sz="0" w:space="0" w:color="auto"/>
        <w:bottom w:val="none" w:sz="0" w:space="0" w:color="auto"/>
        <w:right w:val="none" w:sz="0" w:space="0" w:color="auto"/>
      </w:divBdr>
    </w:div>
    <w:div w:id="215046496">
      <w:marLeft w:val="0"/>
      <w:marRight w:val="0"/>
      <w:marTop w:val="0"/>
      <w:marBottom w:val="0"/>
      <w:divBdr>
        <w:top w:val="none" w:sz="0" w:space="0" w:color="auto"/>
        <w:left w:val="none" w:sz="0" w:space="0" w:color="auto"/>
        <w:bottom w:val="none" w:sz="0" w:space="0" w:color="auto"/>
        <w:right w:val="none" w:sz="0" w:space="0" w:color="auto"/>
      </w:divBdr>
    </w:div>
    <w:div w:id="216556516">
      <w:marLeft w:val="0"/>
      <w:marRight w:val="0"/>
      <w:marTop w:val="0"/>
      <w:marBottom w:val="0"/>
      <w:divBdr>
        <w:top w:val="none" w:sz="0" w:space="0" w:color="auto"/>
        <w:left w:val="none" w:sz="0" w:space="0" w:color="auto"/>
        <w:bottom w:val="none" w:sz="0" w:space="0" w:color="auto"/>
        <w:right w:val="none" w:sz="0" w:space="0" w:color="auto"/>
      </w:divBdr>
      <w:divsChild>
        <w:div w:id="594286751">
          <w:marLeft w:val="0"/>
          <w:marRight w:val="0"/>
          <w:marTop w:val="0"/>
          <w:marBottom w:val="0"/>
          <w:divBdr>
            <w:top w:val="none" w:sz="0" w:space="0" w:color="auto"/>
            <w:left w:val="none" w:sz="0" w:space="0" w:color="auto"/>
            <w:bottom w:val="none" w:sz="0" w:space="0" w:color="auto"/>
            <w:right w:val="none" w:sz="0" w:space="0" w:color="auto"/>
          </w:divBdr>
          <w:divsChild>
            <w:div w:id="213269787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6599171">
      <w:marLeft w:val="0"/>
      <w:marRight w:val="0"/>
      <w:marTop w:val="0"/>
      <w:marBottom w:val="100"/>
      <w:divBdr>
        <w:top w:val="none" w:sz="0" w:space="0" w:color="auto"/>
        <w:left w:val="none" w:sz="0" w:space="0" w:color="auto"/>
        <w:bottom w:val="none" w:sz="0" w:space="0" w:color="auto"/>
        <w:right w:val="none" w:sz="0" w:space="0" w:color="auto"/>
      </w:divBdr>
    </w:div>
    <w:div w:id="216861897">
      <w:marLeft w:val="0"/>
      <w:marRight w:val="0"/>
      <w:marTop w:val="0"/>
      <w:marBottom w:val="0"/>
      <w:divBdr>
        <w:top w:val="none" w:sz="0" w:space="0" w:color="auto"/>
        <w:left w:val="none" w:sz="0" w:space="0" w:color="auto"/>
        <w:bottom w:val="none" w:sz="0" w:space="0" w:color="auto"/>
        <w:right w:val="none" w:sz="0" w:space="0" w:color="auto"/>
      </w:divBdr>
    </w:div>
    <w:div w:id="217519099">
      <w:marLeft w:val="0"/>
      <w:marRight w:val="0"/>
      <w:marTop w:val="0"/>
      <w:marBottom w:val="100"/>
      <w:divBdr>
        <w:top w:val="none" w:sz="0" w:space="0" w:color="auto"/>
        <w:left w:val="none" w:sz="0" w:space="0" w:color="auto"/>
        <w:bottom w:val="none" w:sz="0" w:space="0" w:color="auto"/>
        <w:right w:val="none" w:sz="0" w:space="0" w:color="auto"/>
      </w:divBdr>
    </w:div>
    <w:div w:id="218171606">
      <w:marLeft w:val="0"/>
      <w:marRight w:val="0"/>
      <w:marTop w:val="100"/>
      <w:marBottom w:val="100"/>
      <w:divBdr>
        <w:top w:val="none" w:sz="0" w:space="0" w:color="auto"/>
        <w:left w:val="none" w:sz="0" w:space="0" w:color="auto"/>
        <w:bottom w:val="none" w:sz="0" w:space="0" w:color="auto"/>
        <w:right w:val="none" w:sz="0" w:space="0" w:color="auto"/>
      </w:divBdr>
    </w:div>
    <w:div w:id="219677986">
      <w:marLeft w:val="0"/>
      <w:marRight w:val="0"/>
      <w:marTop w:val="0"/>
      <w:marBottom w:val="100"/>
      <w:divBdr>
        <w:top w:val="none" w:sz="0" w:space="0" w:color="auto"/>
        <w:left w:val="none" w:sz="0" w:space="0" w:color="auto"/>
        <w:bottom w:val="none" w:sz="0" w:space="0" w:color="auto"/>
        <w:right w:val="none" w:sz="0" w:space="0" w:color="auto"/>
      </w:divBdr>
    </w:div>
    <w:div w:id="219875707">
      <w:marLeft w:val="0"/>
      <w:marRight w:val="0"/>
      <w:marTop w:val="0"/>
      <w:marBottom w:val="100"/>
      <w:divBdr>
        <w:top w:val="none" w:sz="0" w:space="0" w:color="auto"/>
        <w:left w:val="none" w:sz="0" w:space="0" w:color="auto"/>
        <w:bottom w:val="none" w:sz="0" w:space="0" w:color="auto"/>
        <w:right w:val="none" w:sz="0" w:space="0" w:color="auto"/>
      </w:divBdr>
    </w:div>
    <w:div w:id="221792144">
      <w:marLeft w:val="0"/>
      <w:marRight w:val="0"/>
      <w:marTop w:val="0"/>
      <w:marBottom w:val="0"/>
      <w:divBdr>
        <w:top w:val="none" w:sz="0" w:space="0" w:color="auto"/>
        <w:left w:val="none" w:sz="0" w:space="0" w:color="auto"/>
        <w:bottom w:val="none" w:sz="0" w:space="0" w:color="auto"/>
        <w:right w:val="none" w:sz="0" w:space="0" w:color="auto"/>
      </w:divBdr>
    </w:div>
    <w:div w:id="221989186">
      <w:marLeft w:val="0"/>
      <w:marRight w:val="0"/>
      <w:marTop w:val="180"/>
      <w:marBottom w:val="0"/>
      <w:divBdr>
        <w:top w:val="none" w:sz="0" w:space="0" w:color="auto"/>
        <w:left w:val="none" w:sz="0" w:space="0" w:color="auto"/>
        <w:bottom w:val="none" w:sz="0" w:space="0" w:color="auto"/>
        <w:right w:val="none" w:sz="0" w:space="0" w:color="auto"/>
      </w:divBdr>
    </w:div>
    <w:div w:id="224875820">
      <w:marLeft w:val="0"/>
      <w:marRight w:val="0"/>
      <w:marTop w:val="100"/>
      <w:marBottom w:val="100"/>
      <w:divBdr>
        <w:top w:val="none" w:sz="0" w:space="0" w:color="auto"/>
        <w:left w:val="none" w:sz="0" w:space="0" w:color="auto"/>
        <w:bottom w:val="none" w:sz="0" w:space="0" w:color="auto"/>
        <w:right w:val="none" w:sz="0" w:space="0" w:color="auto"/>
      </w:divBdr>
    </w:div>
    <w:div w:id="225843902">
      <w:marLeft w:val="0"/>
      <w:marRight w:val="0"/>
      <w:marTop w:val="0"/>
      <w:marBottom w:val="0"/>
      <w:divBdr>
        <w:top w:val="none" w:sz="0" w:space="0" w:color="auto"/>
        <w:left w:val="none" w:sz="0" w:space="0" w:color="auto"/>
        <w:bottom w:val="none" w:sz="0" w:space="0" w:color="auto"/>
        <w:right w:val="none" w:sz="0" w:space="0" w:color="auto"/>
      </w:divBdr>
    </w:div>
    <w:div w:id="226036340">
      <w:marLeft w:val="0"/>
      <w:marRight w:val="0"/>
      <w:marTop w:val="0"/>
      <w:marBottom w:val="100"/>
      <w:divBdr>
        <w:top w:val="none" w:sz="0" w:space="0" w:color="auto"/>
        <w:left w:val="none" w:sz="0" w:space="0" w:color="auto"/>
        <w:bottom w:val="none" w:sz="0" w:space="0" w:color="auto"/>
        <w:right w:val="none" w:sz="0" w:space="0" w:color="auto"/>
      </w:divBdr>
    </w:div>
    <w:div w:id="227159130">
      <w:marLeft w:val="0"/>
      <w:marRight w:val="0"/>
      <w:marTop w:val="0"/>
      <w:marBottom w:val="0"/>
      <w:divBdr>
        <w:top w:val="none" w:sz="0" w:space="0" w:color="auto"/>
        <w:left w:val="none" w:sz="0" w:space="0" w:color="auto"/>
        <w:bottom w:val="none" w:sz="0" w:space="0" w:color="auto"/>
        <w:right w:val="none" w:sz="0" w:space="0" w:color="auto"/>
      </w:divBdr>
      <w:divsChild>
        <w:div w:id="1104573292">
          <w:marLeft w:val="0"/>
          <w:marRight w:val="0"/>
          <w:marTop w:val="0"/>
          <w:marBottom w:val="0"/>
          <w:divBdr>
            <w:top w:val="none" w:sz="0" w:space="0" w:color="auto"/>
            <w:left w:val="none" w:sz="0" w:space="0" w:color="auto"/>
            <w:bottom w:val="none" w:sz="0" w:space="0" w:color="auto"/>
            <w:right w:val="none" w:sz="0" w:space="0" w:color="auto"/>
          </w:divBdr>
          <w:divsChild>
            <w:div w:id="132358517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29077708">
      <w:marLeft w:val="0"/>
      <w:marRight w:val="0"/>
      <w:marTop w:val="0"/>
      <w:marBottom w:val="0"/>
      <w:divBdr>
        <w:top w:val="none" w:sz="0" w:space="0" w:color="auto"/>
        <w:left w:val="none" w:sz="0" w:space="0" w:color="auto"/>
        <w:bottom w:val="none" w:sz="0" w:space="0" w:color="auto"/>
        <w:right w:val="none" w:sz="0" w:space="0" w:color="auto"/>
      </w:divBdr>
      <w:divsChild>
        <w:div w:id="681053799">
          <w:marLeft w:val="0"/>
          <w:marRight w:val="0"/>
          <w:marTop w:val="0"/>
          <w:marBottom w:val="0"/>
          <w:divBdr>
            <w:top w:val="none" w:sz="0" w:space="0" w:color="auto"/>
            <w:left w:val="none" w:sz="0" w:space="0" w:color="auto"/>
            <w:bottom w:val="none" w:sz="0" w:space="0" w:color="auto"/>
            <w:right w:val="none" w:sz="0" w:space="0" w:color="auto"/>
          </w:divBdr>
          <w:divsChild>
            <w:div w:id="190220552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29079248">
      <w:marLeft w:val="0"/>
      <w:marRight w:val="0"/>
      <w:marTop w:val="100"/>
      <w:marBottom w:val="0"/>
      <w:divBdr>
        <w:top w:val="none" w:sz="0" w:space="0" w:color="auto"/>
        <w:left w:val="none" w:sz="0" w:space="0" w:color="auto"/>
        <w:bottom w:val="none" w:sz="0" w:space="0" w:color="auto"/>
        <w:right w:val="none" w:sz="0" w:space="0" w:color="auto"/>
      </w:divBdr>
    </w:div>
    <w:div w:id="232203546">
      <w:marLeft w:val="0"/>
      <w:marRight w:val="0"/>
      <w:marTop w:val="0"/>
      <w:marBottom w:val="100"/>
      <w:divBdr>
        <w:top w:val="none" w:sz="0" w:space="0" w:color="auto"/>
        <w:left w:val="none" w:sz="0" w:space="0" w:color="auto"/>
        <w:bottom w:val="none" w:sz="0" w:space="0" w:color="auto"/>
        <w:right w:val="none" w:sz="0" w:space="0" w:color="auto"/>
      </w:divBdr>
    </w:div>
    <w:div w:id="232467918">
      <w:marLeft w:val="0"/>
      <w:marRight w:val="0"/>
      <w:marTop w:val="0"/>
      <w:marBottom w:val="0"/>
      <w:divBdr>
        <w:top w:val="none" w:sz="0" w:space="0" w:color="auto"/>
        <w:left w:val="none" w:sz="0" w:space="0" w:color="auto"/>
        <w:bottom w:val="none" w:sz="0" w:space="0" w:color="auto"/>
        <w:right w:val="none" w:sz="0" w:space="0" w:color="auto"/>
      </w:divBdr>
    </w:div>
    <w:div w:id="233007270">
      <w:marLeft w:val="0"/>
      <w:marRight w:val="0"/>
      <w:marTop w:val="180"/>
      <w:marBottom w:val="0"/>
      <w:divBdr>
        <w:top w:val="none" w:sz="0" w:space="0" w:color="auto"/>
        <w:left w:val="none" w:sz="0" w:space="0" w:color="auto"/>
        <w:bottom w:val="none" w:sz="0" w:space="0" w:color="auto"/>
        <w:right w:val="none" w:sz="0" w:space="0" w:color="auto"/>
      </w:divBdr>
    </w:div>
    <w:div w:id="234315105">
      <w:marLeft w:val="0"/>
      <w:marRight w:val="0"/>
      <w:marTop w:val="0"/>
      <w:marBottom w:val="100"/>
      <w:divBdr>
        <w:top w:val="none" w:sz="0" w:space="0" w:color="auto"/>
        <w:left w:val="none" w:sz="0" w:space="0" w:color="auto"/>
        <w:bottom w:val="none" w:sz="0" w:space="0" w:color="auto"/>
        <w:right w:val="none" w:sz="0" w:space="0" w:color="auto"/>
      </w:divBdr>
    </w:div>
    <w:div w:id="234510054">
      <w:marLeft w:val="0"/>
      <w:marRight w:val="0"/>
      <w:marTop w:val="80"/>
      <w:marBottom w:val="0"/>
      <w:divBdr>
        <w:top w:val="none" w:sz="0" w:space="0" w:color="auto"/>
        <w:left w:val="none" w:sz="0" w:space="0" w:color="auto"/>
        <w:bottom w:val="none" w:sz="0" w:space="0" w:color="auto"/>
        <w:right w:val="none" w:sz="0" w:space="0" w:color="auto"/>
      </w:divBdr>
    </w:div>
    <w:div w:id="236524397">
      <w:marLeft w:val="0"/>
      <w:marRight w:val="0"/>
      <w:marTop w:val="180"/>
      <w:marBottom w:val="0"/>
      <w:divBdr>
        <w:top w:val="none" w:sz="0" w:space="0" w:color="auto"/>
        <w:left w:val="none" w:sz="0" w:space="0" w:color="auto"/>
        <w:bottom w:val="none" w:sz="0" w:space="0" w:color="auto"/>
        <w:right w:val="none" w:sz="0" w:space="0" w:color="auto"/>
      </w:divBdr>
    </w:div>
    <w:div w:id="237133318">
      <w:marLeft w:val="0"/>
      <w:marRight w:val="0"/>
      <w:marTop w:val="180"/>
      <w:marBottom w:val="0"/>
      <w:divBdr>
        <w:top w:val="none" w:sz="0" w:space="0" w:color="auto"/>
        <w:left w:val="none" w:sz="0" w:space="0" w:color="auto"/>
        <w:bottom w:val="none" w:sz="0" w:space="0" w:color="auto"/>
        <w:right w:val="none" w:sz="0" w:space="0" w:color="auto"/>
      </w:divBdr>
    </w:div>
    <w:div w:id="239295616">
      <w:marLeft w:val="0"/>
      <w:marRight w:val="0"/>
      <w:marTop w:val="0"/>
      <w:marBottom w:val="0"/>
      <w:divBdr>
        <w:top w:val="none" w:sz="0" w:space="0" w:color="auto"/>
        <w:left w:val="none" w:sz="0" w:space="0" w:color="auto"/>
        <w:bottom w:val="none" w:sz="0" w:space="0" w:color="auto"/>
        <w:right w:val="none" w:sz="0" w:space="0" w:color="auto"/>
      </w:divBdr>
    </w:div>
    <w:div w:id="239490068">
      <w:marLeft w:val="0"/>
      <w:marRight w:val="0"/>
      <w:marTop w:val="60"/>
      <w:marBottom w:val="100"/>
      <w:divBdr>
        <w:top w:val="none" w:sz="0" w:space="0" w:color="auto"/>
        <w:left w:val="none" w:sz="0" w:space="0" w:color="auto"/>
        <w:bottom w:val="none" w:sz="0" w:space="0" w:color="auto"/>
        <w:right w:val="none" w:sz="0" w:space="0" w:color="auto"/>
      </w:divBdr>
    </w:div>
    <w:div w:id="240526961">
      <w:marLeft w:val="0"/>
      <w:marRight w:val="0"/>
      <w:marTop w:val="100"/>
      <w:marBottom w:val="100"/>
      <w:divBdr>
        <w:top w:val="none" w:sz="0" w:space="0" w:color="auto"/>
        <w:left w:val="none" w:sz="0" w:space="0" w:color="auto"/>
        <w:bottom w:val="none" w:sz="0" w:space="0" w:color="auto"/>
        <w:right w:val="none" w:sz="0" w:space="0" w:color="auto"/>
      </w:divBdr>
    </w:div>
    <w:div w:id="244848600">
      <w:marLeft w:val="0"/>
      <w:marRight w:val="0"/>
      <w:marTop w:val="180"/>
      <w:marBottom w:val="0"/>
      <w:divBdr>
        <w:top w:val="none" w:sz="0" w:space="0" w:color="auto"/>
        <w:left w:val="none" w:sz="0" w:space="0" w:color="auto"/>
        <w:bottom w:val="none" w:sz="0" w:space="0" w:color="auto"/>
        <w:right w:val="none" w:sz="0" w:space="0" w:color="auto"/>
      </w:divBdr>
    </w:div>
    <w:div w:id="247664568">
      <w:marLeft w:val="0"/>
      <w:marRight w:val="0"/>
      <w:marTop w:val="100"/>
      <w:marBottom w:val="100"/>
      <w:divBdr>
        <w:top w:val="none" w:sz="0" w:space="0" w:color="auto"/>
        <w:left w:val="none" w:sz="0" w:space="0" w:color="auto"/>
        <w:bottom w:val="none" w:sz="0" w:space="0" w:color="auto"/>
        <w:right w:val="none" w:sz="0" w:space="0" w:color="auto"/>
      </w:divBdr>
    </w:div>
    <w:div w:id="250166887">
      <w:marLeft w:val="0"/>
      <w:marRight w:val="0"/>
      <w:marTop w:val="100"/>
      <w:marBottom w:val="100"/>
      <w:divBdr>
        <w:top w:val="none" w:sz="0" w:space="0" w:color="auto"/>
        <w:left w:val="none" w:sz="0" w:space="0" w:color="auto"/>
        <w:bottom w:val="none" w:sz="0" w:space="0" w:color="auto"/>
        <w:right w:val="none" w:sz="0" w:space="0" w:color="auto"/>
      </w:divBdr>
    </w:div>
    <w:div w:id="250622297">
      <w:marLeft w:val="0"/>
      <w:marRight w:val="0"/>
      <w:marTop w:val="100"/>
      <w:marBottom w:val="100"/>
      <w:divBdr>
        <w:top w:val="none" w:sz="0" w:space="0" w:color="auto"/>
        <w:left w:val="none" w:sz="0" w:space="0" w:color="auto"/>
        <w:bottom w:val="none" w:sz="0" w:space="0" w:color="auto"/>
        <w:right w:val="none" w:sz="0" w:space="0" w:color="auto"/>
      </w:divBdr>
    </w:div>
    <w:div w:id="251203482">
      <w:marLeft w:val="0"/>
      <w:marRight w:val="0"/>
      <w:marTop w:val="0"/>
      <w:marBottom w:val="100"/>
      <w:divBdr>
        <w:top w:val="none" w:sz="0" w:space="0" w:color="auto"/>
        <w:left w:val="none" w:sz="0" w:space="0" w:color="auto"/>
        <w:bottom w:val="none" w:sz="0" w:space="0" w:color="auto"/>
        <w:right w:val="none" w:sz="0" w:space="0" w:color="auto"/>
      </w:divBdr>
    </w:div>
    <w:div w:id="254361351">
      <w:marLeft w:val="0"/>
      <w:marRight w:val="0"/>
      <w:marTop w:val="100"/>
      <w:marBottom w:val="100"/>
      <w:divBdr>
        <w:top w:val="none" w:sz="0" w:space="0" w:color="auto"/>
        <w:left w:val="none" w:sz="0" w:space="0" w:color="auto"/>
        <w:bottom w:val="none" w:sz="0" w:space="0" w:color="auto"/>
        <w:right w:val="none" w:sz="0" w:space="0" w:color="auto"/>
      </w:divBdr>
    </w:div>
    <w:div w:id="255867168">
      <w:marLeft w:val="0"/>
      <w:marRight w:val="0"/>
      <w:marTop w:val="100"/>
      <w:marBottom w:val="100"/>
      <w:divBdr>
        <w:top w:val="none" w:sz="0" w:space="0" w:color="auto"/>
        <w:left w:val="none" w:sz="0" w:space="0" w:color="auto"/>
        <w:bottom w:val="none" w:sz="0" w:space="0" w:color="auto"/>
        <w:right w:val="none" w:sz="0" w:space="0" w:color="auto"/>
      </w:divBdr>
    </w:div>
    <w:div w:id="256793566">
      <w:marLeft w:val="0"/>
      <w:marRight w:val="0"/>
      <w:marTop w:val="100"/>
      <w:marBottom w:val="0"/>
      <w:divBdr>
        <w:top w:val="none" w:sz="0" w:space="0" w:color="auto"/>
        <w:left w:val="none" w:sz="0" w:space="0" w:color="auto"/>
        <w:bottom w:val="none" w:sz="0" w:space="0" w:color="auto"/>
        <w:right w:val="none" w:sz="0" w:space="0" w:color="auto"/>
      </w:divBdr>
      <w:divsChild>
        <w:div w:id="1107196451">
          <w:marLeft w:val="0"/>
          <w:marRight w:val="0"/>
          <w:marTop w:val="0"/>
          <w:marBottom w:val="0"/>
          <w:divBdr>
            <w:top w:val="none" w:sz="0" w:space="0" w:color="auto"/>
            <w:left w:val="none" w:sz="0" w:space="0" w:color="auto"/>
            <w:bottom w:val="none" w:sz="0" w:space="0" w:color="auto"/>
            <w:right w:val="none" w:sz="0" w:space="0" w:color="auto"/>
          </w:divBdr>
        </w:div>
        <w:div w:id="1326860861">
          <w:marLeft w:val="0"/>
          <w:marRight w:val="0"/>
          <w:marTop w:val="0"/>
          <w:marBottom w:val="0"/>
          <w:divBdr>
            <w:top w:val="none" w:sz="0" w:space="0" w:color="auto"/>
            <w:left w:val="none" w:sz="0" w:space="0" w:color="auto"/>
            <w:bottom w:val="none" w:sz="0" w:space="0" w:color="auto"/>
            <w:right w:val="none" w:sz="0" w:space="0" w:color="auto"/>
          </w:divBdr>
        </w:div>
        <w:div w:id="714963832">
          <w:marLeft w:val="0"/>
          <w:marRight w:val="0"/>
          <w:marTop w:val="0"/>
          <w:marBottom w:val="0"/>
          <w:divBdr>
            <w:top w:val="none" w:sz="0" w:space="0" w:color="auto"/>
            <w:left w:val="none" w:sz="0" w:space="0" w:color="auto"/>
            <w:bottom w:val="none" w:sz="0" w:space="0" w:color="auto"/>
            <w:right w:val="none" w:sz="0" w:space="0" w:color="auto"/>
          </w:divBdr>
        </w:div>
        <w:div w:id="1467702877">
          <w:marLeft w:val="0"/>
          <w:marRight w:val="0"/>
          <w:marTop w:val="0"/>
          <w:marBottom w:val="0"/>
          <w:divBdr>
            <w:top w:val="none" w:sz="0" w:space="0" w:color="auto"/>
            <w:left w:val="none" w:sz="0" w:space="0" w:color="auto"/>
            <w:bottom w:val="none" w:sz="0" w:space="0" w:color="auto"/>
            <w:right w:val="none" w:sz="0" w:space="0" w:color="auto"/>
          </w:divBdr>
        </w:div>
      </w:divsChild>
    </w:div>
    <w:div w:id="256837888">
      <w:marLeft w:val="0"/>
      <w:marRight w:val="0"/>
      <w:marTop w:val="0"/>
      <w:marBottom w:val="0"/>
      <w:divBdr>
        <w:top w:val="none" w:sz="0" w:space="0" w:color="auto"/>
        <w:left w:val="none" w:sz="0" w:space="0" w:color="auto"/>
        <w:bottom w:val="none" w:sz="0" w:space="0" w:color="auto"/>
        <w:right w:val="none" w:sz="0" w:space="0" w:color="auto"/>
      </w:divBdr>
      <w:divsChild>
        <w:div w:id="775684190">
          <w:marLeft w:val="0"/>
          <w:marRight w:val="0"/>
          <w:marTop w:val="0"/>
          <w:marBottom w:val="0"/>
          <w:divBdr>
            <w:top w:val="none" w:sz="0" w:space="0" w:color="auto"/>
            <w:left w:val="none" w:sz="0" w:space="0" w:color="auto"/>
            <w:bottom w:val="none" w:sz="0" w:space="0" w:color="auto"/>
            <w:right w:val="none" w:sz="0" w:space="0" w:color="auto"/>
          </w:divBdr>
          <w:divsChild>
            <w:div w:id="12145813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57372594">
      <w:marLeft w:val="0"/>
      <w:marRight w:val="0"/>
      <w:marTop w:val="180"/>
      <w:marBottom w:val="100"/>
      <w:divBdr>
        <w:top w:val="none" w:sz="0" w:space="0" w:color="auto"/>
        <w:left w:val="none" w:sz="0" w:space="0" w:color="auto"/>
        <w:bottom w:val="none" w:sz="0" w:space="0" w:color="auto"/>
        <w:right w:val="none" w:sz="0" w:space="0" w:color="auto"/>
      </w:divBdr>
    </w:div>
    <w:div w:id="257761132">
      <w:marLeft w:val="0"/>
      <w:marRight w:val="0"/>
      <w:marTop w:val="100"/>
      <w:marBottom w:val="100"/>
      <w:divBdr>
        <w:top w:val="none" w:sz="0" w:space="0" w:color="auto"/>
        <w:left w:val="none" w:sz="0" w:space="0" w:color="auto"/>
        <w:bottom w:val="none" w:sz="0" w:space="0" w:color="auto"/>
        <w:right w:val="none" w:sz="0" w:space="0" w:color="auto"/>
      </w:divBdr>
    </w:div>
    <w:div w:id="258636118">
      <w:marLeft w:val="0"/>
      <w:marRight w:val="0"/>
      <w:marTop w:val="0"/>
      <w:marBottom w:val="100"/>
      <w:divBdr>
        <w:top w:val="none" w:sz="0" w:space="0" w:color="auto"/>
        <w:left w:val="none" w:sz="0" w:space="0" w:color="auto"/>
        <w:bottom w:val="none" w:sz="0" w:space="0" w:color="auto"/>
        <w:right w:val="none" w:sz="0" w:space="0" w:color="auto"/>
      </w:divBdr>
    </w:div>
    <w:div w:id="264270035">
      <w:marLeft w:val="0"/>
      <w:marRight w:val="0"/>
      <w:marTop w:val="0"/>
      <w:marBottom w:val="0"/>
      <w:divBdr>
        <w:top w:val="none" w:sz="0" w:space="0" w:color="auto"/>
        <w:left w:val="none" w:sz="0" w:space="0" w:color="auto"/>
        <w:bottom w:val="none" w:sz="0" w:space="0" w:color="auto"/>
        <w:right w:val="none" w:sz="0" w:space="0" w:color="auto"/>
      </w:divBdr>
      <w:divsChild>
        <w:div w:id="1723359913">
          <w:marLeft w:val="0"/>
          <w:marRight w:val="0"/>
          <w:marTop w:val="0"/>
          <w:marBottom w:val="0"/>
          <w:divBdr>
            <w:top w:val="none" w:sz="0" w:space="0" w:color="auto"/>
            <w:left w:val="none" w:sz="0" w:space="0" w:color="auto"/>
            <w:bottom w:val="none" w:sz="0" w:space="0" w:color="auto"/>
            <w:right w:val="none" w:sz="0" w:space="0" w:color="auto"/>
          </w:divBdr>
          <w:divsChild>
            <w:div w:id="27741925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67082736">
      <w:marLeft w:val="0"/>
      <w:marRight w:val="0"/>
      <w:marTop w:val="0"/>
      <w:marBottom w:val="100"/>
      <w:divBdr>
        <w:top w:val="none" w:sz="0" w:space="0" w:color="auto"/>
        <w:left w:val="none" w:sz="0" w:space="0" w:color="auto"/>
        <w:bottom w:val="none" w:sz="0" w:space="0" w:color="auto"/>
        <w:right w:val="none" w:sz="0" w:space="0" w:color="auto"/>
      </w:divBdr>
    </w:div>
    <w:div w:id="267929088">
      <w:marLeft w:val="0"/>
      <w:marRight w:val="0"/>
      <w:marTop w:val="0"/>
      <w:marBottom w:val="100"/>
      <w:divBdr>
        <w:top w:val="none" w:sz="0" w:space="0" w:color="auto"/>
        <w:left w:val="none" w:sz="0" w:space="0" w:color="auto"/>
        <w:bottom w:val="none" w:sz="0" w:space="0" w:color="auto"/>
        <w:right w:val="none" w:sz="0" w:space="0" w:color="auto"/>
      </w:divBdr>
    </w:div>
    <w:div w:id="268438902">
      <w:marLeft w:val="0"/>
      <w:marRight w:val="0"/>
      <w:marTop w:val="100"/>
      <w:marBottom w:val="0"/>
      <w:divBdr>
        <w:top w:val="none" w:sz="0" w:space="0" w:color="auto"/>
        <w:left w:val="none" w:sz="0" w:space="0" w:color="auto"/>
        <w:bottom w:val="none" w:sz="0" w:space="0" w:color="auto"/>
        <w:right w:val="none" w:sz="0" w:space="0" w:color="auto"/>
      </w:divBdr>
    </w:div>
    <w:div w:id="271935485">
      <w:marLeft w:val="0"/>
      <w:marRight w:val="0"/>
      <w:marTop w:val="180"/>
      <w:marBottom w:val="0"/>
      <w:divBdr>
        <w:top w:val="none" w:sz="0" w:space="0" w:color="auto"/>
        <w:left w:val="none" w:sz="0" w:space="0" w:color="auto"/>
        <w:bottom w:val="none" w:sz="0" w:space="0" w:color="auto"/>
        <w:right w:val="none" w:sz="0" w:space="0" w:color="auto"/>
      </w:divBdr>
    </w:div>
    <w:div w:id="272329131">
      <w:marLeft w:val="0"/>
      <w:marRight w:val="0"/>
      <w:marTop w:val="0"/>
      <w:marBottom w:val="100"/>
      <w:divBdr>
        <w:top w:val="none" w:sz="0" w:space="0" w:color="auto"/>
        <w:left w:val="none" w:sz="0" w:space="0" w:color="auto"/>
        <w:bottom w:val="none" w:sz="0" w:space="0" w:color="auto"/>
        <w:right w:val="none" w:sz="0" w:space="0" w:color="auto"/>
      </w:divBdr>
    </w:div>
    <w:div w:id="273169861">
      <w:marLeft w:val="0"/>
      <w:marRight w:val="0"/>
      <w:marTop w:val="0"/>
      <w:marBottom w:val="100"/>
      <w:divBdr>
        <w:top w:val="none" w:sz="0" w:space="0" w:color="auto"/>
        <w:left w:val="none" w:sz="0" w:space="0" w:color="auto"/>
        <w:bottom w:val="none" w:sz="0" w:space="0" w:color="auto"/>
        <w:right w:val="none" w:sz="0" w:space="0" w:color="auto"/>
      </w:divBdr>
    </w:div>
    <w:div w:id="273175218">
      <w:marLeft w:val="0"/>
      <w:marRight w:val="0"/>
      <w:marTop w:val="100"/>
      <w:marBottom w:val="100"/>
      <w:divBdr>
        <w:top w:val="none" w:sz="0" w:space="0" w:color="auto"/>
        <w:left w:val="none" w:sz="0" w:space="0" w:color="auto"/>
        <w:bottom w:val="none" w:sz="0" w:space="0" w:color="auto"/>
        <w:right w:val="none" w:sz="0" w:space="0" w:color="auto"/>
      </w:divBdr>
    </w:div>
    <w:div w:id="275335393">
      <w:marLeft w:val="0"/>
      <w:marRight w:val="0"/>
      <w:marTop w:val="0"/>
      <w:marBottom w:val="100"/>
      <w:divBdr>
        <w:top w:val="none" w:sz="0" w:space="0" w:color="auto"/>
        <w:left w:val="none" w:sz="0" w:space="0" w:color="auto"/>
        <w:bottom w:val="none" w:sz="0" w:space="0" w:color="auto"/>
        <w:right w:val="none" w:sz="0" w:space="0" w:color="auto"/>
      </w:divBdr>
    </w:div>
    <w:div w:id="275449291">
      <w:marLeft w:val="0"/>
      <w:marRight w:val="0"/>
      <w:marTop w:val="0"/>
      <w:marBottom w:val="100"/>
      <w:divBdr>
        <w:top w:val="none" w:sz="0" w:space="0" w:color="auto"/>
        <w:left w:val="none" w:sz="0" w:space="0" w:color="auto"/>
        <w:bottom w:val="none" w:sz="0" w:space="0" w:color="auto"/>
        <w:right w:val="none" w:sz="0" w:space="0" w:color="auto"/>
      </w:divBdr>
    </w:div>
    <w:div w:id="275646520">
      <w:marLeft w:val="0"/>
      <w:marRight w:val="0"/>
      <w:marTop w:val="80"/>
      <w:marBottom w:val="100"/>
      <w:divBdr>
        <w:top w:val="none" w:sz="0" w:space="0" w:color="auto"/>
        <w:left w:val="none" w:sz="0" w:space="0" w:color="auto"/>
        <w:bottom w:val="none" w:sz="0" w:space="0" w:color="auto"/>
        <w:right w:val="none" w:sz="0" w:space="0" w:color="auto"/>
      </w:divBdr>
    </w:div>
    <w:div w:id="276714208">
      <w:marLeft w:val="0"/>
      <w:marRight w:val="0"/>
      <w:marTop w:val="0"/>
      <w:marBottom w:val="200"/>
      <w:divBdr>
        <w:top w:val="none" w:sz="0" w:space="0" w:color="auto"/>
        <w:left w:val="none" w:sz="0" w:space="0" w:color="auto"/>
        <w:bottom w:val="none" w:sz="0" w:space="0" w:color="auto"/>
        <w:right w:val="none" w:sz="0" w:space="0" w:color="auto"/>
      </w:divBdr>
    </w:div>
    <w:div w:id="278337051">
      <w:marLeft w:val="0"/>
      <w:marRight w:val="0"/>
      <w:marTop w:val="0"/>
      <w:marBottom w:val="0"/>
      <w:divBdr>
        <w:top w:val="none" w:sz="0" w:space="0" w:color="auto"/>
        <w:left w:val="none" w:sz="0" w:space="0" w:color="auto"/>
        <w:bottom w:val="none" w:sz="0" w:space="0" w:color="auto"/>
        <w:right w:val="none" w:sz="0" w:space="0" w:color="auto"/>
      </w:divBdr>
    </w:div>
    <w:div w:id="279069311">
      <w:marLeft w:val="0"/>
      <w:marRight w:val="0"/>
      <w:marTop w:val="100"/>
      <w:marBottom w:val="0"/>
      <w:divBdr>
        <w:top w:val="none" w:sz="0" w:space="0" w:color="auto"/>
        <w:left w:val="none" w:sz="0" w:space="0" w:color="auto"/>
        <w:bottom w:val="none" w:sz="0" w:space="0" w:color="auto"/>
        <w:right w:val="none" w:sz="0" w:space="0" w:color="auto"/>
      </w:divBdr>
    </w:div>
    <w:div w:id="282269359">
      <w:marLeft w:val="0"/>
      <w:marRight w:val="0"/>
      <w:marTop w:val="100"/>
      <w:marBottom w:val="100"/>
      <w:divBdr>
        <w:top w:val="none" w:sz="0" w:space="0" w:color="auto"/>
        <w:left w:val="none" w:sz="0" w:space="0" w:color="auto"/>
        <w:bottom w:val="none" w:sz="0" w:space="0" w:color="auto"/>
        <w:right w:val="none" w:sz="0" w:space="0" w:color="auto"/>
      </w:divBdr>
    </w:div>
    <w:div w:id="283735939">
      <w:marLeft w:val="0"/>
      <w:marRight w:val="0"/>
      <w:marTop w:val="0"/>
      <w:marBottom w:val="0"/>
      <w:divBdr>
        <w:top w:val="none" w:sz="0" w:space="0" w:color="auto"/>
        <w:left w:val="none" w:sz="0" w:space="0" w:color="auto"/>
        <w:bottom w:val="none" w:sz="0" w:space="0" w:color="auto"/>
        <w:right w:val="none" w:sz="0" w:space="0" w:color="auto"/>
      </w:divBdr>
    </w:div>
    <w:div w:id="286358092">
      <w:marLeft w:val="0"/>
      <w:marRight w:val="0"/>
      <w:marTop w:val="100"/>
      <w:marBottom w:val="100"/>
      <w:divBdr>
        <w:top w:val="none" w:sz="0" w:space="0" w:color="auto"/>
        <w:left w:val="none" w:sz="0" w:space="0" w:color="auto"/>
        <w:bottom w:val="none" w:sz="0" w:space="0" w:color="auto"/>
        <w:right w:val="none" w:sz="0" w:space="0" w:color="auto"/>
      </w:divBdr>
    </w:div>
    <w:div w:id="288441918">
      <w:marLeft w:val="0"/>
      <w:marRight w:val="0"/>
      <w:marTop w:val="0"/>
      <w:marBottom w:val="0"/>
      <w:divBdr>
        <w:top w:val="none" w:sz="0" w:space="0" w:color="auto"/>
        <w:left w:val="none" w:sz="0" w:space="0" w:color="auto"/>
        <w:bottom w:val="none" w:sz="0" w:space="0" w:color="auto"/>
        <w:right w:val="none" w:sz="0" w:space="0" w:color="auto"/>
      </w:divBdr>
    </w:div>
    <w:div w:id="289748203">
      <w:marLeft w:val="0"/>
      <w:marRight w:val="0"/>
      <w:marTop w:val="0"/>
      <w:marBottom w:val="0"/>
      <w:divBdr>
        <w:top w:val="none" w:sz="0" w:space="0" w:color="auto"/>
        <w:left w:val="none" w:sz="0" w:space="0" w:color="auto"/>
        <w:bottom w:val="none" w:sz="0" w:space="0" w:color="auto"/>
        <w:right w:val="none" w:sz="0" w:space="0" w:color="auto"/>
      </w:divBdr>
    </w:div>
    <w:div w:id="289946207">
      <w:marLeft w:val="0"/>
      <w:marRight w:val="0"/>
      <w:marTop w:val="0"/>
      <w:marBottom w:val="0"/>
      <w:divBdr>
        <w:top w:val="none" w:sz="0" w:space="0" w:color="auto"/>
        <w:left w:val="none" w:sz="0" w:space="0" w:color="auto"/>
        <w:bottom w:val="none" w:sz="0" w:space="0" w:color="auto"/>
        <w:right w:val="none" w:sz="0" w:space="0" w:color="auto"/>
      </w:divBdr>
      <w:divsChild>
        <w:div w:id="316224576">
          <w:marLeft w:val="0"/>
          <w:marRight w:val="0"/>
          <w:marTop w:val="0"/>
          <w:marBottom w:val="0"/>
          <w:divBdr>
            <w:top w:val="none" w:sz="0" w:space="0" w:color="auto"/>
            <w:left w:val="none" w:sz="0" w:space="0" w:color="auto"/>
            <w:bottom w:val="none" w:sz="0" w:space="0" w:color="auto"/>
            <w:right w:val="none" w:sz="0" w:space="0" w:color="auto"/>
          </w:divBdr>
          <w:divsChild>
            <w:div w:id="212044856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90668279">
      <w:marLeft w:val="0"/>
      <w:marRight w:val="0"/>
      <w:marTop w:val="0"/>
      <w:marBottom w:val="0"/>
      <w:divBdr>
        <w:top w:val="none" w:sz="0" w:space="0" w:color="auto"/>
        <w:left w:val="none" w:sz="0" w:space="0" w:color="auto"/>
        <w:bottom w:val="none" w:sz="0" w:space="0" w:color="auto"/>
        <w:right w:val="none" w:sz="0" w:space="0" w:color="auto"/>
      </w:divBdr>
      <w:divsChild>
        <w:div w:id="803696715">
          <w:marLeft w:val="0"/>
          <w:marRight w:val="0"/>
          <w:marTop w:val="0"/>
          <w:marBottom w:val="0"/>
          <w:divBdr>
            <w:top w:val="none" w:sz="0" w:space="0" w:color="auto"/>
            <w:left w:val="none" w:sz="0" w:space="0" w:color="auto"/>
            <w:bottom w:val="none" w:sz="0" w:space="0" w:color="auto"/>
            <w:right w:val="none" w:sz="0" w:space="0" w:color="auto"/>
          </w:divBdr>
          <w:divsChild>
            <w:div w:id="175173349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93024642">
      <w:marLeft w:val="0"/>
      <w:marRight w:val="0"/>
      <w:marTop w:val="0"/>
      <w:marBottom w:val="0"/>
      <w:divBdr>
        <w:top w:val="none" w:sz="0" w:space="0" w:color="auto"/>
        <w:left w:val="none" w:sz="0" w:space="0" w:color="auto"/>
        <w:bottom w:val="none" w:sz="0" w:space="0" w:color="auto"/>
        <w:right w:val="none" w:sz="0" w:space="0" w:color="auto"/>
      </w:divBdr>
      <w:divsChild>
        <w:div w:id="1062220247">
          <w:marLeft w:val="0"/>
          <w:marRight w:val="0"/>
          <w:marTop w:val="0"/>
          <w:marBottom w:val="100"/>
          <w:divBdr>
            <w:top w:val="none" w:sz="0" w:space="0" w:color="auto"/>
            <w:left w:val="none" w:sz="0" w:space="0" w:color="auto"/>
            <w:bottom w:val="none" w:sz="0" w:space="0" w:color="auto"/>
            <w:right w:val="none" w:sz="0" w:space="0" w:color="auto"/>
          </w:divBdr>
        </w:div>
      </w:divsChild>
    </w:div>
    <w:div w:id="294063804">
      <w:marLeft w:val="0"/>
      <w:marRight w:val="0"/>
      <w:marTop w:val="180"/>
      <w:marBottom w:val="0"/>
      <w:divBdr>
        <w:top w:val="none" w:sz="0" w:space="0" w:color="auto"/>
        <w:left w:val="none" w:sz="0" w:space="0" w:color="auto"/>
        <w:bottom w:val="none" w:sz="0" w:space="0" w:color="auto"/>
        <w:right w:val="none" w:sz="0" w:space="0" w:color="auto"/>
      </w:divBdr>
    </w:div>
    <w:div w:id="296961080">
      <w:marLeft w:val="0"/>
      <w:marRight w:val="0"/>
      <w:marTop w:val="100"/>
      <w:marBottom w:val="10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297952504">
      <w:marLeft w:val="0"/>
      <w:marRight w:val="0"/>
      <w:marTop w:val="100"/>
      <w:marBottom w:val="100"/>
      <w:divBdr>
        <w:top w:val="none" w:sz="0" w:space="0" w:color="auto"/>
        <w:left w:val="none" w:sz="0" w:space="0" w:color="auto"/>
        <w:bottom w:val="none" w:sz="0" w:space="0" w:color="auto"/>
        <w:right w:val="none" w:sz="0" w:space="0" w:color="auto"/>
      </w:divBdr>
    </w:div>
    <w:div w:id="299192097">
      <w:marLeft w:val="0"/>
      <w:marRight w:val="0"/>
      <w:marTop w:val="100"/>
      <w:marBottom w:val="100"/>
      <w:divBdr>
        <w:top w:val="none" w:sz="0" w:space="0" w:color="auto"/>
        <w:left w:val="none" w:sz="0" w:space="0" w:color="auto"/>
        <w:bottom w:val="none" w:sz="0" w:space="0" w:color="auto"/>
        <w:right w:val="none" w:sz="0" w:space="0" w:color="auto"/>
      </w:divBdr>
    </w:div>
    <w:div w:id="299307965">
      <w:marLeft w:val="0"/>
      <w:marRight w:val="0"/>
      <w:marTop w:val="80"/>
      <w:marBottom w:val="100"/>
      <w:divBdr>
        <w:top w:val="none" w:sz="0" w:space="0" w:color="auto"/>
        <w:left w:val="none" w:sz="0" w:space="0" w:color="auto"/>
        <w:bottom w:val="none" w:sz="0" w:space="0" w:color="auto"/>
        <w:right w:val="none" w:sz="0" w:space="0" w:color="auto"/>
      </w:divBdr>
    </w:div>
    <w:div w:id="299576779">
      <w:marLeft w:val="0"/>
      <w:marRight w:val="0"/>
      <w:marTop w:val="0"/>
      <w:marBottom w:val="100"/>
      <w:divBdr>
        <w:top w:val="none" w:sz="0" w:space="0" w:color="auto"/>
        <w:left w:val="none" w:sz="0" w:space="0" w:color="auto"/>
        <w:bottom w:val="none" w:sz="0" w:space="0" w:color="auto"/>
        <w:right w:val="none" w:sz="0" w:space="0" w:color="auto"/>
      </w:divBdr>
    </w:div>
    <w:div w:id="303313049">
      <w:marLeft w:val="0"/>
      <w:marRight w:val="0"/>
      <w:marTop w:val="100"/>
      <w:marBottom w:val="100"/>
      <w:divBdr>
        <w:top w:val="none" w:sz="0" w:space="0" w:color="auto"/>
        <w:left w:val="none" w:sz="0" w:space="0" w:color="auto"/>
        <w:bottom w:val="none" w:sz="0" w:space="0" w:color="auto"/>
        <w:right w:val="none" w:sz="0" w:space="0" w:color="auto"/>
      </w:divBdr>
    </w:div>
    <w:div w:id="303434942">
      <w:marLeft w:val="0"/>
      <w:marRight w:val="0"/>
      <w:marTop w:val="80"/>
      <w:marBottom w:val="100"/>
      <w:divBdr>
        <w:top w:val="none" w:sz="0" w:space="0" w:color="auto"/>
        <w:left w:val="none" w:sz="0" w:space="0" w:color="auto"/>
        <w:bottom w:val="none" w:sz="0" w:space="0" w:color="auto"/>
        <w:right w:val="none" w:sz="0" w:space="0" w:color="auto"/>
      </w:divBdr>
    </w:div>
    <w:div w:id="306134602">
      <w:marLeft w:val="0"/>
      <w:marRight w:val="0"/>
      <w:marTop w:val="0"/>
      <w:marBottom w:val="100"/>
      <w:divBdr>
        <w:top w:val="none" w:sz="0" w:space="0" w:color="auto"/>
        <w:left w:val="none" w:sz="0" w:space="0" w:color="auto"/>
        <w:bottom w:val="none" w:sz="0" w:space="0" w:color="auto"/>
        <w:right w:val="none" w:sz="0" w:space="0" w:color="auto"/>
      </w:divBdr>
    </w:div>
    <w:div w:id="308023015">
      <w:marLeft w:val="0"/>
      <w:marRight w:val="0"/>
      <w:marTop w:val="0"/>
      <w:marBottom w:val="100"/>
      <w:divBdr>
        <w:top w:val="none" w:sz="0" w:space="0" w:color="auto"/>
        <w:left w:val="none" w:sz="0" w:space="0" w:color="auto"/>
        <w:bottom w:val="none" w:sz="0" w:space="0" w:color="auto"/>
        <w:right w:val="none" w:sz="0" w:space="0" w:color="auto"/>
      </w:divBdr>
    </w:div>
    <w:div w:id="309409878">
      <w:marLeft w:val="0"/>
      <w:marRight w:val="0"/>
      <w:marTop w:val="0"/>
      <w:marBottom w:val="100"/>
      <w:divBdr>
        <w:top w:val="none" w:sz="0" w:space="0" w:color="auto"/>
        <w:left w:val="none" w:sz="0" w:space="0" w:color="auto"/>
        <w:bottom w:val="none" w:sz="0" w:space="0" w:color="auto"/>
        <w:right w:val="none" w:sz="0" w:space="0" w:color="auto"/>
      </w:divBdr>
    </w:div>
    <w:div w:id="310255353">
      <w:marLeft w:val="0"/>
      <w:marRight w:val="0"/>
      <w:marTop w:val="100"/>
      <w:marBottom w:val="100"/>
      <w:divBdr>
        <w:top w:val="none" w:sz="0" w:space="0" w:color="auto"/>
        <w:left w:val="none" w:sz="0" w:space="0" w:color="auto"/>
        <w:bottom w:val="none" w:sz="0" w:space="0" w:color="auto"/>
        <w:right w:val="none" w:sz="0" w:space="0" w:color="auto"/>
      </w:divBdr>
    </w:div>
    <w:div w:id="312950122">
      <w:marLeft w:val="0"/>
      <w:marRight w:val="0"/>
      <w:marTop w:val="0"/>
      <w:marBottom w:val="0"/>
      <w:divBdr>
        <w:top w:val="none" w:sz="0" w:space="0" w:color="auto"/>
        <w:left w:val="none" w:sz="0" w:space="0" w:color="auto"/>
        <w:bottom w:val="none" w:sz="0" w:space="0" w:color="auto"/>
        <w:right w:val="none" w:sz="0" w:space="0" w:color="auto"/>
      </w:divBdr>
      <w:divsChild>
        <w:div w:id="1771588901">
          <w:marLeft w:val="0"/>
          <w:marRight w:val="0"/>
          <w:marTop w:val="0"/>
          <w:marBottom w:val="0"/>
          <w:divBdr>
            <w:top w:val="none" w:sz="0" w:space="0" w:color="auto"/>
            <w:left w:val="none" w:sz="0" w:space="0" w:color="auto"/>
            <w:bottom w:val="none" w:sz="0" w:space="0" w:color="auto"/>
            <w:right w:val="none" w:sz="0" w:space="0" w:color="auto"/>
          </w:divBdr>
          <w:divsChild>
            <w:div w:id="144122204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13218103">
      <w:marLeft w:val="0"/>
      <w:marRight w:val="0"/>
      <w:marTop w:val="100"/>
      <w:marBottom w:val="100"/>
      <w:divBdr>
        <w:top w:val="none" w:sz="0" w:space="0" w:color="auto"/>
        <w:left w:val="none" w:sz="0" w:space="0" w:color="auto"/>
        <w:bottom w:val="none" w:sz="0" w:space="0" w:color="auto"/>
        <w:right w:val="none" w:sz="0" w:space="0" w:color="auto"/>
      </w:divBdr>
    </w:div>
    <w:div w:id="314454214">
      <w:marLeft w:val="0"/>
      <w:marRight w:val="0"/>
      <w:marTop w:val="100"/>
      <w:marBottom w:val="100"/>
      <w:divBdr>
        <w:top w:val="none" w:sz="0" w:space="0" w:color="auto"/>
        <w:left w:val="none" w:sz="0" w:space="0" w:color="auto"/>
        <w:bottom w:val="none" w:sz="0" w:space="0" w:color="auto"/>
        <w:right w:val="none" w:sz="0" w:space="0" w:color="auto"/>
      </w:divBdr>
    </w:div>
    <w:div w:id="316039192">
      <w:marLeft w:val="0"/>
      <w:marRight w:val="0"/>
      <w:marTop w:val="100"/>
      <w:marBottom w:val="60"/>
      <w:divBdr>
        <w:top w:val="none" w:sz="0" w:space="0" w:color="auto"/>
        <w:left w:val="none" w:sz="0" w:space="0" w:color="auto"/>
        <w:bottom w:val="none" w:sz="0" w:space="0" w:color="auto"/>
        <w:right w:val="none" w:sz="0" w:space="0" w:color="auto"/>
      </w:divBdr>
    </w:div>
    <w:div w:id="317004062">
      <w:marLeft w:val="0"/>
      <w:marRight w:val="0"/>
      <w:marTop w:val="0"/>
      <w:marBottom w:val="0"/>
      <w:divBdr>
        <w:top w:val="none" w:sz="0" w:space="0" w:color="auto"/>
        <w:left w:val="none" w:sz="0" w:space="0" w:color="auto"/>
        <w:bottom w:val="none" w:sz="0" w:space="0" w:color="auto"/>
        <w:right w:val="none" w:sz="0" w:space="0" w:color="auto"/>
      </w:divBdr>
    </w:div>
    <w:div w:id="317854321">
      <w:marLeft w:val="0"/>
      <w:marRight w:val="0"/>
      <w:marTop w:val="0"/>
      <w:marBottom w:val="0"/>
      <w:divBdr>
        <w:top w:val="none" w:sz="0" w:space="0" w:color="auto"/>
        <w:left w:val="none" w:sz="0" w:space="0" w:color="auto"/>
        <w:bottom w:val="none" w:sz="0" w:space="0" w:color="auto"/>
        <w:right w:val="none" w:sz="0" w:space="0" w:color="auto"/>
      </w:divBdr>
    </w:div>
    <w:div w:id="318464999">
      <w:marLeft w:val="0"/>
      <w:marRight w:val="0"/>
      <w:marTop w:val="80"/>
      <w:marBottom w:val="0"/>
      <w:divBdr>
        <w:top w:val="none" w:sz="0" w:space="0" w:color="auto"/>
        <w:left w:val="none" w:sz="0" w:space="0" w:color="auto"/>
        <w:bottom w:val="none" w:sz="0" w:space="0" w:color="auto"/>
        <w:right w:val="none" w:sz="0" w:space="0" w:color="auto"/>
      </w:divBdr>
    </w:div>
    <w:div w:id="318702433">
      <w:marLeft w:val="0"/>
      <w:marRight w:val="0"/>
      <w:marTop w:val="100"/>
      <w:marBottom w:val="100"/>
      <w:divBdr>
        <w:top w:val="none" w:sz="0" w:space="0" w:color="auto"/>
        <w:left w:val="none" w:sz="0" w:space="0" w:color="auto"/>
        <w:bottom w:val="none" w:sz="0" w:space="0" w:color="auto"/>
        <w:right w:val="none" w:sz="0" w:space="0" w:color="auto"/>
      </w:divBdr>
    </w:div>
    <w:div w:id="320811878">
      <w:marLeft w:val="0"/>
      <w:marRight w:val="0"/>
      <w:marTop w:val="0"/>
      <w:marBottom w:val="0"/>
      <w:divBdr>
        <w:top w:val="none" w:sz="0" w:space="0" w:color="auto"/>
        <w:left w:val="none" w:sz="0" w:space="0" w:color="auto"/>
        <w:bottom w:val="none" w:sz="0" w:space="0" w:color="auto"/>
        <w:right w:val="none" w:sz="0" w:space="0" w:color="auto"/>
      </w:divBdr>
      <w:divsChild>
        <w:div w:id="674503272">
          <w:marLeft w:val="0"/>
          <w:marRight w:val="0"/>
          <w:marTop w:val="0"/>
          <w:marBottom w:val="0"/>
          <w:divBdr>
            <w:top w:val="none" w:sz="0" w:space="0" w:color="auto"/>
            <w:left w:val="none" w:sz="0" w:space="0" w:color="auto"/>
            <w:bottom w:val="none" w:sz="0" w:space="0" w:color="auto"/>
            <w:right w:val="none" w:sz="0" w:space="0" w:color="auto"/>
          </w:divBdr>
          <w:divsChild>
            <w:div w:id="176904204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21279891">
      <w:marLeft w:val="0"/>
      <w:marRight w:val="0"/>
      <w:marTop w:val="0"/>
      <w:marBottom w:val="100"/>
      <w:divBdr>
        <w:top w:val="none" w:sz="0" w:space="0" w:color="auto"/>
        <w:left w:val="none" w:sz="0" w:space="0" w:color="auto"/>
        <w:bottom w:val="none" w:sz="0" w:space="0" w:color="auto"/>
        <w:right w:val="none" w:sz="0" w:space="0" w:color="auto"/>
      </w:divBdr>
    </w:div>
    <w:div w:id="321347932">
      <w:marLeft w:val="0"/>
      <w:marRight w:val="0"/>
      <w:marTop w:val="100"/>
      <w:marBottom w:val="0"/>
      <w:divBdr>
        <w:top w:val="none" w:sz="0" w:space="0" w:color="auto"/>
        <w:left w:val="none" w:sz="0" w:space="0" w:color="auto"/>
        <w:bottom w:val="none" w:sz="0" w:space="0" w:color="auto"/>
        <w:right w:val="none" w:sz="0" w:space="0" w:color="auto"/>
      </w:divBdr>
    </w:div>
    <w:div w:id="321469129">
      <w:marLeft w:val="0"/>
      <w:marRight w:val="0"/>
      <w:marTop w:val="0"/>
      <w:marBottom w:val="0"/>
      <w:divBdr>
        <w:top w:val="none" w:sz="0" w:space="0" w:color="auto"/>
        <w:left w:val="none" w:sz="0" w:space="0" w:color="auto"/>
        <w:bottom w:val="none" w:sz="0" w:space="0" w:color="auto"/>
        <w:right w:val="none" w:sz="0" w:space="0" w:color="auto"/>
      </w:divBdr>
      <w:divsChild>
        <w:div w:id="1367749940">
          <w:marLeft w:val="0"/>
          <w:marRight w:val="0"/>
          <w:marTop w:val="0"/>
          <w:marBottom w:val="0"/>
          <w:divBdr>
            <w:top w:val="none" w:sz="0" w:space="0" w:color="auto"/>
            <w:left w:val="none" w:sz="0" w:space="0" w:color="auto"/>
            <w:bottom w:val="none" w:sz="0" w:space="0" w:color="auto"/>
            <w:right w:val="none" w:sz="0" w:space="0" w:color="auto"/>
          </w:divBdr>
          <w:divsChild>
            <w:div w:id="111339845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23824523">
      <w:marLeft w:val="0"/>
      <w:marRight w:val="0"/>
      <w:marTop w:val="0"/>
      <w:marBottom w:val="0"/>
      <w:divBdr>
        <w:top w:val="none" w:sz="0" w:space="0" w:color="auto"/>
        <w:left w:val="none" w:sz="0" w:space="0" w:color="auto"/>
        <w:bottom w:val="none" w:sz="0" w:space="0" w:color="auto"/>
        <w:right w:val="none" w:sz="0" w:space="0" w:color="auto"/>
      </w:divBdr>
      <w:divsChild>
        <w:div w:id="1481386061">
          <w:marLeft w:val="0"/>
          <w:marRight w:val="0"/>
          <w:marTop w:val="0"/>
          <w:marBottom w:val="100"/>
          <w:divBdr>
            <w:top w:val="none" w:sz="0" w:space="0" w:color="auto"/>
            <w:left w:val="none" w:sz="0" w:space="0" w:color="auto"/>
            <w:bottom w:val="none" w:sz="0" w:space="0" w:color="auto"/>
            <w:right w:val="none" w:sz="0" w:space="0" w:color="auto"/>
          </w:divBdr>
        </w:div>
      </w:divsChild>
    </w:div>
    <w:div w:id="325935376">
      <w:marLeft w:val="0"/>
      <w:marRight w:val="0"/>
      <w:marTop w:val="0"/>
      <w:marBottom w:val="0"/>
      <w:divBdr>
        <w:top w:val="none" w:sz="0" w:space="0" w:color="auto"/>
        <w:left w:val="none" w:sz="0" w:space="0" w:color="auto"/>
        <w:bottom w:val="none" w:sz="0" w:space="0" w:color="auto"/>
        <w:right w:val="none" w:sz="0" w:space="0" w:color="auto"/>
      </w:divBdr>
      <w:divsChild>
        <w:div w:id="652879675">
          <w:marLeft w:val="0"/>
          <w:marRight w:val="0"/>
          <w:marTop w:val="0"/>
          <w:marBottom w:val="0"/>
          <w:divBdr>
            <w:top w:val="none" w:sz="0" w:space="0" w:color="auto"/>
            <w:left w:val="none" w:sz="0" w:space="0" w:color="auto"/>
            <w:bottom w:val="none" w:sz="0" w:space="0" w:color="auto"/>
            <w:right w:val="none" w:sz="0" w:space="0" w:color="auto"/>
          </w:divBdr>
          <w:divsChild>
            <w:div w:id="22668961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27445358">
      <w:marLeft w:val="0"/>
      <w:marRight w:val="0"/>
      <w:marTop w:val="0"/>
      <w:marBottom w:val="100"/>
      <w:divBdr>
        <w:top w:val="none" w:sz="0" w:space="0" w:color="auto"/>
        <w:left w:val="none" w:sz="0" w:space="0" w:color="auto"/>
        <w:bottom w:val="none" w:sz="0" w:space="0" w:color="auto"/>
        <w:right w:val="none" w:sz="0" w:space="0" w:color="auto"/>
      </w:divBdr>
    </w:div>
    <w:div w:id="328142889">
      <w:marLeft w:val="0"/>
      <w:marRight w:val="0"/>
      <w:marTop w:val="100"/>
      <w:marBottom w:val="0"/>
      <w:divBdr>
        <w:top w:val="none" w:sz="0" w:space="0" w:color="auto"/>
        <w:left w:val="none" w:sz="0" w:space="0" w:color="auto"/>
        <w:bottom w:val="none" w:sz="0" w:space="0" w:color="auto"/>
        <w:right w:val="none" w:sz="0" w:space="0" w:color="auto"/>
      </w:divBdr>
    </w:div>
    <w:div w:id="328408935">
      <w:marLeft w:val="0"/>
      <w:marRight w:val="0"/>
      <w:marTop w:val="100"/>
      <w:marBottom w:val="100"/>
      <w:divBdr>
        <w:top w:val="none" w:sz="0" w:space="0" w:color="auto"/>
        <w:left w:val="none" w:sz="0" w:space="0" w:color="auto"/>
        <w:bottom w:val="none" w:sz="0" w:space="0" w:color="auto"/>
        <w:right w:val="none" w:sz="0" w:space="0" w:color="auto"/>
      </w:divBdr>
    </w:div>
    <w:div w:id="329213492">
      <w:marLeft w:val="0"/>
      <w:marRight w:val="0"/>
      <w:marTop w:val="80"/>
      <w:marBottom w:val="100"/>
      <w:divBdr>
        <w:top w:val="none" w:sz="0" w:space="0" w:color="auto"/>
        <w:left w:val="none" w:sz="0" w:space="0" w:color="auto"/>
        <w:bottom w:val="none" w:sz="0" w:space="0" w:color="auto"/>
        <w:right w:val="none" w:sz="0" w:space="0" w:color="auto"/>
      </w:divBdr>
    </w:div>
    <w:div w:id="331420744">
      <w:marLeft w:val="0"/>
      <w:marRight w:val="0"/>
      <w:marTop w:val="180"/>
      <w:marBottom w:val="0"/>
      <w:divBdr>
        <w:top w:val="none" w:sz="0" w:space="0" w:color="auto"/>
        <w:left w:val="none" w:sz="0" w:space="0" w:color="auto"/>
        <w:bottom w:val="none" w:sz="0" w:space="0" w:color="auto"/>
        <w:right w:val="none" w:sz="0" w:space="0" w:color="auto"/>
      </w:divBdr>
    </w:div>
    <w:div w:id="331687766">
      <w:marLeft w:val="0"/>
      <w:marRight w:val="0"/>
      <w:marTop w:val="0"/>
      <w:marBottom w:val="0"/>
      <w:divBdr>
        <w:top w:val="none" w:sz="0" w:space="0" w:color="auto"/>
        <w:left w:val="none" w:sz="0" w:space="0" w:color="auto"/>
        <w:bottom w:val="none" w:sz="0" w:space="0" w:color="auto"/>
        <w:right w:val="none" w:sz="0" w:space="0" w:color="auto"/>
      </w:divBdr>
    </w:div>
    <w:div w:id="331757343">
      <w:marLeft w:val="0"/>
      <w:marRight w:val="0"/>
      <w:marTop w:val="0"/>
      <w:marBottom w:val="100"/>
      <w:divBdr>
        <w:top w:val="none" w:sz="0" w:space="0" w:color="auto"/>
        <w:left w:val="none" w:sz="0" w:space="0" w:color="auto"/>
        <w:bottom w:val="none" w:sz="0" w:space="0" w:color="auto"/>
        <w:right w:val="none" w:sz="0" w:space="0" w:color="auto"/>
      </w:divBdr>
    </w:div>
    <w:div w:id="332222105">
      <w:marLeft w:val="0"/>
      <w:marRight w:val="0"/>
      <w:marTop w:val="0"/>
      <w:marBottom w:val="0"/>
      <w:divBdr>
        <w:top w:val="none" w:sz="0" w:space="0" w:color="auto"/>
        <w:left w:val="none" w:sz="0" w:space="0" w:color="auto"/>
        <w:bottom w:val="none" w:sz="0" w:space="0" w:color="auto"/>
        <w:right w:val="none" w:sz="0" w:space="0" w:color="auto"/>
      </w:divBdr>
    </w:div>
    <w:div w:id="332535948">
      <w:marLeft w:val="0"/>
      <w:marRight w:val="0"/>
      <w:marTop w:val="100"/>
      <w:marBottom w:val="100"/>
      <w:divBdr>
        <w:top w:val="none" w:sz="0" w:space="0" w:color="auto"/>
        <w:left w:val="none" w:sz="0" w:space="0" w:color="auto"/>
        <w:bottom w:val="none" w:sz="0" w:space="0" w:color="auto"/>
        <w:right w:val="none" w:sz="0" w:space="0" w:color="auto"/>
      </w:divBdr>
    </w:div>
    <w:div w:id="332758727">
      <w:marLeft w:val="0"/>
      <w:marRight w:val="0"/>
      <w:marTop w:val="180"/>
      <w:marBottom w:val="100"/>
      <w:divBdr>
        <w:top w:val="none" w:sz="0" w:space="0" w:color="auto"/>
        <w:left w:val="none" w:sz="0" w:space="0" w:color="auto"/>
        <w:bottom w:val="none" w:sz="0" w:space="0" w:color="auto"/>
        <w:right w:val="none" w:sz="0" w:space="0" w:color="auto"/>
      </w:divBdr>
    </w:div>
    <w:div w:id="334891265">
      <w:marLeft w:val="0"/>
      <w:marRight w:val="0"/>
      <w:marTop w:val="0"/>
      <w:marBottom w:val="0"/>
      <w:divBdr>
        <w:top w:val="none" w:sz="0" w:space="0" w:color="auto"/>
        <w:left w:val="none" w:sz="0" w:space="0" w:color="auto"/>
        <w:bottom w:val="none" w:sz="0" w:space="0" w:color="auto"/>
        <w:right w:val="none" w:sz="0" w:space="0" w:color="auto"/>
      </w:divBdr>
      <w:divsChild>
        <w:div w:id="1628850925">
          <w:marLeft w:val="0"/>
          <w:marRight w:val="0"/>
          <w:marTop w:val="0"/>
          <w:marBottom w:val="100"/>
          <w:divBdr>
            <w:top w:val="none" w:sz="0" w:space="0" w:color="auto"/>
            <w:left w:val="none" w:sz="0" w:space="0" w:color="auto"/>
            <w:bottom w:val="none" w:sz="0" w:space="0" w:color="auto"/>
            <w:right w:val="none" w:sz="0" w:space="0" w:color="auto"/>
          </w:divBdr>
        </w:div>
      </w:divsChild>
    </w:div>
    <w:div w:id="336612235">
      <w:marLeft w:val="0"/>
      <w:marRight w:val="0"/>
      <w:marTop w:val="0"/>
      <w:marBottom w:val="0"/>
      <w:divBdr>
        <w:top w:val="none" w:sz="0" w:space="0" w:color="auto"/>
        <w:left w:val="none" w:sz="0" w:space="0" w:color="auto"/>
        <w:bottom w:val="none" w:sz="0" w:space="0" w:color="auto"/>
        <w:right w:val="none" w:sz="0" w:space="0" w:color="auto"/>
      </w:divBdr>
      <w:divsChild>
        <w:div w:id="682633663">
          <w:marLeft w:val="0"/>
          <w:marRight w:val="0"/>
          <w:marTop w:val="0"/>
          <w:marBottom w:val="100"/>
          <w:divBdr>
            <w:top w:val="none" w:sz="0" w:space="0" w:color="auto"/>
            <w:left w:val="none" w:sz="0" w:space="0" w:color="auto"/>
            <w:bottom w:val="none" w:sz="0" w:space="0" w:color="auto"/>
            <w:right w:val="none" w:sz="0" w:space="0" w:color="auto"/>
          </w:divBdr>
        </w:div>
      </w:divsChild>
    </w:div>
    <w:div w:id="336999134">
      <w:marLeft w:val="0"/>
      <w:marRight w:val="0"/>
      <w:marTop w:val="0"/>
      <w:marBottom w:val="100"/>
      <w:divBdr>
        <w:top w:val="none" w:sz="0" w:space="0" w:color="auto"/>
        <w:left w:val="none" w:sz="0" w:space="0" w:color="auto"/>
        <w:bottom w:val="none" w:sz="0" w:space="0" w:color="auto"/>
        <w:right w:val="none" w:sz="0" w:space="0" w:color="auto"/>
      </w:divBdr>
    </w:div>
    <w:div w:id="337346383">
      <w:marLeft w:val="0"/>
      <w:marRight w:val="0"/>
      <w:marTop w:val="0"/>
      <w:marBottom w:val="0"/>
      <w:divBdr>
        <w:top w:val="none" w:sz="0" w:space="0" w:color="auto"/>
        <w:left w:val="none" w:sz="0" w:space="0" w:color="auto"/>
        <w:bottom w:val="none" w:sz="0" w:space="0" w:color="auto"/>
        <w:right w:val="none" w:sz="0" w:space="0" w:color="auto"/>
      </w:divBdr>
    </w:div>
    <w:div w:id="337661507">
      <w:marLeft w:val="0"/>
      <w:marRight w:val="0"/>
      <w:marTop w:val="0"/>
      <w:marBottom w:val="0"/>
      <w:divBdr>
        <w:top w:val="none" w:sz="0" w:space="0" w:color="auto"/>
        <w:left w:val="none" w:sz="0" w:space="0" w:color="auto"/>
        <w:bottom w:val="none" w:sz="0" w:space="0" w:color="auto"/>
        <w:right w:val="none" w:sz="0" w:space="0" w:color="auto"/>
      </w:divBdr>
    </w:div>
    <w:div w:id="338391895">
      <w:marLeft w:val="0"/>
      <w:marRight w:val="0"/>
      <w:marTop w:val="0"/>
      <w:marBottom w:val="0"/>
      <w:divBdr>
        <w:top w:val="none" w:sz="0" w:space="0" w:color="auto"/>
        <w:left w:val="none" w:sz="0" w:space="0" w:color="auto"/>
        <w:bottom w:val="none" w:sz="0" w:space="0" w:color="auto"/>
        <w:right w:val="none" w:sz="0" w:space="0" w:color="auto"/>
      </w:divBdr>
    </w:div>
    <w:div w:id="338702426">
      <w:marLeft w:val="0"/>
      <w:marRight w:val="0"/>
      <w:marTop w:val="100"/>
      <w:marBottom w:val="100"/>
      <w:divBdr>
        <w:top w:val="none" w:sz="0" w:space="0" w:color="auto"/>
        <w:left w:val="none" w:sz="0" w:space="0" w:color="auto"/>
        <w:bottom w:val="none" w:sz="0" w:space="0" w:color="auto"/>
        <w:right w:val="none" w:sz="0" w:space="0" w:color="auto"/>
      </w:divBdr>
    </w:div>
    <w:div w:id="340157626">
      <w:marLeft w:val="0"/>
      <w:marRight w:val="0"/>
      <w:marTop w:val="100"/>
      <w:marBottom w:val="100"/>
      <w:divBdr>
        <w:top w:val="none" w:sz="0" w:space="0" w:color="auto"/>
        <w:left w:val="none" w:sz="0" w:space="0" w:color="auto"/>
        <w:bottom w:val="none" w:sz="0" w:space="0" w:color="auto"/>
        <w:right w:val="none" w:sz="0" w:space="0" w:color="auto"/>
      </w:divBdr>
    </w:div>
    <w:div w:id="341050573">
      <w:marLeft w:val="0"/>
      <w:marRight w:val="0"/>
      <w:marTop w:val="80"/>
      <w:marBottom w:val="100"/>
      <w:divBdr>
        <w:top w:val="none" w:sz="0" w:space="0" w:color="auto"/>
        <w:left w:val="none" w:sz="0" w:space="0" w:color="auto"/>
        <w:bottom w:val="none" w:sz="0" w:space="0" w:color="auto"/>
        <w:right w:val="none" w:sz="0" w:space="0" w:color="auto"/>
      </w:divBdr>
    </w:div>
    <w:div w:id="343438405">
      <w:marLeft w:val="0"/>
      <w:marRight w:val="0"/>
      <w:marTop w:val="0"/>
      <w:marBottom w:val="0"/>
      <w:divBdr>
        <w:top w:val="none" w:sz="0" w:space="0" w:color="auto"/>
        <w:left w:val="none" w:sz="0" w:space="0" w:color="auto"/>
        <w:bottom w:val="none" w:sz="0" w:space="0" w:color="auto"/>
        <w:right w:val="none" w:sz="0" w:space="0" w:color="auto"/>
      </w:divBdr>
      <w:divsChild>
        <w:div w:id="1691178051">
          <w:marLeft w:val="0"/>
          <w:marRight w:val="0"/>
          <w:marTop w:val="0"/>
          <w:marBottom w:val="0"/>
          <w:divBdr>
            <w:top w:val="none" w:sz="0" w:space="0" w:color="auto"/>
            <w:left w:val="none" w:sz="0" w:space="0" w:color="auto"/>
            <w:bottom w:val="none" w:sz="0" w:space="0" w:color="auto"/>
            <w:right w:val="none" w:sz="0" w:space="0" w:color="auto"/>
          </w:divBdr>
        </w:div>
      </w:divsChild>
    </w:div>
    <w:div w:id="346373091">
      <w:marLeft w:val="0"/>
      <w:marRight w:val="0"/>
      <w:marTop w:val="80"/>
      <w:marBottom w:val="100"/>
      <w:divBdr>
        <w:top w:val="none" w:sz="0" w:space="0" w:color="auto"/>
        <w:left w:val="none" w:sz="0" w:space="0" w:color="auto"/>
        <w:bottom w:val="none" w:sz="0" w:space="0" w:color="auto"/>
        <w:right w:val="none" w:sz="0" w:space="0" w:color="auto"/>
      </w:divBdr>
    </w:div>
    <w:div w:id="347298624">
      <w:marLeft w:val="0"/>
      <w:marRight w:val="0"/>
      <w:marTop w:val="0"/>
      <w:marBottom w:val="100"/>
      <w:divBdr>
        <w:top w:val="none" w:sz="0" w:space="0" w:color="auto"/>
        <w:left w:val="none" w:sz="0" w:space="0" w:color="auto"/>
        <w:bottom w:val="none" w:sz="0" w:space="0" w:color="auto"/>
        <w:right w:val="none" w:sz="0" w:space="0" w:color="auto"/>
      </w:divBdr>
    </w:div>
    <w:div w:id="349600268">
      <w:marLeft w:val="0"/>
      <w:marRight w:val="0"/>
      <w:marTop w:val="100"/>
      <w:marBottom w:val="100"/>
      <w:divBdr>
        <w:top w:val="none" w:sz="0" w:space="0" w:color="auto"/>
        <w:left w:val="none" w:sz="0" w:space="0" w:color="auto"/>
        <w:bottom w:val="none" w:sz="0" w:space="0" w:color="auto"/>
        <w:right w:val="none" w:sz="0" w:space="0" w:color="auto"/>
      </w:divBdr>
    </w:div>
    <w:div w:id="351566630">
      <w:marLeft w:val="0"/>
      <w:marRight w:val="0"/>
      <w:marTop w:val="0"/>
      <w:marBottom w:val="0"/>
      <w:divBdr>
        <w:top w:val="none" w:sz="0" w:space="0" w:color="auto"/>
        <w:left w:val="none" w:sz="0" w:space="0" w:color="auto"/>
        <w:bottom w:val="none" w:sz="0" w:space="0" w:color="auto"/>
        <w:right w:val="none" w:sz="0" w:space="0" w:color="auto"/>
      </w:divBdr>
    </w:div>
    <w:div w:id="351957501">
      <w:marLeft w:val="0"/>
      <w:marRight w:val="0"/>
      <w:marTop w:val="0"/>
      <w:marBottom w:val="100"/>
      <w:divBdr>
        <w:top w:val="none" w:sz="0" w:space="0" w:color="auto"/>
        <w:left w:val="none" w:sz="0" w:space="0" w:color="auto"/>
        <w:bottom w:val="none" w:sz="0" w:space="0" w:color="auto"/>
        <w:right w:val="none" w:sz="0" w:space="0" w:color="auto"/>
      </w:divBdr>
    </w:div>
    <w:div w:id="353384846">
      <w:marLeft w:val="0"/>
      <w:marRight w:val="0"/>
      <w:marTop w:val="180"/>
      <w:marBottom w:val="0"/>
      <w:divBdr>
        <w:top w:val="none" w:sz="0" w:space="0" w:color="auto"/>
        <w:left w:val="none" w:sz="0" w:space="0" w:color="auto"/>
        <w:bottom w:val="none" w:sz="0" w:space="0" w:color="auto"/>
        <w:right w:val="none" w:sz="0" w:space="0" w:color="auto"/>
      </w:divBdr>
    </w:div>
    <w:div w:id="354310710">
      <w:marLeft w:val="0"/>
      <w:marRight w:val="0"/>
      <w:marTop w:val="180"/>
      <w:marBottom w:val="100"/>
      <w:divBdr>
        <w:top w:val="none" w:sz="0" w:space="0" w:color="auto"/>
        <w:left w:val="none" w:sz="0" w:space="0" w:color="auto"/>
        <w:bottom w:val="none" w:sz="0" w:space="0" w:color="auto"/>
        <w:right w:val="none" w:sz="0" w:space="0" w:color="auto"/>
      </w:divBdr>
    </w:div>
    <w:div w:id="354506820">
      <w:marLeft w:val="0"/>
      <w:marRight w:val="0"/>
      <w:marTop w:val="180"/>
      <w:marBottom w:val="0"/>
      <w:divBdr>
        <w:top w:val="none" w:sz="0" w:space="0" w:color="auto"/>
        <w:left w:val="none" w:sz="0" w:space="0" w:color="auto"/>
        <w:bottom w:val="none" w:sz="0" w:space="0" w:color="auto"/>
        <w:right w:val="none" w:sz="0" w:space="0" w:color="auto"/>
      </w:divBdr>
    </w:div>
    <w:div w:id="356393162">
      <w:marLeft w:val="0"/>
      <w:marRight w:val="0"/>
      <w:marTop w:val="0"/>
      <w:marBottom w:val="0"/>
      <w:divBdr>
        <w:top w:val="none" w:sz="0" w:space="0" w:color="auto"/>
        <w:left w:val="none" w:sz="0" w:space="0" w:color="auto"/>
        <w:bottom w:val="none" w:sz="0" w:space="0" w:color="auto"/>
        <w:right w:val="none" w:sz="0" w:space="0" w:color="auto"/>
      </w:divBdr>
    </w:div>
    <w:div w:id="358358991">
      <w:marLeft w:val="0"/>
      <w:marRight w:val="0"/>
      <w:marTop w:val="0"/>
      <w:marBottom w:val="0"/>
      <w:divBdr>
        <w:top w:val="none" w:sz="0" w:space="0" w:color="auto"/>
        <w:left w:val="none" w:sz="0" w:space="0" w:color="auto"/>
        <w:bottom w:val="none" w:sz="0" w:space="0" w:color="auto"/>
        <w:right w:val="none" w:sz="0" w:space="0" w:color="auto"/>
      </w:divBdr>
      <w:divsChild>
        <w:div w:id="145780801">
          <w:marLeft w:val="0"/>
          <w:marRight w:val="0"/>
          <w:marTop w:val="0"/>
          <w:marBottom w:val="100"/>
          <w:divBdr>
            <w:top w:val="none" w:sz="0" w:space="0" w:color="auto"/>
            <w:left w:val="none" w:sz="0" w:space="0" w:color="auto"/>
            <w:bottom w:val="none" w:sz="0" w:space="0" w:color="auto"/>
            <w:right w:val="none" w:sz="0" w:space="0" w:color="auto"/>
          </w:divBdr>
        </w:div>
      </w:divsChild>
    </w:div>
    <w:div w:id="358748656">
      <w:marLeft w:val="0"/>
      <w:marRight w:val="0"/>
      <w:marTop w:val="0"/>
      <w:marBottom w:val="0"/>
      <w:divBdr>
        <w:top w:val="none" w:sz="0" w:space="0" w:color="auto"/>
        <w:left w:val="none" w:sz="0" w:space="0" w:color="auto"/>
        <w:bottom w:val="none" w:sz="0" w:space="0" w:color="auto"/>
        <w:right w:val="none" w:sz="0" w:space="0" w:color="auto"/>
      </w:divBdr>
    </w:div>
    <w:div w:id="359087900">
      <w:marLeft w:val="0"/>
      <w:marRight w:val="0"/>
      <w:marTop w:val="80"/>
      <w:marBottom w:val="100"/>
      <w:divBdr>
        <w:top w:val="none" w:sz="0" w:space="0" w:color="auto"/>
        <w:left w:val="none" w:sz="0" w:space="0" w:color="auto"/>
        <w:bottom w:val="none" w:sz="0" w:space="0" w:color="auto"/>
        <w:right w:val="none" w:sz="0" w:space="0" w:color="auto"/>
      </w:divBdr>
    </w:div>
    <w:div w:id="360126981">
      <w:marLeft w:val="0"/>
      <w:marRight w:val="0"/>
      <w:marTop w:val="180"/>
      <w:marBottom w:val="0"/>
      <w:divBdr>
        <w:top w:val="none" w:sz="0" w:space="0" w:color="auto"/>
        <w:left w:val="none" w:sz="0" w:space="0" w:color="auto"/>
        <w:bottom w:val="none" w:sz="0" w:space="0" w:color="auto"/>
        <w:right w:val="none" w:sz="0" w:space="0" w:color="auto"/>
      </w:divBdr>
    </w:div>
    <w:div w:id="361707490">
      <w:marLeft w:val="0"/>
      <w:marRight w:val="0"/>
      <w:marTop w:val="180"/>
      <w:marBottom w:val="0"/>
      <w:divBdr>
        <w:top w:val="none" w:sz="0" w:space="0" w:color="auto"/>
        <w:left w:val="none" w:sz="0" w:space="0" w:color="auto"/>
        <w:bottom w:val="none" w:sz="0" w:space="0" w:color="auto"/>
        <w:right w:val="none" w:sz="0" w:space="0" w:color="auto"/>
      </w:divBdr>
    </w:div>
    <w:div w:id="362171298">
      <w:marLeft w:val="0"/>
      <w:marRight w:val="0"/>
      <w:marTop w:val="180"/>
      <w:marBottom w:val="0"/>
      <w:divBdr>
        <w:top w:val="none" w:sz="0" w:space="0" w:color="auto"/>
        <w:left w:val="none" w:sz="0" w:space="0" w:color="auto"/>
        <w:bottom w:val="none" w:sz="0" w:space="0" w:color="auto"/>
        <w:right w:val="none" w:sz="0" w:space="0" w:color="auto"/>
      </w:divBdr>
    </w:div>
    <w:div w:id="362750141">
      <w:marLeft w:val="0"/>
      <w:marRight w:val="0"/>
      <w:marTop w:val="0"/>
      <w:marBottom w:val="0"/>
      <w:divBdr>
        <w:top w:val="none" w:sz="0" w:space="0" w:color="auto"/>
        <w:left w:val="none" w:sz="0" w:space="0" w:color="auto"/>
        <w:bottom w:val="none" w:sz="0" w:space="0" w:color="auto"/>
        <w:right w:val="none" w:sz="0" w:space="0" w:color="auto"/>
      </w:divBdr>
    </w:div>
    <w:div w:id="363016174">
      <w:marLeft w:val="0"/>
      <w:marRight w:val="0"/>
      <w:marTop w:val="0"/>
      <w:marBottom w:val="0"/>
      <w:divBdr>
        <w:top w:val="none" w:sz="0" w:space="0" w:color="auto"/>
        <w:left w:val="none" w:sz="0" w:space="0" w:color="auto"/>
        <w:bottom w:val="none" w:sz="0" w:space="0" w:color="auto"/>
        <w:right w:val="none" w:sz="0" w:space="0" w:color="auto"/>
      </w:divBdr>
    </w:div>
    <w:div w:id="363135635">
      <w:marLeft w:val="0"/>
      <w:marRight w:val="0"/>
      <w:marTop w:val="0"/>
      <w:marBottom w:val="100"/>
      <w:divBdr>
        <w:top w:val="none" w:sz="0" w:space="0" w:color="auto"/>
        <w:left w:val="none" w:sz="0" w:space="0" w:color="auto"/>
        <w:bottom w:val="none" w:sz="0" w:space="0" w:color="auto"/>
        <w:right w:val="none" w:sz="0" w:space="0" w:color="auto"/>
      </w:divBdr>
    </w:div>
    <w:div w:id="363603450">
      <w:marLeft w:val="0"/>
      <w:marRight w:val="0"/>
      <w:marTop w:val="100"/>
      <w:marBottom w:val="100"/>
      <w:divBdr>
        <w:top w:val="none" w:sz="0" w:space="0" w:color="auto"/>
        <w:left w:val="none" w:sz="0" w:space="0" w:color="auto"/>
        <w:bottom w:val="none" w:sz="0" w:space="0" w:color="auto"/>
        <w:right w:val="none" w:sz="0" w:space="0" w:color="auto"/>
      </w:divBdr>
    </w:div>
    <w:div w:id="366372447">
      <w:marLeft w:val="0"/>
      <w:marRight w:val="0"/>
      <w:marTop w:val="0"/>
      <w:marBottom w:val="0"/>
      <w:divBdr>
        <w:top w:val="none" w:sz="0" w:space="0" w:color="auto"/>
        <w:left w:val="none" w:sz="0" w:space="0" w:color="auto"/>
        <w:bottom w:val="none" w:sz="0" w:space="0" w:color="auto"/>
        <w:right w:val="none" w:sz="0" w:space="0" w:color="auto"/>
      </w:divBdr>
    </w:div>
    <w:div w:id="367528321">
      <w:marLeft w:val="0"/>
      <w:marRight w:val="0"/>
      <w:marTop w:val="0"/>
      <w:marBottom w:val="100"/>
      <w:divBdr>
        <w:top w:val="none" w:sz="0" w:space="0" w:color="auto"/>
        <w:left w:val="none" w:sz="0" w:space="0" w:color="auto"/>
        <w:bottom w:val="none" w:sz="0" w:space="0" w:color="auto"/>
        <w:right w:val="none" w:sz="0" w:space="0" w:color="auto"/>
      </w:divBdr>
    </w:div>
    <w:div w:id="371075165">
      <w:marLeft w:val="0"/>
      <w:marRight w:val="0"/>
      <w:marTop w:val="0"/>
      <w:marBottom w:val="0"/>
      <w:divBdr>
        <w:top w:val="none" w:sz="0" w:space="0" w:color="auto"/>
        <w:left w:val="none" w:sz="0" w:space="0" w:color="auto"/>
        <w:bottom w:val="none" w:sz="0" w:space="0" w:color="auto"/>
        <w:right w:val="none" w:sz="0" w:space="0" w:color="auto"/>
      </w:divBdr>
    </w:div>
    <w:div w:id="373581574">
      <w:marLeft w:val="0"/>
      <w:marRight w:val="0"/>
      <w:marTop w:val="100"/>
      <w:marBottom w:val="100"/>
      <w:divBdr>
        <w:top w:val="none" w:sz="0" w:space="0" w:color="auto"/>
        <w:left w:val="none" w:sz="0" w:space="0" w:color="auto"/>
        <w:bottom w:val="none" w:sz="0" w:space="0" w:color="auto"/>
        <w:right w:val="none" w:sz="0" w:space="0" w:color="auto"/>
      </w:divBdr>
    </w:div>
    <w:div w:id="375206268">
      <w:marLeft w:val="0"/>
      <w:marRight w:val="0"/>
      <w:marTop w:val="0"/>
      <w:marBottom w:val="100"/>
      <w:divBdr>
        <w:top w:val="none" w:sz="0" w:space="0" w:color="auto"/>
        <w:left w:val="none" w:sz="0" w:space="0" w:color="auto"/>
        <w:bottom w:val="none" w:sz="0" w:space="0" w:color="auto"/>
        <w:right w:val="none" w:sz="0" w:space="0" w:color="auto"/>
      </w:divBdr>
    </w:div>
    <w:div w:id="375592699">
      <w:marLeft w:val="0"/>
      <w:marRight w:val="0"/>
      <w:marTop w:val="100"/>
      <w:marBottom w:val="100"/>
      <w:divBdr>
        <w:top w:val="none" w:sz="0" w:space="0" w:color="auto"/>
        <w:left w:val="none" w:sz="0" w:space="0" w:color="auto"/>
        <w:bottom w:val="none" w:sz="0" w:space="0" w:color="auto"/>
        <w:right w:val="none" w:sz="0" w:space="0" w:color="auto"/>
      </w:divBdr>
    </w:div>
    <w:div w:id="376202160">
      <w:marLeft w:val="0"/>
      <w:marRight w:val="0"/>
      <w:marTop w:val="0"/>
      <w:marBottom w:val="100"/>
      <w:divBdr>
        <w:top w:val="none" w:sz="0" w:space="0" w:color="auto"/>
        <w:left w:val="none" w:sz="0" w:space="0" w:color="auto"/>
        <w:bottom w:val="none" w:sz="0" w:space="0" w:color="auto"/>
        <w:right w:val="none" w:sz="0" w:space="0" w:color="auto"/>
      </w:divBdr>
    </w:div>
    <w:div w:id="378093035">
      <w:marLeft w:val="0"/>
      <w:marRight w:val="0"/>
      <w:marTop w:val="0"/>
      <w:marBottom w:val="0"/>
      <w:divBdr>
        <w:top w:val="none" w:sz="0" w:space="0" w:color="auto"/>
        <w:left w:val="none" w:sz="0" w:space="0" w:color="auto"/>
        <w:bottom w:val="none" w:sz="0" w:space="0" w:color="auto"/>
        <w:right w:val="none" w:sz="0" w:space="0" w:color="auto"/>
      </w:divBdr>
      <w:divsChild>
        <w:div w:id="1237476673">
          <w:marLeft w:val="0"/>
          <w:marRight w:val="0"/>
          <w:marTop w:val="0"/>
          <w:marBottom w:val="0"/>
          <w:divBdr>
            <w:top w:val="none" w:sz="0" w:space="0" w:color="auto"/>
            <w:left w:val="none" w:sz="0" w:space="0" w:color="auto"/>
            <w:bottom w:val="none" w:sz="0" w:space="0" w:color="auto"/>
            <w:right w:val="none" w:sz="0" w:space="0" w:color="auto"/>
          </w:divBdr>
          <w:divsChild>
            <w:div w:id="98411943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80519286">
      <w:marLeft w:val="0"/>
      <w:marRight w:val="0"/>
      <w:marTop w:val="100"/>
      <w:marBottom w:val="0"/>
      <w:divBdr>
        <w:top w:val="none" w:sz="0" w:space="0" w:color="auto"/>
        <w:left w:val="none" w:sz="0" w:space="0" w:color="auto"/>
        <w:bottom w:val="none" w:sz="0" w:space="0" w:color="auto"/>
        <w:right w:val="none" w:sz="0" w:space="0" w:color="auto"/>
      </w:divBdr>
    </w:div>
    <w:div w:id="386219624">
      <w:marLeft w:val="0"/>
      <w:marRight w:val="0"/>
      <w:marTop w:val="100"/>
      <w:marBottom w:val="100"/>
      <w:divBdr>
        <w:top w:val="none" w:sz="0" w:space="0" w:color="auto"/>
        <w:left w:val="none" w:sz="0" w:space="0" w:color="auto"/>
        <w:bottom w:val="none" w:sz="0" w:space="0" w:color="auto"/>
        <w:right w:val="none" w:sz="0" w:space="0" w:color="auto"/>
      </w:divBdr>
    </w:div>
    <w:div w:id="386953731">
      <w:marLeft w:val="0"/>
      <w:marRight w:val="0"/>
      <w:marTop w:val="0"/>
      <w:marBottom w:val="0"/>
      <w:divBdr>
        <w:top w:val="none" w:sz="0" w:space="0" w:color="auto"/>
        <w:left w:val="none" w:sz="0" w:space="0" w:color="auto"/>
        <w:bottom w:val="none" w:sz="0" w:space="0" w:color="auto"/>
        <w:right w:val="none" w:sz="0" w:space="0" w:color="auto"/>
      </w:divBdr>
      <w:divsChild>
        <w:div w:id="657272619">
          <w:marLeft w:val="0"/>
          <w:marRight w:val="0"/>
          <w:marTop w:val="0"/>
          <w:marBottom w:val="100"/>
          <w:divBdr>
            <w:top w:val="none" w:sz="0" w:space="0" w:color="auto"/>
            <w:left w:val="none" w:sz="0" w:space="0" w:color="auto"/>
            <w:bottom w:val="none" w:sz="0" w:space="0" w:color="auto"/>
            <w:right w:val="none" w:sz="0" w:space="0" w:color="auto"/>
          </w:divBdr>
        </w:div>
      </w:divsChild>
    </w:div>
    <w:div w:id="387149136">
      <w:marLeft w:val="0"/>
      <w:marRight w:val="0"/>
      <w:marTop w:val="100"/>
      <w:marBottom w:val="0"/>
      <w:divBdr>
        <w:top w:val="none" w:sz="0" w:space="0" w:color="auto"/>
        <w:left w:val="none" w:sz="0" w:space="0" w:color="auto"/>
        <w:bottom w:val="none" w:sz="0" w:space="0" w:color="auto"/>
        <w:right w:val="none" w:sz="0" w:space="0" w:color="auto"/>
      </w:divBdr>
    </w:div>
    <w:div w:id="388961832">
      <w:marLeft w:val="0"/>
      <w:marRight w:val="0"/>
      <w:marTop w:val="0"/>
      <w:marBottom w:val="100"/>
      <w:divBdr>
        <w:top w:val="none" w:sz="0" w:space="0" w:color="auto"/>
        <w:left w:val="none" w:sz="0" w:space="0" w:color="auto"/>
        <w:bottom w:val="none" w:sz="0" w:space="0" w:color="auto"/>
        <w:right w:val="none" w:sz="0" w:space="0" w:color="auto"/>
      </w:divBdr>
    </w:div>
    <w:div w:id="390155113">
      <w:marLeft w:val="0"/>
      <w:marRight w:val="0"/>
      <w:marTop w:val="100"/>
      <w:marBottom w:val="0"/>
      <w:divBdr>
        <w:top w:val="none" w:sz="0" w:space="0" w:color="auto"/>
        <w:left w:val="none" w:sz="0" w:space="0" w:color="auto"/>
        <w:bottom w:val="none" w:sz="0" w:space="0" w:color="auto"/>
        <w:right w:val="none" w:sz="0" w:space="0" w:color="auto"/>
      </w:divBdr>
    </w:div>
    <w:div w:id="393509099">
      <w:marLeft w:val="0"/>
      <w:marRight w:val="0"/>
      <w:marTop w:val="180"/>
      <w:marBottom w:val="0"/>
      <w:divBdr>
        <w:top w:val="none" w:sz="0" w:space="0" w:color="auto"/>
        <w:left w:val="none" w:sz="0" w:space="0" w:color="auto"/>
        <w:bottom w:val="none" w:sz="0" w:space="0" w:color="auto"/>
        <w:right w:val="none" w:sz="0" w:space="0" w:color="auto"/>
      </w:divBdr>
    </w:div>
    <w:div w:id="394595980">
      <w:marLeft w:val="0"/>
      <w:marRight w:val="0"/>
      <w:marTop w:val="0"/>
      <w:marBottom w:val="0"/>
      <w:divBdr>
        <w:top w:val="none" w:sz="0" w:space="0" w:color="auto"/>
        <w:left w:val="none" w:sz="0" w:space="0" w:color="auto"/>
        <w:bottom w:val="none" w:sz="0" w:space="0" w:color="auto"/>
        <w:right w:val="none" w:sz="0" w:space="0" w:color="auto"/>
      </w:divBdr>
    </w:div>
    <w:div w:id="398871439">
      <w:marLeft w:val="0"/>
      <w:marRight w:val="0"/>
      <w:marTop w:val="90"/>
      <w:marBottom w:val="90"/>
      <w:divBdr>
        <w:top w:val="none" w:sz="0" w:space="0" w:color="auto"/>
        <w:left w:val="none" w:sz="0" w:space="0" w:color="auto"/>
        <w:bottom w:val="none" w:sz="0" w:space="0" w:color="auto"/>
        <w:right w:val="none" w:sz="0" w:space="0" w:color="auto"/>
      </w:divBdr>
    </w:div>
    <w:div w:id="399715980">
      <w:marLeft w:val="0"/>
      <w:marRight w:val="0"/>
      <w:marTop w:val="180"/>
      <w:marBottom w:val="0"/>
      <w:divBdr>
        <w:top w:val="none" w:sz="0" w:space="0" w:color="auto"/>
        <w:left w:val="none" w:sz="0" w:space="0" w:color="auto"/>
        <w:bottom w:val="none" w:sz="0" w:space="0" w:color="auto"/>
        <w:right w:val="none" w:sz="0" w:space="0" w:color="auto"/>
      </w:divBdr>
    </w:div>
    <w:div w:id="400568134">
      <w:marLeft w:val="0"/>
      <w:marRight w:val="0"/>
      <w:marTop w:val="100"/>
      <w:marBottom w:val="100"/>
      <w:divBdr>
        <w:top w:val="none" w:sz="0" w:space="0" w:color="auto"/>
        <w:left w:val="none" w:sz="0" w:space="0" w:color="auto"/>
        <w:bottom w:val="none" w:sz="0" w:space="0" w:color="auto"/>
        <w:right w:val="none" w:sz="0" w:space="0" w:color="auto"/>
      </w:divBdr>
    </w:div>
    <w:div w:id="401761201">
      <w:marLeft w:val="0"/>
      <w:marRight w:val="0"/>
      <w:marTop w:val="100"/>
      <w:marBottom w:val="0"/>
      <w:divBdr>
        <w:top w:val="none" w:sz="0" w:space="0" w:color="auto"/>
        <w:left w:val="none" w:sz="0" w:space="0" w:color="auto"/>
        <w:bottom w:val="none" w:sz="0" w:space="0" w:color="auto"/>
        <w:right w:val="none" w:sz="0" w:space="0" w:color="auto"/>
      </w:divBdr>
    </w:div>
    <w:div w:id="402795087">
      <w:marLeft w:val="0"/>
      <w:marRight w:val="0"/>
      <w:marTop w:val="0"/>
      <w:marBottom w:val="0"/>
      <w:divBdr>
        <w:top w:val="none" w:sz="0" w:space="0" w:color="auto"/>
        <w:left w:val="none" w:sz="0" w:space="0" w:color="auto"/>
        <w:bottom w:val="none" w:sz="0" w:space="0" w:color="auto"/>
        <w:right w:val="none" w:sz="0" w:space="0" w:color="auto"/>
      </w:divBdr>
    </w:div>
    <w:div w:id="403915465">
      <w:marLeft w:val="0"/>
      <w:marRight w:val="0"/>
      <w:marTop w:val="100"/>
      <w:marBottom w:val="120"/>
      <w:divBdr>
        <w:top w:val="none" w:sz="0" w:space="0" w:color="auto"/>
        <w:left w:val="none" w:sz="0" w:space="0" w:color="auto"/>
        <w:bottom w:val="none" w:sz="0" w:space="0" w:color="auto"/>
        <w:right w:val="none" w:sz="0" w:space="0" w:color="auto"/>
      </w:divBdr>
    </w:div>
    <w:div w:id="405498911">
      <w:marLeft w:val="0"/>
      <w:marRight w:val="0"/>
      <w:marTop w:val="0"/>
      <w:marBottom w:val="100"/>
      <w:divBdr>
        <w:top w:val="none" w:sz="0" w:space="0" w:color="auto"/>
        <w:left w:val="none" w:sz="0" w:space="0" w:color="auto"/>
        <w:bottom w:val="none" w:sz="0" w:space="0" w:color="auto"/>
        <w:right w:val="none" w:sz="0" w:space="0" w:color="auto"/>
      </w:divBdr>
    </w:div>
    <w:div w:id="406420529">
      <w:marLeft w:val="0"/>
      <w:marRight w:val="0"/>
      <w:marTop w:val="0"/>
      <w:marBottom w:val="100"/>
      <w:divBdr>
        <w:top w:val="none" w:sz="0" w:space="0" w:color="auto"/>
        <w:left w:val="none" w:sz="0" w:space="0" w:color="auto"/>
        <w:bottom w:val="none" w:sz="0" w:space="0" w:color="auto"/>
        <w:right w:val="none" w:sz="0" w:space="0" w:color="auto"/>
      </w:divBdr>
    </w:div>
    <w:div w:id="409273082">
      <w:marLeft w:val="0"/>
      <w:marRight w:val="0"/>
      <w:marTop w:val="100"/>
      <w:marBottom w:val="100"/>
      <w:divBdr>
        <w:top w:val="none" w:sz="0" w:space="0" w:color="auto"/>
        <w:left w:val="none" w:sz="0" w:space="0" w:color="auto"/>
        <w:bottom w:val="none" w:sz="0" w:space="0" w:color="auto"/>
        <w:right w:val="none" w:sz="0" w:space="0" w:color="auto"/>
      </w:divBdr>
    </w:div>
    <w:div w:id="411777899">
      <w:marLeft w:val="0"/>
      <w:marRight w:val="0"/>
      <w:marTop w:val="0"/>
      <w:marBottom w:val="100"/>
      <w:divBdr>
        <w:top w:val="none" w:sz="0" w:space="0" w:color="auto"/>
        <w:left w:val="none" w:sz="0" w:space="0" w:color="auto"/>
        <w:bottom w:val="none" w:sz="0" w:space="0" w:color="auto"/>
        <w:right w:val="none" w:sz="0" w:space="0" w:color="auto"/>
      </w:divBdr>
    </w:div>
    <w:div w:id="412703929">
      <w:marLeft w:val="0"/>
      <w:marRight w:val="0"/>
      <w:marTop w:val="0"/>
      <w:marBottom w:val="100"/>
      <w:divBdr>
        <w:top w:val="none" w:sz="0" w:space="0" w:color="auto"/>
        <w:left w:val="none" w:sz="0" w:space="0" w:color="auto"/>
        <w:bottom w:val="none" w:sz="0" w:space="0" w:color="auto"/>
        <w:right w:val="none" w:sz="0" w:space="0" w:color="auto"/>
      </w:divBdr>
    </w:div>
    <w:div w:id="412897585">
      <w:marLeft w:val="0"/>
      <w:marRight w:val="0"/>
      <w:marTop w:val="0"/>
      <w:marBottom w:val="0"/>
      <w:divBdr>
        <w:top w:val="none" w:sz="0" w:space="0" w:color="auto"/>
        <w:left w:val="none" w:sz="0" w:space="0" w:color="auto"/>
        <w:bottom w:val="none" w:sz="0" w:space="0" w:color="auto"/>
        <w:right w:val="none" w:sz="0" w:space="0" w:color="auto"/>
      </w:divBdr>
      <w:divsChild>
        <w:div w:id="598294817">
          <w:marLeft w:val="0"/>
          <w:marRight w:val="0"/>
          <w:marTop w:val="0"/>
          <w:marBottom w:val="0"/>
          <w:divBdr>
            <w:top w:val="none" w:sz="0" w:space="0" w:color="auto"/>
            <w:left w:val="none" w:sz="0" w:space="0" w:color="auto"/>
            <w:bottom w:val="none" w:sz="0" w:space="0" w:color="auto"/>
            <w:right w:val="none" w:sz="0" w:space="0" w:color="auto"/>
          </w:divBdr>
          <w:divsChild>
            <w:div w:id="105763263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13940309">
      <w:marLeft w:val="0"/>
      <w:marRight w:val="0"/>
      <w:marTop w:val="0"/>
      <w:marBottom w:val="100"/>
      <w:divBdr>
        <w:top w:val="none" w:sz="0" w:space="0" w:color="auto"/>
        <w:left w:val="none" w:sz="0" w:space="0" w:color="auto"/>
        <w:bottom w:val="none" w:sz="0" w:space="0" w:color="auto"/>
        <w:right w:val="none" w:sz="0" w:space="0" w:color="auto"/>
      </w:divBdr>
    </w:div>
    <w:div w:id="414523487">
      <w:marLeft w:val="0"/>
      <w:marRight w:val="0"/>
      <w:marTop w:val="0"/>
      <w:marBottom w:val="0"/>
      <w:divBdr>
        <w:top w:val="none" w:sz="0" w:space="0" w:color="auto"/>
        <w:left w:val="none" w:sz="0" w:space="0" w:color="auto"/>
        <w:bottom w:val="none" w:sz="0" w:space="0" w:color="auto"/>
        <w:right w:val="none" w:sz="0" w:space="0" w:color="auto"/>
      </w:divBdr>
      <w:divsChild>
        <w:div w:id="2124616512">
          <w:marLeft w:val="0"/>
          <w:marRight w:val="0"/>
          <w:marTop w:val="0"/>
          <w:marBottom w:val="0"/>
          <w:divBdr>
            <w:top w:val="none" w:sz="0" w:space="0" w:color="auto"/>
            <w:left w:val="none" w:sz="0" w:space="0" w:color="auto"/>
            <w:bottom w:val="none" w:sz="0" w:space="0" w:color="auto"/>
            <w:right w:val="none" w:sz="0" w:space="0" w:color="auto"/>
          </w:divBdr>
          <w:divsChild>
            <w:div w:id="18197651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18065485">
      <w:marLeft w:val="0"/>
      <w:marRight w:val="0"/>
      <w:marTop w:val="100"/>
      <w:marBottom w:val="100"/>
      <w:divBdr>
        <w:top w:val="none" w:sz="0" w:space="0" w:color="auto"/>
        <w:left w:val="none" w:sz="0" w:space="0" w:color="auto"/>
        <w:bottom w:val="none" w:sz="0" w:space="0" w:color="auto"/>
        <w:right w:val="none" w:sz="0" w:space="0" w:color="auto"/>
      </w:divBdr>
    </w:div>
    <w:div w:id="418185924">
      <w:marLeft w:val="0"/>
      <w:marRight w:val="0"/>
      <w:marTop w:val="0"/>
      <w:marBottom w:val="100"/>
      <w:divBdr>
        <w:top w:val="none" w:sz="0" w:space="0" w:color="auto"/>
        <w:left w:val="none" w:sz="0" w:space="0" w:color="auto"/>
        <w:bottom w:val="none" w:sz="0" w:space="0" w:color="auto"/>
        <w:right w:val="none" w:sz="0" w:space="0" w:color="auto"/>
      </w:divBdr>
    </w:div>
    <w:div w:id="418255977">
      <w:marLeft w:val="0"/>
      <w:marRight w:val="0"/>
      <w:marTop w:val="180"/>
      <w:marBottom w:val="0"/>
      <w:divBdr>
        <w:top w:val="none" w:sz="0" w:space="0" w:color="auto"/>
        <w:left w:val="none" w:sz="0" w:space="0" w:color="auto"/>
        <w:bottom w:val="none" w:sz="0" w:space="0" w:color="auto"/>
        <w:right w:val="none" w:sz="0" w:space="0" w:color="auto"/>
      </w:divBdr>
    </w:div>
    <w:div w:id="419445332">
      <w:marLeft w:val="0"/>
      <w:marRight w:val="0"/>
      <w:marTop w:val="100"/>
      <w:marBottom w:val="0"/>
      <w:divBdr>
        <w:top w:val="none" w:sz="0" w:space="0" w:color="auto"/>
        <w:left w:val="none" w:sz="0" w:space="0" w:color="auto"/>
        <w:bottom w:val="none" w:sz="0" w:space="0" w:color="auto"/>
        <w:right w:val="none" w:sz="0" w:space="0" w:color="auto"/>
      </w:divBdr>
    </w:div>
    <w:div w:id="420445126">
      <w:marLeft w:val="0"/>
      <w:marRight w:val="0"/>
      <w:marTop w:val="100"/>
      <w:marBottom w:val="100"/>
      <w:divBdr>
        <w:top w:val="none" w:sz="0" w:space="0" w:color="auto"/>
        <w:left w:val="none" w:sz="0" w:space="0" w:color="auto"/>
        <w:bottom w:val="none" w:sz="0" w:space="0" w:color="auto"/>
        <w:right w:val="none" w:sz="0" w:space="0" w:color="auto"/>
      </w:divBdr>
    </w:div>
    <w:div w:id="420494390">
      <w:marLeft w:val="0"/>
      <w:marRight w:val="0"/>
      <w:marTop w:val="0"/>
      <w:marBottom w:val="100"/>
      <w:divBdr>
        <w:top w:val="none" w:sz="0" w:space="0" w:color="auto"/>
        <w:left w:val="none" w:sz="0" w:space="0" w:color="auto"/>
        <w:bottom w:val="none" w:sz="0" w:space="0" w:color="auto"/>
        <w:right w:val="none" w:sz="0" w:space="0" w:color="auto"/>
      </w:divBdr>
    </w:div>
    <w:div w:id="420835412">
      <w:marLeft w:val="0"/>
      <w:marRight w:val="0"/>
      <w:marTop w:val="180"/>
      <w:marBottom w:val="0"/>
      <w:divBdr>
        <w:top w:val="none" w:sz="0" w:space="0" w:color="auto"/>
        <w:left w:val="none" w:sz="0" w:space="0" w:color="auto"/>
        <w:bottom w:val="none" w:sz="0" w:space="0" w:color="auto"/>
        <w:right w:val="none" w:sz="0" w:space="0" w:color="auto"/>
      </w:divBdr>
    </w:div>
    <w:div w:id="421493558">
      <w:marLeft w:val="0"/>
      <w:marRight w:val="0"/>
      <w:marTop w:val="180"/>
      <w:marBottom w:val="0"/>
      <w:divBdr>
        <w:top w:val="none" w:sz="0" w:space="0" w:color="auto"/>
        <w:left w:val="none" w:sz="0" w:space="0" w:color="auto"/>
        <w:bottom w:val="none" w:sz="0" w:space="0" w:color="auto"/>
        <w:right w:val="none" w:sz="0" w:space="0" w:color="auto"/>
      </w:divBdr>
    </w:div>
    <w:div w:id="421530646">
      <w:marLeft w:val="0"/>
      <w:marRight w:val="0"/>
      <w:marTop w:val="180"/>
      <w:marBottom w:val="100"/>
      <w:divBdr>
        <w:top w:val="none" w:sz="0" w:space="0" w:color="auto"/>
        <w:left w:val="none" w:sz="0" w:space="0" w:color="auto"/>
        <w:bottom w:val="none" w:sz="0" w:space="0" w:color="auto"/>
        <w:right w:val="none" w:sz="0" w:space="0" w:color="auto"/>
      </w:divBdr>
    </w:div>
    <w:div w:id="422411234">
      <w:marLeft w:val="0"/>
      <w:marRight w:val="0"/>
      <w:marTop w:val="0"/>
      <w:marBottom w:val="0"/>
      <w:divBdr>
        <w:top w:val="none" w:sz="0" w:space="0" w:color="auto"/>
        <w:left w:val="none" w:sz="0" w:space="0" w:color="auto"/>
        <w:bottom w:val="none" w:sz="0" w:space="0" w:color="auto"/>
        <w:right w:val="none" w:sz="0" w:space="0" w:color="auto"/>
      </w:divBdr>
    </w:div>
    <w:div w:id="424762262">
      <w:marLeft w:val="0"/>
      <w:marRight w:val="0"/>
      <w:marTop w:val="0"/>
      <w:marBottom w:val="0"/>
      <w:divBdr>
        <w:top w:val="none" w:sz="0" w:space="0" w:color="auto"/>
        <w:left w:val="none" w:sz="0" w:space="0" w:color="auto"/>
        <w:bottom w:val="none" w:sz="0" w:space="0" w:color="auto"/>
        <w:right w:val="none" w:sz="0" w:space="0" w:color="auto"/>
      </w:divBdr>
    </w:div>
    <w:div w:id="425735775">
      <w:marLeft w:val="0"/>
      <w:marRight w:val="0"/>
      <w:marTop w:val="0"/>
      <w:marBottom w:val="100"/>
      <w:divBdr>
        <w:top w:val="none" w:sz="0" w:space="0" w:color="auto"/>
        <w:left w:val="none" w:sz="0" w:space="0" w:color="auto"/>
        <w:bottom w:val="none" w:sz="0" w:space="0" w:color="auto"/>
        <w:right w:val="none" w:sz="0" w:space="0" w:color="auto"/>
      </w:divBdr>
    </w:div>
    <w:div w:id="426653644">
      <w:marLeft w:val="0"/>
      <w:marRight w:val="0"/>
      <w:marTop w:val="0"/>
      <w:marBottom w:val="100"/>
      <w:divBdr>
        <w:top w:val="none" w:sz="0" w:space="0" w:color="auto"/>
        <w:left w:val="none" w:sz="0" w:space="0" w:color="auto"/>
        <w:bottom w:val="none" w:sz="0" w:space="0" w:color="auto"/>
        <w:right w:val="none" w:sz="0" w:space="0" w:color="auto"/>
      </w:divBdr>
    </w:div>
    <w:div w:id="427115867">
      <w:marLeft w:val="0"/>
      <w:marRight w:val="0"/>
      <w:marTop w:val="180"/>
      <w:marBottom w:val="0"/>
      <w:divBdr>
        <w:top w:val="none" w:sz="0" w:space="0" w:color="auto"/>
        <w:left w:val="none" w:sz="0" w:space="0" w:color="auto"/>
        <w:bottom w:val="none" w:sz="0" w:space="0" w:color="auto"/>
        <w:right w:val="none" w:sz="0" w:space="0" w:color="auto"/>
      </w:divBdr>
    </w:div>
    <w:div w:id="427309602">
      <w:marLeft w:val="0"/>
      <w:marRight w:val="0"/>
      <w:marTop w:val="0"/>
      <w:marBottom w:val="100"/>
      <w:divBdr>
        <w:top w:val="none" w:sz="0" w:space="0" w:color="auto"/>
        <w:left w:val="none" w:sz="0" w:space="0" w:color="auto"/>
        <w:bottom w:val="none" w:sz="0" w:space="0" w:color="auto"/>
        <w:right w:val="none" w:sz="0" w:space="0" w:color="auto"/>
      </w:divBdr>
    </w:div>
    <w:div w:id="428887482">
      <w:marLeft w:val="0"/>
      <w:marRight w:val="0"/>
      <w:marTop w:val="100"/>
      <w:marBottom w:val="100"/>
      <w:divBdr>
        <w:top w:val="none" w:sz="0" w:space="0" w:color="auto"/>
        <w:left w:val="none" w:sz="0" w:space="0" w:color="auto"/>
        <w:bottom w:val="none" w:sz="0" w:space="0" w:color="auto"/>
        <w:right w:val="none" w:sz="0" w:space="0" w:color="auto"/>
      </w:divBdr>
    </w:div>
    <w:div w:id="429861654">
      <w:marLeft w:val="0"/>
      <w:marRight w:val="0"/>
      <w:marTop w:val="0"/>
      <w:marBottom w:val="100"/>
      <w:divBdr>
        <w:top w:val="none" w:sz="0" w:space="0" w:color="auto"/>
        <w:left w:val="none" w:sz="0" w:space="0" w:color="auto"/>
        <w:bottom w:val="none" w:sz="0" w:space="0" w:color="auto"/>
        <w:right w:val="none" w:sz="0" w:space="0" w:color="auto"/>
      </w:divBdr>
    </w:div>
    <w:div w:id="433327536">
      <w:marLeft w:val="0"/>
      <w:marRight w:val="0"/>
      <w:marTop w:val="100"/>
      <w:marBottom w:val="100"/>
      <w:divBdr>
        <w:top w:val="none" w:sz="0" w:space="0" w:color="auto"/>
        <w:left w:val="none" w:sz="0" w:space="0" w:color="auto"/>
        <w:bottom w:val="none" w:sz="0" w:space="0" w:color="auto"/>
        <w:right w:val="none" w:sz="0" w:space="0" w:color="auto"/>
      </w:divBdr>
    </w:div>
    <w:div w:id="433668913">
      <w:marLeft w:val="0"/>
      <w:marRight w:val="0"/>
      <w:marTop w:val="100"/>
      <w:marBottom w:val="100"/>
      <w:divBdr>
        <w:top w:val="none" w:sz="0" w:space="0" w:color="auto"/>
        <w:left w:val="none" w:sz="0" w:space="0" w:color="auto"/>
        <w:bottom w:val="none" w:sz="0" w:space="0" w:color="auto"/>
        <w:right w:val="none" w:sz="0" w:space="0" w:color="auto"/>
      </w:divBdr>
    </w:div>
    <w:div w:id="434252271">
      <w:marLeft w:val="0"/>
      <w:marRight w:val="0"/>
      <w:marTop w:val="180"/>
      <w:marBottom w:val="0"/>
      <w:divBdr>
        <w:top w:val="none" w:sz="0" w:space="0" w:color="auto"/>
        <w:left w:val="none" w:sz="0" w:space="0" w:color="auto"/>
        <w:bottom w:val="none" w:sz="0" w:space="0" w:color="auto"/>
        <w:right w:val="none" w:sz="0" w:space="0" w:color="auto"/>
      </w:divBdr>
    </w:div>
    <w:div w:id="435444119">
      <w:marLeft w:val="0"/>
      <w:marRight w:val="0"/>
      <w:marTop w:val="0"/>
      <w:marBottom w:val="100"/>
      <w:divBdr>
        <w:top w:val="none" w:sz="0" w:space="0" w:color="auto"/>
        <w:left w:val="none" w:sz="0" w:space="0" w:color="auto"/>
        <w:bottom w:val="none" w:sz="0" w:space="0" w:color="auto"/>
        <w:right w:val="none" w:sz="0" w:space="0" w:color="auto"/>
      </w:divBdr>
    </w:div>
    <w:div w:id="437943589">
      <w:marLeft w:val="0"/>
      <w:marRight w:val="0"/>
      <w:marTop w:val="0"/>
      <w:marBottom w:val="0"/>
      <w:divBdr>
        <w:top w:val="none" w:sz="0" w:space="0" w:color="auto"/>
        <w:left w:val="none" w:sz="0" w:space="0" w:color="auto"/>
        <w:bottom w:val="none" w:sz="0" w:space="0" w:color="auto"/>
        <w:right w:val="none" w:sz="0" w:space="0" w:color="auto"/>
      </w:divBdr>
      <w:divsChild>
        <w:div w:id="35282201">
          <w:marLeft w:val="0"/>
          <w:marRight w:val="0"/>
          <w:marTop w:val="0"/>
          <w:marBottom w:val="100"/>
          <w:divBdr>
            <w:top w:val="none" w:sz="0" w:space="0" w:color="auto"/>
            <w:left w:val="none" w:sz="0" w:space="0" w:color="auto"/>
            <w:bottom w:val="none" w:sz="0" w:space="0" w:color="auto"/>
            <w:right w:val="none" w:sz="0" w:space="0" w:color="auto"/>
          </w:divBdr>
        </w:div>
      </w:divsChild>
    </w:div>
    <w:div w:id="438455746">
      <w:marLeft w:val="0"/>
      <w:marRight w:val="0"/>
      <w:marTop w:val="80"/>
      <w:marBottom w:val="100"/>
      <w:divBdr>
        <w:top w:val="none" w:sz="0" w:space="0" w:color="auto"/>
        <w:left w:val="none" w:sz="0" w:space="0" w:color="auto"/>
        <w:bottom w:val="none" w:sz="0" w:space="0" w:color="auto"/>
        <w:right w:val="none" w:sz="0" w:space="0" w:color="auto"/>
      </w:divBdr>
    </w:div>
    <w:div w:id="439834434">
      <w:marLeft w:val="0"/>
      <w:marRight w:val="0"/>
      <w:marTop w:val="100"/>
      <w:marBottom w:val="100"/>
      <w:divBdr>
        <w:top w:val="none" w:sz="0" w:space="0" w:color="auto"/>
        <w:left w:val="none" w:sz="0" w:space="0" w:color="auto"/>
        <w:bottom w:val="none" w:sz="0" w:space="0" w:color="auto"/>
        <w:right w:val="none" w:sz="0" w:space="0" w:color="auto"/>
      </w:divBdr>
    </w:div>
    <w:div w:id="441801953">
      <w:marLeft w:val="0"/>
      <w:marRight w:val="0"/>
      <w:marTop w:val="0"/>
      <w:marBottom w:val="100"/>
      <w:divBdr>
        <w:top w:val="none" w:sz="0" w:space="0" w:color="auto"/>
        <w:left w:val="none" w:sz="0" w:space="0" w:color="auto"/>
        <w:bottom w:val="none" w:sz="0" w:space="0" w:color="auto"/>
        <w:right w:val="none" w:sz="0" w:space="0" w:color="auto"/>
      </w:divBdr>
    </w:div>
    <w:div w:id="442770389">
      <w:marLeft w:val="0"/>
      <w:marRight w:val="0"/>
      <w:marTop w:val="0"/>
      <w:marBottom w:val="100"/>
      <w:divBdr>
        <w:top w:val="none" w:sz="0" w:space="0" w:color="auto"/>
        <w:left w:val="none" w:sz="0" w:space="0" w:color="auto"/>
        <w:bottom w:val="none" w:sz="0" w:space="0" w:color="auto"/>
        <w:right w:val="none" w:sz="0" w:space="0" w:color="auto"/>
      </w:divBdr>
    </w:div>
    <w:div w:id="442771896">
      <w:marLeft w:val="0"/>
      <w:marRight w:val="0"/>
      <w:marTop w:val="180"/>
      <w:marBottom w:val="0"/>
      <w:divBdr>
        <w:top w:val="none" w:sz="0" w:space="0" w:color="auto"/>
        <w:left w:val="none" w:sz="0" w:space="0" w:color="auto"/>
        <w:bottom w:val="none" w:sz="0" w:space="0" w:color="auto"/>
        <w:right w:val="none" w:sz="0" w:space="0" w:color="auto"/>
      </w:divBdr>
    </w:div>
    <w:div w:id="443113797">
      <w:marLeft w:val="0"/>
      <w:marRight w:val="0"/>
      <w:marTop w:val="0"/>
      <w:marBottom w:val="100"/>
      <w:divBdr>
        <w:top w:val="none" w:sz="0" w:space="0" w:color="auto"/>
        <w:left w:val="none" w:sz="0" w:space="0" w:color="auto"/>
        <w:bottom w:val="none" w:sz="0" w:space="0" w:color="auto"/>
        <w:right w:val="none" w:sz="0" w:space="0" w:color="auto"/>
      </w:divBdr>
    </w:div>
    <w:div w:id="446193707">
      <w:marLeft w:val="0"/>
      <w:marRight w:val="0"/>
      <w:marTop w:val="0"/>
      <w:marBottom w:val="100"/>
      <w:divBdr>
        <w:top w:val="none" w:sz="0" w:space="0" w:color="auto"/>
        <w:left w:val="none" w:sz="0" w:space="0" w:color="auto"/>
        <w:bottom w:val="none" w:sz="0" w:space="0" w:color="auto"/>
        <w:right w:val="none" w:sz="0" w:space="0" w:color="auto"/>
      </w:divBdr>
    </w:div>
    <w:div w:id="448622419">
      <w:marLeft w:val="0"/>
      <w:marRight w:val="0"/>
      <w:marTop w:val="180"/>
      <w:marBottom w:val="100"/>
      <w:divBdr>
        <w:top w:val="none" w:sz="0" w:space="0" w:color="auto"/>
        <w:left w:val="none" w:sz="0" w:space="0" w:color="auto"/>
        <w:bottom w:val="none" w:sz="0" w:space="0" w:color="auto"/>
        <w:right w:val="none" w:sz="0" w:space="0" w:color="auto"/>
      </w:divBdr>
    </w:div>
    <w:div w:id="452557062">
      <w:marLeft w:val="0"/>
      <w:marRight w:val="0"/>
      <w:marTop w:val="0"/>
      <w:marBottom w:val="100"/>
      <w:divBdr>
        <w:top w:val="none" w:sz="0" w:space="0" w:color="auto"/>
        <w:left w:val="none" w:sz="0" w:space="0" w:color="auto"/>
        <w:bottom w:val="none" w:sz="0" w:space="0" w:color="auto"/>
        <w:right w:val="none" w:sz="0" w:space="0" w:color="auto"/>
      </w:divBdr>
    </w:div>
    <w:div w:id="453449552">
      <w:marLeft w:val="0"/>
      <w:marRight w:val="0"/>
      <w:marTop w:val="0"/>
      <w:marBottom w:val="100"/>
      <w:divBdr>
        <w:top w:val="none" w:sz="0" w:space="0" w:color="auto"/>
        <w:left w:val="none" w:sz="0" w:space="0" w:color="auto"/>
        <w:bottom w:val="none" w:sz="0" w:space="0" w:color="auto"/>
        <w:right w:val="none" w:sz="0" w:space="0" w:color="auto"/>
      </w:divBdr>
    </w:div>
    <w:div w:id="453524006">
      <w:marLeft w:val="0"/>
      <w:marRight w:val="0"/>
      <w:marTop w:val="0"/>
      <w:marBottom w:val="100"/>
      <w:divBdr>
        <w:top w:val="none" w:sz="0" w:space="0" w:color="auto"/>
        <w:left w:val="none" w:sz="0" w:space="0" w:color="auto"/>
        <w:bottom w:val="none" w:sz="0" w:space="0" w:color="auto"/>
        <w:right w:val="none" w:sz="0" w:space="0" w:color="auto"/>
      </w:divBdr>
    </w:div>
    <w:div w:id="453600588">
      <w:marLeft w:val="0"/>
      <w:marRight w:val="0"/>
      <w:marTop w:val="80"/>
      <w:marBottom w:val="100"/>
      <w:divBdr>
        <w:top w:val="none" w:sz="0" w:space="0" w:color="auto"/>
        <w:left w:val="none" w:sz="0" w:space="0" w:color="auto"/>
        <w:bottom w:val="none" w:sz="0" w:space="0" w:color="auto"/>
        <w:right w:val="none" w:sz="0" w:space="0" w:color="auto"/>
      </w:divBdr>
    </w:div>
    <w:div w:id="456876124">
      <w:marLeft w:val="0"/>
      <w:marRight w:val="0"/>
      <w:marTop w:val="0"/>
      <w:marBottom w:val="0"/>
      <w:divBdr>
        <w:top w:val="none" w:sz="0" w:space="0" w:color="auto"/>
        <w:left w:val="none" w:sz="0" w:space="0" w:color="auto"/>
        <w:bottom w:val="none" w:sz="0" w:space="0" w:color="auto"/>
        <w:right w:val="none" w:sz="0" w:space="0" w:color="auto"/>
      </w:divBdr>
    </w:div>
    <w:div w:id="456995253">
      <w:marLeft w:val="0"/>
      <w:marRight w:val="0"/>
      <w:marTop w:val="0"/>
      <w:marBottom w:val="100"/>
      <w:divBdr>
        <w:top w:val="none" w:sz="0" w:space="0" w:color="auto"/>
        <w:left w:val="none" w:sz="0" w:space="0" w:color="auto"/>
        <w:bottom w:val="none" w:sz="0" w:space="0" w:color="auto"/>
        <w:right w:val="none" w:sz="0" w:space="0" w:color="auto"/>
      </w:divBdr>
    </w:div>
    <w:div w:id="462038401">
      <w:marLeft w:val="0"/>
      <w:marRight w:val="0"/>
      <w:marTop w:val="0"/>
      <w:marBottom w:val="0"/>
      <w:divBdr>
        <w:top w:val="none" w:sz="0" w:space="0" w:color="auto"/>
        <w:left w:val="none" w:sz="0" w:space="0" w:color="auto"/>
        <w:bottom w:val="none" w:sz="0" w:space="0" w:color="auto"/>
        <w:right w:val="none" w:sz="0" w:space="0" w:color="auto"/>
      </w:divBdr>
    </w:div>
    <w:div w:id="462575621">
      <w:marLeft w:val="0"/>
      <w:marRight w:val="0"/>
      <w:marTop w:val="180"/>
      <w:marBottom w:val="0"/>
      <w:divBdr>
        <w:top w:val="none" w:sz="0" w:space="0" w:color="auto"/>
        <w:left w:val="none" w:sz="0" w:space="0" w:color="auto"/>
        <w:bottom w:val="none" w:sz="0" w:space="0" w:color="auto"/>
        <w:right w:val="none" w:sz="0" w:space="0" w:color="auto"/>
      </w:divBdr>
    </w:div>
    <w:div w:id="466968573">
      <w:marLeft w:val="0"/>
      <w:marRight w:val="0"/>
      <w:marTop w:val="0"/>
      <w:marBottom w:val="0"/>
      <w:divBdr>
        <w:top w:val="none" w:sz="0" w:space="0" w:color="auto"/>
        <w:left w:val="none" w:sz="0" w:space="0" w:color="auto"/>
        <w:bottom w:val="none" w:sz="0" w:space="0" w:color="auto"/>
        <w:right w:val="none" w:sz="0" w:space="0" w:color="auto"/>
      </w:divBdr>
      <w:divsChild>
        <w:div w:id="181362852">
          <w:marLeft w:val="0"/>
          <w:marRight w:val="0"/>
          <w:marTop w:val="0"/>
          <w:marBottom w:val="100"/>
          <w:divBdr>
            <w:top w:val="none" w:sz="0" w:space="0" w:color="auto"/>
            <w:left w:val="none" w:sz="0" w:space="0" w:color="auto"/>
            <w:bottom w:val="none" w:sz="0" w:space="0" w:color="auto"/>
            <w:right w:val="none" w:sz="0" w:space="0" w:color="auto"/>
          </w:divBdr>
        </w:div>
      </w:divsChild>
    </w:div>
    <w:div w:id="467284856">
      <w:marLeft w:val="0"/>
      <w:marRight w:val="0"/>
      <w:marTop w:val="0"/>
      <w:marBottom w:val="0"/>
      <w:divBdr>
        <w:top w:val="none" w:sz="0" w:space="0" w:color="auto"/>
        <w:left w:val="none" w:sz="0" w:space="0" w:color="auto"/>
        <w:bottom w:val="none" w:sz="0" w:space="0" w:color="auto"/>
        <w:right w:val="none" w:sz="0" w:space="0" w:color="auto"/>
      </w:divBdr>
    </w:div>
    <w:div w:id="468473652">
      <w:marLeft w:val="0"/>
      <w:marRight w:val="0"/>
      <w:marTop w:val="100"/>
      <w:marBottom w:val="100"/>
      <w:divBdr>
        <w:top w:val="none" w:sz="0" w:space="0" w:color="auto"/>
        <w:left w:val="none" w:sz="0" w:space="0" w:color="auto"/>
        <w:bottom w:val="none" w:sz="0" w:space="0" w:color="auto"/>
        <w:right w:val="none" w:sz="0" w:space="0" w:color="auto"/>
      </w:divBdr>
    </w:div>
    <w:div w:id="469906711">
      <w:marLeft w:val="0"/>
      <w:marRight w:val="0"/>
      <w:marTop w:val="0"/>
      <w:marBottom w:val="0"/>
      <w:divBdr>
        <w:top w:val="none" w:sz="0" w:space="0" w:color="auto"/>
        <w:left w:val="none" w:sz="0" w:space="0" w:color="auto"/>
        <w:bottom w:val="none" w:sz="0" w:space="0" w:color="auto"/>
        <w:right w:val="none" w:sz="0" w:space="0" w:color="auto"/>
      </w:divBdr>
      <w:divsChild>
        <w:div w:id="719405194">
          <w:marLeft w:val="0"/>
          <w:marRight w:val="0"/>
          <w:marTop w:val="0"/>
          <w:marBottom w:val="100"/>
          <w:divBdr>
            <w:top w:val="none" w:sz="0" w:space="0" w:color="auto"/>
            <w:left w:val="none" w:sz="0" w:space="0" w:color="auto"/>
            <w:bottom w:val="none" w:sz="0" w:space="0" w:color="auto"/>
            <w:right w:val="none" w:sz="0" w:space="0" w:color="auto"/>
          </w:divBdr>
        </w:div>
      </w:divsChild>
    </w:div>
    <w:div w:id="470296473">
      <w:marLeft w:val="0"/>
      <w:marRight w:val="0"/>
      <w:marTop w:val="100"/>
      <w:marBottom w:val="100"/>
      <w:divBdr>
        <w:top w:val="none" w:sz="0" w:space="0" w:color="auto"/>
        <w:left w:val="none" w:sz="0" w:space="0" w:color="auto"/>
        <w:bottom w:val="none" w:sz="0" w:space="0" w:color="auto"/>
        <w:right w:val="none" w:sz="0" w:space="0" w:color="auto"/>
      </w:divBdr>
    </w:div>
    <w:div w:id="470489849">
      <w:marLeft w:val="0"/>
      <w:marRight w:val="0"/>
      <w:marTop w:val="100"/>
      <w:marBottom w:val="100"/>
      <w:divBdr>
        <w:top w:val="none" w:sz="0" w:space="0" w:color="auto"/>
        <w:left w:val="none" w:sz="0" w:space="0" w:color="auto"/>
        <w:bottom w:val="none" w:sz="0" w:space="0" w:color="auto"/>
        <w:right w:val="none" w:sz="0" w:space="0" w:color="auto"/>
      </w:divBdr>
    </w:div>
    <w:div w:id="471794504">
      <w:marLeft w:val="0"/>
      <w:marRight w:val="0"/>
      <w:marTop w:val="180"/>
      <w:marBottom w:val="0"/>
      <w:divBdr>
        <w:top w:val="none" w:sz="0" w:space="0" w:color="auto"/>
        <w:left w:val="none" w:sz="0" w:space="0" w:color="auto"/>
        <w:bottom w:val="none" w:sz="0" w:space="0" w:color="auto"/>
        <w:right w:val="none" w:sz="0" w:space="0" w:color="auto"/>
      </w:divBdr>
    </w:div>
    <w:div w:id="473913929">
      <w:marLeft w:val="0"/>
      <w:marRight w:val="0"/>
      <w:marTop w:val="100"/>
      <w:marBottom w:val="120"/>
      <w:divBdr>
        <w:top w:val="none" w:sz="0" w:space="0" w:color="auto"/>
        <w:left w:val="none" w:sz="0" w:space="0" w:color="auto"/>
        <w:bottom w:val="none" w:sz="0" w:space="0" w:color="auto"/>
        <w:right w:val="none" w:sz="0" w:space="0" w:color="auto"/>
      </w:divBdr>
    </w:div>
    <w:div w:id="476382256">
      <w:marLeft w:val="0"/>
      <w:marRight w:val="0"/>
      <w:marTop w:val="180"/>
      <w:marBottom w:val="0"/>
      <w:divBdr>
        <w:top w:val="none" w:sz="0" w:space="0" w:color="auto"/>
        <w:left w:val="none" w:sz="0" w:space="0" w:color="auto"/>
        <w:bottom w:val="none" w:sz="0" w:space="0" w:color="auto"/>
        <w:right w:val="none" w:sz="0" w:space="0" w:color="auto"/>
      </w:divBdr>
    </w:div>
    <w:div w:id="476843283">
      <w:marLeft w:val="0"/>
      <w:marRight w:val="0"/>
      <w:marTop w:val="100"/>
      <w:marBottom w:val="100"/>
      <w:divBdr>
        <w:top w:val="none" w:sz="0" w:space="0" w:color="auto"/>
        <w:left w:val="none" w:sz="0" w:space="0" w:color="auto"/>
        <w:bottom w:val="none" w:sz="0" w:space="0" w:color="auto"/>
        <w:right w:val="none" w:sz="0" w:space="0" w:color="auto"/>
      </w:divBdr>
    </w:div>
    <w:div w:id="481047453">
      <w:marLeft w:val="0"/>
      <w:marRight w:val="0"/>
      <w:marTop w:val="180"/>
      <w:marBottom w:val="0"/>
      <w:divBdr>
        <w:top w:val="none" w:sz="0" w:space="0" w:color="auto"/>
        <w:left w:val="none" w:sz="0" w:space="0" w:color="auto"/>
        <w:bottom w:val="none" w:sz="0" w:space="0" w:color="auto"/>
        <w:right w:val="none" w:sz="0" w:space="0" w:color="auto"/>
      </w:divBdr>
    </w:div>
    <w:div w:id="481577912">
      <w:marLeft w:val="0"/>
      <w:marRight w:val="0"/>
      <w:marTop w:val="180"/>
      <w:marBottom w:val="0"/>
      <w:divBdr>
        <w:top w:val="none" w:sz="0" w:space="0" w:color="auto"/>
        <w:left w:val="none" w:sz="0" w:space="0" w:color="auto"/>
        <w:bottom w:val="none" w:sz="0" w:space="0" w:color="auto"/>
        <w:right w:val="none" w:sz="0" w:space="0" w:color="auto"/>
      </w:divBdr>
    </w:div>
    <w:div w:id="483160135">
      <w:marLeft w:val="0"/>
      <w:marRight w:val="0"/>
      <w:marTop w:val="0"/>
      <w:marBottom w:val="0"/>
      <w:divBdr>
        <w:top w:val="none" w:sz="0" w:space="0" w:color="auto"/>
        <w:left w:val="none" w:sz="0" w:space="0" w:color="auto"/>
        <w:bottom w:val="none" w:sz="0" w:space="0" w:color="auto"/>
        <w:right w:val="none" w:sz="0" w:space="0" w:color="auto"/>
      </w:divBdr>
      <w:divsChild>
        <w:div w:id="1080061263">
          <w:marLeft w:val="0"/>
          <w:marRight w:val="0"/>
          <w:marTop w:val="0"/>
          <w:marBottom w:val="100"/>
          <w:divBdr>
            <w:top w:val="none" w:sz="0" w:space="0" w:color="auto"/>
            <w:left w:val="none" w:sz="0" w:space="0" w:color="auto"/>
            <w:bottom w:val="none" w:sz="0" w:space="0" w:color="auto"/>
            <w:right w:val="none" w:sz="0" w:space="0" w:color="auto"/>
          </w:divBdr>
        </w:div>
      </w:divsChild>
    </w:div>
    <w:div w:id="484129889">
      <w:marLeft w:val="0"/>
      <w:marRight w:val="0"/>
      <w:marTop w:val="0"/>
      <w:marBottom w:val="0"/>
      <w:divBdr>
        <w:top w:val="none" w:sz="0" w:space="0" w:color="auto"/>
        <w:left w:val="none" w:sz="0" w:space="0" w:color="auto"/>
        <w:bottom w:val="none" w:sz="0" w:space="0" w:color="auto"/>
        <w:right w:val="none" w:sz="0" w:space="0" w:color="auto"/>
      </w:divBdr>
      <w:divsChild>
        <w:div w:id="177887999">
          <w:marLeft w:val="0"/>
          <w:marRight w:val="0"/>
          <w:marTop w:val="0"/>
          <w:marBottom w:val="0"/>
          <w:divBdr>
            <w:top w:val="none" w:sz="0" w:space="0" w:color="auto"/>
            <w:left w:val="none" w:sz="0" w:space="0" w:color="auto"/>
            <w:bottom w:val="none" w:sz="0" w:space="0" w:color="auto"/>
            <w:right w:val="none" w:sz="0" w:space="0" w:color="auto"/>
          </w:divBdr>
          <w:divsChild>
            <w:div w:id="155696691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85318645">
      <w:marLeft w:val="0"/>
      <w:marRight w:val="0"/>
      <w:marTop w:val="100"/>
      <w:marBottom w:val="100"/>
      <w:divBdr>
        <w:top w:val="none" w:sz="0" w:space="0" w:color="auto"/>
        <w:left w:val="none" w:sz="0" w:space="0" w:color="auto"/>
        <w:bottom w:val="none" w:sz="0" w:space="0" w:color="auto"/>
        <w:right w:val="none" w:sz="0" w:space="0" w:color="auto"/>
      </w:divBdr>
    </w:div>
    <w:div w:id="486173554">
      <w:marLeft w:val="0"/>
      <w:marRight w:val="0"/>
      <w:marTop w:val="100"/>
      <w:marBottom w:val="100"/>
      <w:divBdr>
        <w:top w:val="none" w:sz="0" w:space="0" w:color="auto"/>
        <w:left w:val="none" w:sz="0" w:space="0" w:color="auto"/>
        <w:bottom w:val="none" w:sz="0" w:space="0" w:color="auto"/>
        <w:right w:val="none" w:sz="0" w:space="0" w:color="auto"/>
      </w:divBdr>
    </w:div>
    <w:div w:id="486360829">
      <w:marLeft w:val="0"/>
      <w:marRight w:val="0"/>
      <w:marTop w:val="0"/>
      <w:marBottom w:val="0"/>
      <w:divBdr>
        <w:top w:val="none" w:sz="0" w:space="0" w:color="auto"/>
        <w:left w:val="none" w:sz="0" w:space="0" w:color="auto"/>
        <w:bottom w:val="none" w:sz="0" w:space="0" w:color="auto"/>
        <w:right w:val="none" w:sz="0" w:space="0" w:color="auto"/>
      </w:divBdr>
      <w:divsChild>
        <w:div w:id="1710299125">
          <w:marLeft w:val="0"/>
          <w:marRight w:val="0"/>
          <w:marTop w:val="0"/>
          <w:marBottom w:val="100"/>
          <w:divBdr>
            <w:top w:val="none" w:sz="0" w:space="0" w:color="auto"/>
            <w:left w:val="none" w:sz="0" w:space="0" w:color="auto"/>
            <w:bottom w:val="none" w:sz="0" w:space="0" w:color="auto"/>
            <w:right w:val="none" w:sz="0" w:space="0" w:color="auto"/>
          </w:divBdr>
        </w:div>
      </w:divsChild>
    </w:div>
    <w:div w:id="487016260">
      <w:marLeft w:val="0"/>
      <w:marRight w:val="0"/>
      <w:marTop w:val="80"/>
      <w:marBottom w:val="100"/>
      <w:divBdr>
        <w:top w:val="none" w:sz="0" w:space="0" w:color="auto"/>
        <w:left w:val="none" w:sz="0" w:space="0" w:color="auto"/>
        <w:bottom w:val="none" w:sz="0" w:space="0" w:color="auto"/>
        <w:right w:val="none" w:sz="0" w:space="0" w:color="auto"/>
      </w:divBdr>
    </w:div>
    <w:div w:id="488135058">
      <w:marLeft w:val="0"/>
      <w:marRight w:val="0"/>
      <w:marTop w:val="0"/>
      <w:marBottom w:val="100"/>
      <w:divBdr>
        <w:top w:val="none" w:sz="0" w:space="0" w:color="auto"/>
        <w:left w:val="none" w:sz="0" w:space="0" w:color="auto"/>
        <w:bottom w:val="none" w:sz="0" w:space="0" w:color="auto"/>
        <w:right w:val="none" w:sz="0" w:space="0" w:color="auto"/>
      </w:divBdr>
    </w:div>
    <w:div w:id="489101884">
      <w:marLeft w:val="0"/>
      <w:marRight w:val="0"/>
      <w:marTop w:val="100"/>
      <w:marBottom w:val="100"/>
      <w:divBdr>
        <w:top w:val="none" w:sz="0" w:space="0" w:color="auto"/>
        <w:left w:val="none" w:sz="0" w:space="0" w:color="auto"/>
        <w:bottom w:val="none" w:sz="0" w:space="0" w:color="auto"/>
        <w:right w:val="none" w:sz="0" w:space="0" w:color="auto"/>
      </w:divBdr>
    </w:div>
    <w:div w:id="490143941">
      <w:marLeft w:val="0"/>
      <w:marRight w:val="0"/>
      <w:marTop w:val="100"/>
      <w:marBottom w:val="100"/>
      <w:divBdr>
        <w:top w:val="none" w:sz="0" w:space="0" w:color="auto"/>
        <w:left w:val="none" w:sz="0" w:space="0" w:color="auto"/>
        <w:bottom w:val="none" w:sz="0" w:space="0" w:color="auto"/>
        <w:right w:val="none" w:sz="0" w:space="0" w:color="auto"/>
      </w:divBdr>
    </w:div>
    <w:div w:id="490996467">
      <w:marLeft w:val="0"/>
      <w:marRight w:val="0"/>
      <w:marTop w:val="0"/>
      <w:marBottom w:val="0"/>
      <w:divBdr>
        <w:top w:val="none" w:sz="0" w:space="0" w:color="auto"/>
        <w:left w:val="none" w:sz="0" w:space="0" w:color="auto"/>
        <w:bottom w:val="none" w:sz="0" w:space="0" w:color="auto"/>
        <w:right w:val="none" w:sz="0" w:space="0" w:color="auto"/>
      </w:divBdr>
    </w:div>
    <w:div w:id="493452581">
      <w:marLeft w:val="0"/>
      <w:marRight w:val="0"/>
      <w:marTop w:val="0"/>
      <w:marBottom w:val="0"/>
      <w:divBdr>
        <w:top w:val="none" w:sz="0" w:space="0" w:color="auto"/>
        <w:left w:val="none" w:sz="0" w:space="0" w:color="auto"/>
        <w:bottom w:val="none" w:sz="0" w:space="0" w:color="auto"/>
        <w:right w:val="none" w:sz="0" w:space="0" w:color="auto"/>
      </w:divBdr>
    </w:div>
    <w:div w:id="493834371">
      <w:marLeft w:val="0"/>
      <w:marRight w:val="0"/>
      <w:marTop w:val="0"/>
      <w:marBottom w:val="0"/>
      <w:divBdr>
        <w:top w:val="none" w:sz="0" w:space="0" w:color="auto"/>
        <w:left w:val="none" w:sz="0" w:space="0" w:color="auto"/>
        <w:bottom w:val="none" w:sz="0" w:space="0" w:color="auto"/>
        <w:right w:val="none" w:sz="0" w:space="0" w:color="auto"/>
      </w:divBdr>
    </w:div>
    <w:div w:id="495654454">
      <w:marLeft w:val="0"/>
      <w:marRight w:val="0"/>
      <w:marTop w:val="0"/>
      <w:marBottom w:val="0"/>
      <w:divBdr>
        <w:top w:val="none" w:sz="0" w:space="0" w:color="auto"/>
        <w:left w:val="none" w:sz="0" w:space="0" w:color="auto"/>
        <w:bottom w:val="none" w:sz="0" w:space="0" w:color="auto"/>
        <w:right w:val="none" w:sz="0" w:space="0" w:color="auto"/>
      </w:divBdr>
    </w:div>
    <w:div w:id="497115914">
      <w:marLeft w:val="0"/>
      <w:marRight w:val="0"/>
      <w:marTop w:val="0"/>
      <w:marBottom w:val="0"/>
      <w:divBdr>
        <w:top w:val="none" w:sz="0" w:space="0" w:color="auto"/>
        <w:left w:val="none" w:sz="0" w:space="0" w:color="auto"/>
        <w:bottom w:val="none" w:sz="0" w:space="0" w:color="auto"/>
        <w:right w:val="none" w:sz="0" w:space="0" w:color="auto"/>
      </w:divBdr>
    </w:div>
    <w:div w:id="497581710">
      <w:marLeft w:val="0"/>
      <w:marRight w:val="0"/>
      <w:marTop w:val="100"/>
      <w:marBottom w:val="100"/>
      <w:divBdr>
        <w:top w:val="none" w:sz="0" w:space="0" w:color="auto"/>
        <w:left w:val="none" w:sz="0" w:space="0" w:color="auto"/>
        <w:bottom w:val="none" w:sz="0" w:space="0" w:color="auto"/>
        <w:right w:val="none" w:sz="0" w:space="0" w:color="auto"/>
      </w:divBdr>
    </w:div>
    <w:div w:id="497698330">
      <w:marLeft w:val="0"/>
      <w:marRight w:val="0"/>
      <w:marTop w:val="0"/>
      <w:marBottom w:val="0"/>
      <w:divBdr>
        <w:top w:val="none" w:sz="0" w:space="0" w:color="auto"/>
        <w:left w:val="none" w:sz="0" w:space="0" w:color="auto"/>
        <w:bottom w:val="none" w:sz="0" w:space="0" w:color="auto"/>
        <w:right w:val="none" w:sz="0" w:space="0" w:color="auto"/>
      </w:divBdr>
      <w:divsChild>
        <w:div w:id="824663661">
          <w:marLeft w:val="0"/>
          <w:marRight w:val="0"/>
          <w:marTop w:val="0"/>
          <w:marBottom w:val="0"/>
          <w:divBdr>
            <w:top w:val="none" w:sz="0" w:space="0" w:color="auto"/>
            <w:left w:val="none" w:sz="0" w:space="0" w:color="auto"/>
            <w:bottom w:val="none" w:sz="0" w:space="0" w:color="auto"/>
            <w:right w:val="none" w:sz="0" w:space="0" w:color="auto"/>
          </w:divBdr>
          <w:divsChild>
            <w:div w:id="125115688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99472203">
      <w:marLeft w:val="0"/>
      <w:marRight w:val="0"/>
      <w:marTop w:val="0"/>
      <w:marBottom w:val="0"/>
      <w:divBdr>
        <w:top w:val="none" w:sz="0" w:space="0" w:color="auto"/>
        <w:left w:val="none" w:sz="0" w:space="0" w:color="auto"/>
        <w:bottom w:val="none" w:sz="0" w:space="0" w:color="auto"/>
        <w:right w:val="none" w:sz="0" w:space="0" w:color="auto"/>
      </w:divBdr>
      <w:divsChild>
        <w:div w:id="1761293370">
          <w:marLeft w:val="0"/>
          <w:marRight w:val="0"/>
          <w:marTop w:val="0"/>
          <w:marBottom w:val="0"/>
          <w:divBdr>
            <w:top w:val="none" w:sz="0" w:space="0" w:color="auto"/>
            <w:left w:val="none" w:sz="0" w:space="0" w:color="auto"/>
            <w:bottom w:val="none" w:sz="0" w:space="0" w:color="auto"/>
            <w:right w:val="none" w:sz="0" w:space="0" w:color="auto"/>
          </w:divBdr>
          <w:divsChild>
            <w:div w:id="10921059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00892189">
      <w:marLeft w:val="0"/>
      <w:marRight w:val="0"/>
      <w:marTop w:val="100"/>
      <w:marBottom w:val="100"/>
      <w:divBdr>
        <w:top w:val="none" w:sz="0" w:space="0" w:color="auto"/>
        <w:left w:val="none" w:sz="0" w:space="0" w:color="auto"/>
        <w:bottom w:val="none" w:sz="0" w:space="0" w:color="auto"/>
        <w:right w:val="none" w:sz="0" w:space="0" w:color="auto"/>
      </w:divBdr>
    </w:div>
    <w:div w:id="501051165">
      <w:marLeft w:val="0"/>
      <w:marRight w:val="0"/>
      <w:marTop w:val="180"/>
      <w:marBottom w:val="0"/>
      <w:divBdr>
        <w:top w:val="none" w:sz="0" w:space="0" w:color="auto"/>
        <w:left w:val="none" w:sz="0" w:space="0" w:color="auto"/>
        <w:bottom w:val="none" w:sz="0" w:space="0" w:color="auto"/>
        <w:right w:val="none" w:sz="0" w:space="0" w:color="auto"/>
      </w:divBdr>
    </w:div>
    <w:div w:id="501241674">
      <w:marLeft w:val="0"/>
      <w:marRight w:val="0"/>
      <w:marTop w:val="100"/>
      <w:marBottom w:val="100"/>
      <w:divBdr>
        <w:top w:val="none" w:sz="0" w:space="0" w:color="auto"/>
        <w:left w:val="none" w:sz="0" w:space="0" w:color="auto"/>
        <w:bottom w:val="none" w:sz="0" w:space="0" w:color="auto"/>
        <w:right w:val="none" w:sz="0" w:space="0" w:color="auto"/>
      </w:divBdr>
    </w:div>
    <w:div w:id="504395678">
      <w:marLeft w:val="0"/>
      <w:marRight w:val="0"/>
      <w:marTop w:val="0"/>
      <w:marBottom w:val="100"/>
      <w:divBdr>
        <w:top w:val="none" w:sz="0" w:space="0" w:color="auto"/>
        <w:left w:val="none" w:sz="0" w:space="0" w:color="auto"/>
        <w:bottom w:val="none" w:sz="0" w:space="0" w:color="auto"/>
        <w:right w:val="none" w:sz="0" w:space="0" w:color="auto"/>
      </w:divBdr>
    </w:div>
    <w:div w:id="504519074">
      <w:marLeft w:val="0"/>
      <w:marRight w:val="0"/>
      <w:marTop w:val="0"/>
      <w:marBottom w:val="0"/>
      <w:divBdr>
        <w:top w:val="none" w:sz="0" w:space="0" w:color="auto"/>
        <w:left w:val="none" w:sz="0" w:space="0" w:color="auto"/>
        <w:bottom w:val="none" w:sz="0" w:space="0" w:color="auto"/>
        <w:right w:val="none" w:sz="0" w:space="0" w:color="auto"/>
      </w:divBdr>
    </w:div>
    <w:div w:id="507137083">
      <w:marLeft w:val="0"/>
      <w:marRight w:val="0"/>
      <w:marTop w:val="0"/>
      <w:marBottom w:val="0"/>
      <w:divBdr>
        <w:top w:val="none" w:sz="0" w:space="0" w:color="auto"/>
        <w:left w:val="none" w:sz="0" w:space="0" w:color="auto"/>
        <w:bottom w:val="none" w:sz="0" w:space="0" w:color="auto"/>
        <w:right w:val="none" w:sz="0" w:space="0" w:color="auto"/>
      </w:divBdr>
    </w:div>
    <w:div w:id="507260232">
      <w:marLeft w:val="0"/>
      <w:marRight w:val="0"/>
      <w:marTop w:val="0"/>
      <w:marBottom w:val="0"/>
      <w:divBdr>
        <w:top w:val="none" w:sz="0" w:space="0" w:color="auto"/>
        <w:left w:val="none" w:sz="0" w:space="0" w:color="auto"/>
        <w:bottom w:val="none" w:sz="0" w:space="0" w:color="auto"/>
        <w:right w:val="none" w:sz="0" w:space="0" w:color="auto"/>
      </w:divBdr>
      <w:divsChild>
        <w:div w:id="1558541861">
          <w:marLeft w:val="0"/>
          <w:marRight w:val="0"/>
          <w:marTop w:val="0"/>
          <w:marBottom w:val="100"/>
          <w:divBdr>
            <w:top w:val="none" w:sz="0" w:space="0" w:color="auto"/>
            <w:left w:val="none" w:sz="0" w:space="0" w:color="auto"/>
            <w:bottom w:val="none" w:sz="0" w:space="0" w:color="auto"/>
            <w:right w:val="none" w:sz="0" w:space="0" w:color="auto"/>
          </w:divBdr>
        </w:div>
      </w:divsChild>
    </w:div>
    <w:div w:id="508643304">
      <w:marLeft w:val="0"/>
      <w:marRight w:val="0"/>
      <w:marTop w:val="0"/>
      <w:marBottom w:val="0"/>
      <w:divBdr>
        <w:top w:val="none" w:sz="0" w:space="0" w:color="auto"/>
        <w:left w:val="none" w:sz="0" w:space="0" w:color="auto"/>
        <w:bottom w:val="none" w:sz="0" w:space="0" w:color="auto"/>
        <w:right w:val="none" w:sz="0" w:space="0" w:color="auto"/>
      </w:divBdr>
    </w:div>
    <w:div w:id="513302409">
      <w:marLeft w:val="0"/>
      <w:marRight w:val="0"/>
      <w:marTop w:val="100"/>
      <w:marBottom w:val="100"/>
      <w:divBdr>
        <w:top w:val="none" w:sz="0" w:space="0" w:color="auto"/>
        <w:left w:val="none" w:sz="0" w:space="0" w:color="auto"/>
        <w:bottom w:val="none" w:sz="0" w:space="0" w:color="auto"/>
        <w:right w:val="none" w:sz="0" w:space="0" w:color="auto"/>
      </w:divBdr>
    </w:div>
    <w:div w:id="514734682">
      <w:marLeft w:val="0"/>
      <w:marRight w:val="0"/>
      <w:marTop w:val="0"/>
      <w:marBottom w:val="0"/>
      <w:divBdr>
        <w:top w:val="none" w:sz="0" w:space="0" w:color="auto"/>
        <w:left w:val="none" w:sz="0" w:space="0" w:color="auto"/>
        <w:bottom w:val="none" w:sz="0" w:space="0" w:color="auto"/>
        <w:right w:val="none" w:sz="0" w:space="0" w:color="auto"/>
      </w:divBdr>
    </w:div>
    <w:div w:id="515996526">
      <w:marLeft w:val="0"/>
      <w:marRight w:val="0"/>
      <w:marTop w:val="0"/>
      <w:marBottom w:val="0"/>
      <w:divBdr>
        <w:top w:val="none" w:sz="0" w:space="0" w:color="auto"/>
        <w:left w:val="none" w:sz="0" w:space="0" w:color="auto"/>
        <w:bottom w:val="none" w:sz="0" w:space="0" w:color="auto"/>
        <w:right w:val="none" w:sz="0" w:space="0" w:color="auto"/>
      </w:divBdr>
      <w:divsChild>
        <w:div w:id="1421830132">
          <w:marLeft w:val="0"/>
          <w:marRight w:val="0"/>
          <w:marTop w:val="0"/>
          <w:marBottom w:val="100"/>
          <w:divBdr>
            <w:top w:val="none" w:sz="0" w:space="0" w:color="auto"/>
            <w:left w:val="none" w:sz="0" w:space="0" w:color="auto"/>
            <w:bottom w:val="none" w:sz="0" w:space="0" w:color="auto"/>
            <w:right w:val="none" w:sz="0" w:space="0" w:color="auto"/>
          </w:divBdr>
        </w:div>
      </w:divsChild>
    </w:div>
    <w:div w:id="516236294">
      <w:marLeft w:val="0"/>
      <w:marRight w:val="0"/>
      <w:marTop w:val="180"/>
      <w:marBottom w:val="100"/>
      <w:divBdr>
        <w:top w:val="none" w:sz="0" w:space="0" w:color="auto"/>
        <w:left w:val="none" w:sz="0" w:space="0" w:color="auto"/>
        <w:bottom w:val="none" w:sz="0" w:space="0" w:color="auto"/>
        <w:right w:val="none" w:sz="0" w:space="0" w:color="auto"/>
      </w:divBdr>
    </w:div>
    <w:div w:id="516775765">
      <w:marLeft w:val="0"/>
      <w:marRight w:val="0"/>
      <w:marTop w:val="0"/>
      <w:marBottom w:val="0"/>
      <w:divBdr>
        <w:top w:val="none" w:sz="0" w:space="0" w:color="auto"/>
        <w:left w:val="none" w:sz="0" w:space="0" w:color="auto"/>
        <w:bottom w:val="none" w:sz="0" w:space="0" w:color="auto"/>
        <w:right w:val="none" w:sz="0" w:space="0" w:color="auto"/>
      </w:divBdr>
      <w:divsChild>
        <w:div w:id="303318285">
          <w:marLeft w:val="0"/>
          <w:marRight w:val="0"/>
          <w:marTop w:val="0"/>
          <w:marBottom w:val="0"/>
          <w:divBdr>
            <w:top w:val="none" w:sz="0" w:space="0" w:color="auto"/>
            <w:left w:val="none" w:sz="0" w:space="0" w:color="auto"/>
            <w:bottom w:val="none" w:sz="0" w:space="0" w:color="auto"/>
            <w:right w:val="none" w:sz="0" w:space="0" w:color="auto"/>
          </w:divBdr>
          <w:divsChild>
            <w:div w:id="163591014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16889954">
      <w:marLeft w:val="0"/>
      <w:marRight w:val="0"/>
      <w:marTop w:val="0"/>
      <w:marBottom w:val="0"/>
      <w:divBdr>
        <w:top w:val="none" w:sz="0" w:space="0" w:color="auto"/>
        <w:left w:val="none" w:sz="0" w:space="0" w:color="auto"/>
        <w:bottom w:val="none" w:sz="0" w:space="0" w:color="auto"/>
        <w:right w:val="none" w:sz="0" w:space="0" w:color="auto"/>
      </w:divBdr>
    </w:div>
    <w:div w:id="518812834">
      <w:marLeft w:val="0"/>
      <w:marRight w:val="0"/>
      <w:marTop w:val="0"/>
      <w:marBottom w:val="0"/>
      <w:divBdr>
        <w:top w:val="none" w:sz="0" w:space="0" w:color="auto"/>
        <w:left w:val="none" w:sz="0" w:space="0" w:color="auto"/>
        <w:bottom w:val="none" w:sz="0" w:space="0" w:color="auto"/>
        <w:right w:val="none" w:sz="0" w:space="0" w:color="auto"/>
      </w:divBdr>
      <w:divsChild>
        <w:div w:id="14354049">
          <w:marLeft w:val="0"/>
          <w:marRight w:val="0"/>
          <w:marTop w:val="0"/>
          <w:marBottom w:val="0"/>
          <w:divBdr>
            <w:top w:val="none" w:sz="0" w:space="0" w:color="auto"/>
            <w:left w:val="none" w:sz="0" w:space="0" w:color="auto"/>
            <w:bottom w:val="none" w:sz="0" w:space="0" w:color="auto"/>
            <w:right w:val="none" w:sz="0" w:space="0" w:color="auto"/>
          </w:divBdr>
          <w:divsChild>
            <w:div w:id="9845160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18928931">
      <w:marLeft w:val="0"/>
      <w:marRight w:val="0"/>
      <w:marTop w:val="0"/>
      <w:marBottom w:val="100"/>
      <w:divBdr>
        <w:top w:val="none" w:sz="0" w:space="0" w:color="auto"/>
        <w:left w:val="none" w:sz="0" w:space="0" w:color="auto"/>
        <w:bottom w:val="none" w:sz="0" w:space="0" w:color="auto"/>
        <w:right w:val="none" w:sz="0" w:space="0" w:color="auto"/>
      </w:divBdr>
    </w:div>
    <w:div w:id="519053369">
      <w:marLeft w:val="0"/>
      <w:marRight w:val="0"/>
      <w:marTop w:val="0"/>
      <w:marBottom w:val="0"/>
      <w:divBdr>
        <w:top w:val="none" w:sz="0" w:space="0" w:color="auto"/>
        <w:left w:val="none" w:sz="0" w:space="0" w:color="auto"/>
        <w:bottom w:val="none" w:sz="0" w:space="0" w:color="auto"/>
        <w:right w:val="none" w:sz="0" w:space="0" w:color="auto"/>
      </w:divBdr>
    </w:div>
    <w:div w:id="519273627">
      <w:marLeft w:val="0"/>
      <w:marRight w:val="0"/>
      <w:marTop w:val="100"/>
      <w:marBottom w:val="0"/>
      <w:divBdr>
        <w:top w:val="none" w:sz="0" w:space="0" w:color="auto"/>
        <w:left w:val="none" w:sz="0" w:space="0" w:color="auto"/>
        <w:bottom w:val="none" w:sz="0" w:space="0" w:color="auto"/>
        <w:right w:val="none" w:sz="0" w:space="0" w:color="auto"/>
      </w:divBdr>
    </w:div>
    <w:div w:id="519665027">
      <w:marLeft w:val="0"/>
      <w:marRight w:val="0"/>
      <w:marTop w:val="0"/>
      <w:marBottom w:val="100"/>
      <w:divBdr>
        <w:top w:val="none" w:sz="0" w:space="0" w:color="auto"/>
        <w:left w:val="none" w:sz="0" w:space="0" w:color="auto"/>
        <w:bottom w:val="none" w:sz="0" w:space="0" w:color="auto"/>
        <w:right w:val="none" w:sz="0" w:space="0" w:color="auto"/>
      </w:divBdr>
    </w:div>
    <w:div w:id="520557866">
      <w:marLeft w:val="0"/>
      <w:marRight w:val="0"/>
      <w:marTop w:val="100"/>
      <w:marBottom w:val="100"/>
      <w:divBdr>
        <w:top w:val="none" w:sz="0" w:space="0" w:color="auto"/>
        <w:left w:val="none" w:sz="0" w:space="0" w:color="auto"/>
        <w:bottom w:val="none" w:sz="0" w:space="0" w:color="auto"/>
        <w:right w:val="none" w:sz="0" w:space="0" w:color="auto"/>
      </w:divBdr>
    </w:div>
    <w:div w:id="521482582">
      <w:marLeft w:val="0"/>
      <w:marRight w:val="0"/>
      <w:marTop w:val="100"/>
      <w:marBottom w:val="0"/>
      <w:divBdr>
        <w:top w:val="none" w:sz="0" w:space="0" w:color="auto"/>
        <w:left w:val="none" w:sz="0" w:space="0" w:color="auto"/>
        <w:bottom w:val="none" w:sz="0" w:space="0" w:color="auto"/>
        <w:right w:val="none" w:sz="0" w:space="0" w:color="auto"/>
      </w:divBdr>
    </w:div>
    <w:div w:id="525024945">
      <w:marLeft w:val="0"/>
      <w:marRight w:val="0"/>
      <w:marTop w:val="0"/>
      <w:marBottom w:val="0"/>
      <w:divBdr>
        <w:top w:val="none" w:sz="0" w:space="0" w:color="auto"/>
        <w:left w:val="none" w:sz="0" w:space="0" w:color="auto"/>
        <w:bottom w:val="none" w:sz="0" w:space="0" w:color="auto"/>
        <w:right w:val="none" w:sz="0" w:space="0" w:color="auto"/>
      </w:divBdr>
      <w:divsChild>
        <w:div w:id="1995916804">
          <w:marLeft w:val="0"/>
          <w:marRight w:val="0"/>
          <w:marTop w:val="0"/>
          <w:marBottom w:val="0"/>
          <w:divBdr>
            <w:top w:val="none" w:sz="0" w:space="0" w:color="auto"/>
            <w:left w:val="none" w:sz="0" w:space="0" w:color="auto"/>
            <w:bottom w:val="none" w:sz="0" w:space="0" w:color="auto"/>
            <w:right w:val="none" w:sz="0" w:space="0" w:color="auto"/>
          </w:divBdr>
          <w:divsChild>
            <w:div w:id="201217139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25290206">
      <w:marLeft w:val="0"/>
      <w:marRight w:val="0"/>
      <w:marTop w:val="0"/>
      <w:marBottom w:val="100"/>
      <w:divBdr>
        <w:top w:val="none" w:sz="0" w:space="0" w:color="auto"/>
        <w:left w:val="none" w:sz="0" w:space="0" w:color="auto"/>
        <w:bottom w:val="none" w:sz="0" w:space="0" w:color="auto"/>
        <w:right w:val="none" w:sz="0" w:space="0" w:color="auto"/>
      </w:divBdr>
    </w:div>
    <w:div w:id="526218085">
      <w:marLeft w:val="0"/>
      <w:marRight w:val="0"/>
      <w:marTop w:val="100"/>
      <w:marBottom w:val="100"/>
      <w:divBdr>
        <w:top w:val="none" w:sz="0" w:space="0" w:color="auto"/>
        <w:left w:val="none" w:sz="0" w:space="0" w:color="auto"/>
        <w:bottom w:val="none" w:sz="0" w:space="0" w:color="auto"/>
        <w:right w:val="none" w:sz="0" w:space="0" w:color="auto"/>
      </w:divBdr>
    </w:div>
    <w:div w:id="526412605">
      <w:marLeft w:val="0"/>
      <w:marRight w:val="0"/>
      <w:marTop w:val="0"/>
      <w:marBottom w:val="100"/>
      <w:divBdr>
        <w:top w:val="none" w:sz="0" w:space="0" w:color="auto"/>
        <w:left w:val="none" w:sz="0" w:space="0" w:color="auto"/>
        <w:bottom w:val="none" w:sz="0" w:space="0" w:color="auto"/>
        <w:right w:val="none" w:sz="0" w:space="0" w:color="auto"/>
      </w:divBdr>
    </w:div>
    <w:div w:id="526911223">
      <w:marLeft w:val="0"/>
      <w:marRight w:val="0"/>
      <w:marTop w:val="180"/>
      <w:marBottom w:val="100"/>
      <w:divBdr>
        <w:top w:val="none" w:sz="0" w:space="0" w:color="auto"/>
        <w:left w:val="none" w:sz="0" w:space="0" w:color="auto"/>
        <w:bottom w:val="none" w:sz="0" w:space="0" w:color="auto"/>
        <w:right w:val="none" w:sz="0" w:space="0" w:color="auto"/>
      </w:divBdr>
    </w:div>
    <w:div w:id="526918548">
      <w:marLeft w:val="0"/>
      <w:marRight w:val="0"/>
      <w:marTop w:val="180"/>
      <w:marBottom w:val="0"/>
      <w:divBdr>
        <w:top w:val="none" w:sz="0" w:space="0" w:color="auto"/>
        <w:left w:val="none" w:sz="0" w:space="0" w:color="auto"/>
        <w:bottom w:val="none" w:sz="0" w:space="0" w:color="auto"/>
        <w:right w:val="none" w:sz="0" w:space="0" w:color="auto"/>
      </w:divBdr>
    </w:div>
    <w:div w:id="528762705">
      <w:marLeft w:val="0"/>
      <w:marRight w:val="0"/>
      <w:marTop w:val="0"/>
      <w:marBottom w:val="0"/>
      <w:divBdr>
        <w:top w:val="none" w:sz="0" w:space="0" w:color="auto"/>
        <w:left w:val="none" w:sz="0" w:space="0" w:color="auto"/>
        <w:bottom w:val="none" w:sz="0" w:space="0" w:color="auto"/>
        <w:right w:val="none" w:sz="0" w:space="0" w:color="auto"/>
      </w:divBdr>
    </w:div>
    <w:div w:id="529152746">
      <w:marLeft w:val="0"/>
      <w:marRight w:val="0"/>
      <w:marTop w:val="0"/>
      <w:marBottom w:val="0"/>
      <w:divBdr>
        <w:top w:val="none" w:sz="0" w:space="0" w:color="auto"/>
        <w:left w:val="none" w:sz="0" w:space="0" w:color="auto"/>
        <w:bottom w:val="none" w:sz="0" w:space="0" w:color="auto"/>
        <w:right w:val="none" w:sz="0" w:space="0" w:color="auto"/>
      </w:divBdr>
      <w:divsChild>
        <w:div w:id="868227224">
          <w:marLeft w:val="0"/>
          <w:marRight w:val="0"/>
          <w:marTop w:val="0"/>
          <w:marBottom w:val="0"/>
          <w:divBdr>
            <w:top w:val="none" w:sz="0" w:space="0" w:color="auto"/>
            <w:left w:val="none" w:sz="0" w:space="0" w:color="auto"/>
            <w:bottom w:val="none" w:sz="0" w:space="0" w:color="auto"/>
            <w:right w:val="none" w:sz="0" w:space="0" w:color="auto"/>
          </w:divBdr>
          <w:divsChild>
            <w:div w:id="1567005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30145476">
      <w:marLeft w:val="0"/>
      <w:marRight w:val="0"/>
      <w:marTop w:val="0"/>
      <w:marBottom w:val="0"/>
      <w:divBdr>
        <w:top w:val="none" w:sz="0" w:space="0" w:color="auto"/>
        <w:left w:val="none" w:sz="0" w:space="0" w:color="auto"/>
        <w:bottom w:val="none" w:sz="0" w:space="0" w:color="auto"/>
        <w:right w:val="none" w:sz="0" w:space="0" w:color="auto"/>
      </w:divBdr>
    </w:div>
    <w:div w:id="531848196">
      <w:marLeft w:val="0"/>
      <w:marRight w:val="0"/>
      <w:marTop w:val="0"/>
      <w:marBottom w:val="0"/>
      <w:divBdr>
        <w:top w:val="none" w:sz="0" w:space="0" w:color="auto"/>
        <w:left w:val="none" w:sz="0" w:space="0" w:color="auto"/>
        <w:bottom w:val="none" w:sz="0" w:space="0" w:color="auto"/>
        <w:right w:val="none" w:sz="0" w:space="0" w:color="auto"/>
      </w:divBdr>
      <w:divsChild>
        <w:div w:id="2064329945">
          <w:marLeft w:val="0"/>
          <w:marRight w:val="0"/>
          <w:marTop w:val="0"/>
          <w:marBottom w:val="0"/>
          <w:divBdr>
            <w:top w:val="none" w:sz="0" w:space="0" w:color="auto"/>
            <w:left w:val="none" w:sz="0" w:space="0" w:color="auto"/>
            <w:bottom w:val="none" w:sz="0" w:space="0" w:color="auto"/>
            <w:right w:val="none" w:sz="0" w:space="0" w:color="auto"/>
          </w:divBdr>
          <w:divsChild>
            <w:div w:id="39413382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32501687">
      <w:marLeft w:val="0"/>
      <w:marRight w:val="0"/>
      <w:marTop w:val="0"/>
      <w:marBottom w:val="100"/>
      <w:divBdr>
        <w:top w:val="none" w:sz="0" w:space="0" w:color="auto"/>
        <w:left w:val="none" w:sz="0" w:space="0" w:color="auto"/>
        <w:bottom w:val="none" w:sz="0" w:space="0" w:color="auto"/>
        <w:right w:val="none" w:sz="0" w:space="0" w:color="auto"/>
      </w:divBdr>
    </w:div>
    <w:div w:id="532621260">
      <w:marLeft w:val="0"/>
      <w:marRight w:val="0"/>
      <w:marTop w:val="100"/>
      <w:marBottom w:val="100"/>
      <w:divBdr>
        <w:top w:val="none" w:sz="0" w:space="0" w:color="auto"/>
        <w:left w:val="none" w:sz="0" w:space="0" w:color="auto"/>
        <w:bottom w:val="none" w:sz="0" w:space="0" w:color="auto"/>
        <w:right w:val="none" w:sz="0" w:space="0" w:color="auto"/>
      </w:divBdr>
    </w:div>
    <w:div w:id="534847698">
      <w:marLeft w:val="0"/>
      <w:marRight w:val="0"/>
      <w:marTop w:val="0"/>
      <w:marBottom w:val="0"/>
      <w:divBdr>
        <w:top w:val="none" w:sz="0" w:space="0" w:color="auto"/>
        <w:left w:val="none" w:sz="0" w:space="0" w:color="auto"/>
        <w:bottom w:val="none" w:sz="0" w:space="0" w:color="auto"/>
        <w:right w:val="none" w:sz="0" w:space="0" w:color="auto"/>
      </w:divBdr>
      <w:divsChild>
        <w:div w:id="2121798121">
          <w:marLeft w:val="0"/>
          <w:marRight w:val="0"/>
          <w:marTop w:val="0"/>
          <w:marBottom w:val="0"/>
          <w:divBdr>
            <w:top w:val="none" w:sz="0" w:space="0" w:color="auto"/>
            <w:left w:val="none" w:sz="0" w:space="0" w:color="auto"/>
            <w:bottom w:val="none" w:sz="0" w:space="0" w:color="auto"/>
            <w:right w:val="none" w:sz="0" w:space="0" w:color="auto"/>
          </w:divBdr>
          <w:divsChild>
            <w:div w:id="98057711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37744417">
      <w:marLeft w:val="0"/>
      <w:marRight w:val="0"/>
      <w:marTop w:val="100"/>
      <w:marBottom w:val="100"/>
      <w:divBdr>
        <w:top w:val="none" w:sz="0" w:space="0" w:color="auto"/>
        <w:left w:val="none" w:sz="0" w:space="0" w:color="auto"/>
        <w:bottom w:val="none" w:sz="0" w:space="0" w:color="auto"/>
        <w:right w:val="none" w:sz="0" w:space="0" w:color="auto"/>
      </w:divBdr>
    </w:div>
    <w:div w:id="537816883">
      <w:marLeft w:val="0"/>
      <w:marRight w:val="0"/>
      <w:marTop w:val="0"/>
      <w:marBottom w:val="0"/>
      <w:divBdr>
        <w:top w:val="none" w:sz="0" w:space="0" w:color="auto"/>
        <w:left w:val="none" w:sz="0" w:space="0" w:color="auto"/>
        <w:bottom w:val="none" w:sz="0" w:space="0" w:color="auto"/>
        <w:right w:val="none" w:sz="0" w:space="0" w:color="auto"/>
      </w:divBdr>
      <w:divsChild>
        <w:div w:id="1672030552">
          <w:marLeft w:val="0"/>
          <w:marRight w:val="0"/>
          <w:marTop w:val="0"/>
          <w:marBottom w:val="100"/>
          <w:divBdr>
            <w:top w:val="none" w:sz="0" w:space="0" w:color="auto"/>
            <w:left w:val="none" w:sz="0" w:space="0" w:color="auto"/>
            <w:bottom w:val="none" w:sz="0" w:space="0" w:color="auto"/>
            <w:right w:val="none" w:sz="0" w:space="0" w:color="auto"/>
          </w:divBdr>
        </w:div>
      </w:divsChild>
    </w:div>
    <w:div w:id="538393028">
      <w:marLeft w:val="0"/>
      <w:marRight w:val="0"/>
      <w:marTop w:val="80"/>
      <w:marBottom w:val="100"/>
      <w:divBdr>
        <w:top w:val="none" w:sz="0" w:space="0" w:color="auto"/>
        <w:left w:val="none" w:sz="0" w:space="0" w:color="auto"/>
        <w:bottom w:val="none" w:sz="0" w:space="0" w:color="auto"/>
        <w:right w:val="none" w:sz="0" w:space="0" w:color="auto"/>
      </w:divBdr>
    </w:div>
    <w:div w:id="539130414">
      <w:marLeft w:val="0"/>
      <w:marRight w:val="0"/>
      <w:marTop w:val="0"/>
      <w:marBottom w:val="100"/>
      <w:divBdr>
        <w:top w:val="none" w:sz="0" w:space="0" w:color="auto"/>
        <w:left w:val="none" w:sz="0" w:space="0" w:color="auto"/>
        <w:bottom w:val="none" w:sz="0" w:space="0" w:color="auto"/>
        <w:right w:val="none" w:sz="0" w:space="0" w:color="auto"/>
      </w:divBdr>
    </w:div>
    <w:div w:id="539512577">
      <w:marLeft w:val="0"/>
      <w:marRight w:val="0"/>
      <w:marTop w:val="0"/>
      <w:marBottom w:val="0"/>
      <w:divBdr>
        <w:top w:val="none" w:sz="0" w:space="0" w:color="auto"/>
        <w:left w:val="none" w:sz="0" w:space="0" w:color="auto"/>
        <w:bottom w:val="none" w:sz="0" w:space="0" w:color="auto"/>
        <w:right w:val="none" w:sz="0" w:space="0" w:color="auto"/>
      </w:divBdr>
      <w:divsChild>
        <w:div w:id="2096971734">
          <w:marLeft w:val="0"/>
          <w:marRight w:val="0"/>
          <w:marTop w:val="0"/>
          <w:marBottom w:val="0"/>
          <w:divBdr>
            <w:top w:val="none" w:sz="0" w:space="0" w:color="auto"/>
            <w:left w:val="none" w:sz="0" w:space="0" w:color="auto"/>
            <w:bottom w:val="none" w:sz="0" w:space="0" w:color="auto"/>
            <w:right w:val="none" w:sz="0" w:space="0" w:color="auto"/>
          </w:divBdr>
          <w:divsChild>
            <w:div w:id="137411053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43181107">
      <w:marLeft w:val="0"/>
      <w:marRight w:val="0"/>
      <w:marTop w:val="0"/>
      <w:marBottom w:val="100"/>
      <w:divBdr>
        <w:top w:val="none" w:sz="0" w:space="0" w:color="auto"/>
        <w:left w:val="none" w:sz="0" w:space="0" w:color="auto"/>
        <w:bottom w:val="none" w:sz="0" w:space="0" w:color="auto"/>
        <w:right w:val="none" w:sz="0" w:space="0" w:color="auto"/>
      </w:divBdr>
    </w:div>
    <w:div w:id="543367564">
      <w:marLeft w:val="0"/>
      <w:marRight w:val="0"/>
      <w:marTop w:val="0"/>
      <w:marBottom w:val="0"/>
      <w:divBdr>
        <w:top w:val="none" w:sz="0" w:space="0" w:color="auto"/>
        <w:left w:val="none" w:sz="0" w:space="0" w:color="auto"/>
        <w:bottom w:val="none" w:sz="0" w:space="0" w:color="auto"/>
        <w:right w:val="none" w:sz="0" w:space="0" w:color="auto"/>
      </w:divBdr>
      <w:divsChild>
        <w:div w:id="87583849">
          <w:marLeft w:val="0"/>
          <w:marRight w:val="0"/>
          <w:marTop w:val="0"/>
          <w:marBottom w:val="100"/>
          <w:divBdr>
            <w:top w:val="none" w:sz="0" w:space="0" w:color="auto"/>
            <w:left w:val="none" w:sz="0" w:space="0" w:color="auto"/>
            <w:bottom w:val="none" w:sz="0" w:space="0" w:color="auto"/>
            <w:right w:val="none" w:sz="0" w:space="0" w:color="auto"/>
          </w:divBdr>
        </w:div>
      </w:divsChild>
    </w:div>
    <w:div w:id="543760272">
      <w:marLeft w:val="0"/>
      <w:marRight w:val="0"/>
      <w:marTop w:val="180"/>
      <w:marBottom w:val="0"/>
      <w:divBdr>
        <w:top w:val="none" w:sz="0" w:space="0" w:color="auto"/>
        <w:left w:val="none" w:sz="0" w:space="0" w:color="auto"/>
        <w:bottom w:val="none" w:sz="0" w:space="0" w:color="auto"/>
        <w:right w:val="none" w:sz="0" w:space="0" w:color="auto"/>
      </w:divBdr>
    </w:div>
    <w:div w:id="544367789">
      <w:marLeft w:val="0"/>
      <w:marRight w:val="0"/>
      <w:marTop w:val="0"/>
      <w:marBottom w:val="0"/>
      <w:divBdr>
        <w:top w:val="none" w:sz="0" w:space="0" w:color="auto"/>
        <w:left w:val="none" w:sz="0" w:space="0" w:color="auto"/>
        <w:bottom w:val="none" w:sz="0" w:space="0" w:color="auto"/>
        <w:right w:val="none" w:sz="0" w:space="0" w:color="auto"/>
      </w:divBdr>
      <w:divsChild>
        <w:div w:id="1541866434">
          <w:marLeft w:val="0"/>
          <w:marRight w:val="0"/>
          <w:marTop w:val="0"/>
          <w:marBottom w:val="0"/>
          <w:divBdr>
            <w:top w:val="none" w:sz="0" w:space="0" w:color="auto"/>
            <w:left w:val="none" w:sz="0" w:space="0" w:color="auto"/>
            <w:bottom w:val="none" w:sz="0" w:space="0" w:color="auto"/>
            <w:right w:val="none" w:sz="0" w:space="0" w:color="auto"/>
          </w:divBdr>
          <w:divsChild>
            <w:div w:id="47456953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45607213">
      <w:marLeft w:val="0"/>
      <w:marRight w:val="0"/>
      <w:marTop w:val="0"/>
      <w:marBottom w:val="100"/>
      <w:divBdr>
        <w:top w:val="none" w:sz="0" w:space="0" w:color="auto"/>
        <w:left w:val="none" w:sz="0" w:space="0" w:color="auto"/>
        <w:bottom w:val="none" w:sz="0" w:space="0" w:color="auto"/>
        <w:right w:val="none" w:sz="0" w:space="0" w:color="auto"/>
      </w:divBdr>
    </w:div>
    <w:div w:id="545727886">
      <w:marLeft w:val="0"/>
      <w:marRight w:val="0"/>
      <w:marTop w:val="180"/>
      <w:marBottom w:val="0"/>
      <w:divBdr>
        <w:top w:val="none" w:sz="0" w:space="0" w:color="auto"/>
        <w:left w:val="none" w:sz="0" w:space="0" w:color="auto"/>
        <w:bottom w:val="none" w:sz="0" w:space="0" w:color="auto"/>
        <w:right w:val="none" w:sz="0" w:space="0" w:color="auto"/>
      </w:divBdr>
    </w:div>
    <w:div w:id="547061694">
      <w:marLeft w:val="0"/>
      <w:marRight w:val="0"/>
      <w:marTop w:val="0"/>
      <w:marBottom w:val="0"/>
      <w:divBdr>
        <w:top w:val="none" w:sz="0" w:space="0" w:color="auto"/>
        <w:left w:val="none" w:sz="0" w:space="0" w:color="auto"/>
        <w:bottom w:val="none" w:sz="0" w:space="0" w:color="auto"/>
        <w:right w:val="none" w:sz="0" w:space="0" w:color="auto"/>
      </w:divBdr>
      <w:divsChild>
        <w:div w:id="164976443">
          <w:marLeft w:val="0"/>
          <w:marRight w:val="0"/>
          <w:marTop w:val="0"/>
          <w:marBottom w:val="0"/>
          <w:divBdr>
            <w:top w:val="none" w:sz="0" w:space="0" w:color="auto"/>
            <w:left w:val="none" w:sz="0" w:space="0" w:color="auto"/>
            <w:bottom w:val="none" w:sz="0" w:space="0" w:color="auto"/>
            <w:right w:val="none" w:sz="0" w:space="0" w:color="auto"/>
          </w:divBdr>
          <w:divsChild>
            <w:div w:id="148343070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47227867">
      <w:marLeft w:val="0"/>
      <w:marRight w:val="0"/>
      <w:marTop w:val="0"/>
      <w:marBottom w:val="0"/>
      <w:divBdr>
        <w:top w:val="none" w:sz="0" w:space="0" w:color="auto"/>
        <w:left w:val="none" w:sz="0" w:space="0" w:color="auto"/>
        <w:bottom w:val="none" w:sz="0" w:space="0" w:color="auto"/>
        <w:right w:val="none" w:sz="0" w:space="0" w:color="auto"/>
      </w:divBdr>
      <w:divsChild>
        <w:div w:id="1204708537">
          <w:marLeft w:val="0"/>
          <w:marRight w:val="0"/>
          <w:marTop w:val="0"/>
          <w:marBottom w:val="0"/>
          <w:divBdr>
            <w:top w:val="none" w:sz="0" w:space="0" w:color="auto"/>
            <w:left w:val="none" w:sz="0" w:space="0" w:color="auto"/>
            <w:bottom w:val="none" w:sz="0" w:space="0" w:color="auto"/>
            <w:right w:val="none" w:sz="0" w:space="0" w:color="auto"/>
          </w:divBdr>
          <w:divsChild>
            <w:div w:id="16863885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47374326">
      <w:marLeft w:val="0"/>
      <w:marRight w:val="0"/>
      <w:marTop w:val="180"/>
      <w:marBottom w:val="0"/>
      <w:divBdr>
        <w:top w:val="none" w:sz="0" w:space="0" w:color="auto"/>
        <w:left w:val="none" w:sz="0" w:space="0" w:color="auto"/>
        <w:bottom w:val="none" w:sz="0" w:space="0" w:color="auto"/>
        <w:right w:val="none" w:sz="0" w:space="0" w:color="auto"/>
      </w:divBdr>
    </w:div>
    <w:div w:id="547377598">
      <w:marLeft w:val="0"/>
      <w:marRight w:val="0"/>
      <w:marTop w:val="100"/>
      <w:marBottom w:val="100"/>
      <w:divBdr>
        <w:top w:val="none" w:sz="0" w:space="0" w:color="auto"/>
        <w:left w:val="none" w:sz="0" w:space="0" w:color="auto"/>
        <w:bottom w:val="none" w:sz="0" w:space="0" w:color="auto"/>
        <w:right w:val="none" w:sz="0" w:space="0" w:color="auto"/>
      </w:divBdr>
    </w:div>
    <w:div w:id="547685826">
      <w:marLeft w:val="0"/>
      <w:marRight w:val="0"/>
      <w:marTop w:val="0"/>
      <w:marBottom w:val="100"/>
      <w:divBdr>
        <w:top w:val="none" w:sz="0" w:space="0" w:color="auto"/>
        <w:left w:val="none" w:sz="0" w:space="0" w:color="auto"/>
        <w:bottom w:val="none" w:sz="0" w:space="0" w:color="auto"/>
        <w:right w:val="none" w:sz="0" w:space="0" w:color="auto"/>
      </w:divBdr>
    </w:div>
    <w:div w:id="549222180">
      <w:marLeft w:val="0"/>
      <w:marRight w:val="0"/>
      <w:marTop w:val="0"/>
      <w:marBottom w:val="0"/>
      <w:divBdr>
        <w:top w:val="none" w:sz="0" w:space="0" w:color="auto"/>
        <w:left w:val="none" w:sz="0" w:space="0" w:color="auto"/>
        <w:bottom w:val="none" w:sz="0" w:space="0" w:color="auto"/>
        <w:right w:val="none" w:sz="0" w:space="0" w:color="auto"/>
      </w:divBdr>
    </w:div>
    <w:div w:id="549419789">
      <w:marLeft w:val="0"/>
      <w:marRight w:val="0"/>
      <w:marTop w:val="0"/>
      <w:marBottom w:val="0"/>
      <w:divBdr>
        <w:top w:val="none" w:sz="0" w:space="0" w:color="auto"/>
        <w:left w:val="none" w:sz="0" w:space="0" w:color="auto"/>
        <w:bottom w:val="none" w:sz="0" w:space="0" w:color="auto"/>
        <w:right w:val="none" w:sz="0" w:space="0" w:color="auto"/>
      </w:divBdr>
      <w:divsChild>
        <w:div w:id="582490488">
          <w:marLeft w:val="0"/>
          <w:marRight w:val="0"/>
          <w:marTop w:val="0"/>
          <w:marBottom w:val="0"/>
          <w:divBdr>
            <w:top w:val="none" w:sz="0" w:space="0" w:color="auto"/>
            <w:left w:val="none" w:sz="0" w:space="0" w:color="auto"/>
            <w:bottom w:val="none" w:sz="0" w:space="0" w:color="auto"/>
            <w:right w:val="none" w:sz="0" w:space="0" w:color="auto"/>
          </w:divBdr>
          <w:divsChild>
            <w:div w:id="194507458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49802991">
      <w:marLeft w:val="0"/>
      <w:marRight w:val="0"/>
      <w:marTop w:val="180"/>
      <w:marBottom w:val="0"/>
      <w:divBdr>
        <w:top w:val="none" w:sz="0" w:space="0" w:color="auto"/>
        <w:left w:val="none" w:sz="0" w:space="0" w:color="auto"/>
        <w:bottom w:val="none" w:sz="0" w:space="0" w:color="auto"/>
        <w:right w:val="none" w:sz="0" w:space="0" w:color="auto"/>
      </w:divBdr>
    </w:div>
    <w:div w:id="549803996">
      <w:marLeft w:val="0"/>
      <w:marRight w:val="0"/>
      <w:marTop w:val="0"/>
      <w:marBottom w:val="0"/>
      <w:divBdr>
        <w:top w:val="none" w:sz="0" w:space="0" w:color="auto"/>
        <w:left w:val="none" w:sz="0" w:space="0" w:color="auto"/>
        <w:bottom w:val="none" w:sz="0" w:space="0" w:color="auto"/>
        <w:right w:val="none" w:sz="0" w:space="0" w:color="auto"/>
      </w:divBdr>
      <w:divsChild>
        <w:div w:id="1569069405">
          <w:marLeft w:val="0"/>
          <w:marRight w:val="0"/>
          <w:marTop w:val="0"/>
          <w:marBottom w:val="100"/>
          <w:divBdr>
            <w:top w:val="none" w:sz="0" w:space="0" w:color="auto"/>
            <w:left w:val="none" w:sz="0" w:space="0" w:color="auto"/>
            <w:bottom w:val="none" w:sz="0" w:space="0" w:color="auto"/>
            <w:right w:val="none" w:sz="0" w:space="0" w:color="auto"/>
          </w:divBdr>
        </w:div>
      </w:divsChild>
    </w:div>
    <w:div w:id="552549194">
      <w:marLeft w:val="0"/>
      <w:marRight w:val="0"/>
      <w:marTop w:val="0"/>
      <w:marBottom w:val="0"/>
      <w:divBdr>
        <w:top w:val="none" w:sz="0" w:space="0" w:color="auto"/>
        <w:left w:val="none" w:sz="0" w:space="0" w:color="auto"/>
        <w:bottom w:val="none" w:sz="0" w:space="0" w:color="auto"/>
        <w:right w:val="none" w:sz="0" w:space="0" w:color="auto"/>
      </w:divBdr>
      <w:divsChild>
        <w:div w:id="1324313902">
          <w:marLeft w:val="0"/>
          <w:marRight w:val="0"/>
          <w:marTop w:val="0"/>
          <w:marBottom w:val="0"/>
          <w:divBdr>
            <w:top w:val="none" w:sz="0" w:space="0" w:color="auto"/>
            <w:left w:val="none" w:sz="0" w:space="0" w:color="auto"/>
            <w:bottom w:val="none" w:sz="0" w:space="0" w:color="auto"/>
            <w:right w:val="none" w:sz="0" w:space="0" w:color="auto"/>
          </w:divBdr>
          <w:divsChild>
            <w:div w:id="186458839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56624933">
      <w:marLeft w:val="0"/>
      <w:marRight w:val="0"/>
      <w:marTop w:val="0"/>
      <w:marBottom w:val="100"/>
      <w:divBdr>
        <w:top w:val="none" w:sz="0" w:space="0" w:color="auto"/>
        <w:left w:val="none" w:sz="0" w:space="0" w:color="auto"/>
        <w:bottom w:val="none" w:sz="0" w:space="0" w:color="auto"/>
        <w:right w:val="none" w:sz="0" w:space="0" w:color="auto"/>
      </w:divBdr>
    </w:div>
    <w:div w:id="556748071">
      <w:marLeft w:val="0"/>
      <w:marRight w:val="0"/>
      <w:marTop w:val="100"/>
      <w:marBottom w:val="100"/>
      <w:divBdr>
        <w:top w:val="none" w:sz="0" w:space="0" w:color="auto"/>
        <w:left w:val="none" w:sz="0" w:space="0" w:color="auto"/>
        <w:bottom w:val="none" w:sz="0" w:space="0" w:color="auto"/>
        <w:right w:val="none" w:sz="0" w:space="0" w:color="auto"/>
      </w:divBdr>
    </w:div>
    <w:div w:id="558134766">
      <w:marLeft w:val="0"/>
      <w:marRight w:val="0"/>
      <w:marTop w:val="100"/>
      <w:marBottom w:val="0"/>
      <w:divBdr>
        <w:top w:val="none" w:sz="0" w:space="0" w:color="auto"/>
        <w:left w:val="none" w:sz="0" w:space="0" w:color="auto"/>
        <w:bottom w:val="none" w:sz="0" w:space="0" w:color="auto"/>
        <w:right w:val="none" w:sz="0" w:space="0" w:color="auto"/>
      </w:divBdr>
    </w:div>
    <w:div w:id="559244673">
      <w:marLeft w:val="0"/>
      <w:marRight w:val="0"/>
      <w:marTop w:val="100"/>
      <w:marBottom w:val="100"/>
      <w:divBdr>
        <w:top w:val="none" w:sz="0" w:space="0" w:color="auto"/>
        <w:left w:val="none" w:sz="0" w:space="0" w:color="auto"/>
        <w:bottom w:val="none" w:sz="0" w:space="0" w:color="auto"/>
        <w:right w:val="none" w:sz="0" w:space="0" w:color="auto"/>
      </w:divBdr>
    </w:div>
    <w:div w:id="560211379">
      <w:marLeft w:val="0"/>
      <w:marRight w:val="0"/>
      <w:marTop w:val="80"/>
      <w:marBottom w:val="100"/>
      <w:divBdr>
        <w:top w:val="none" w:sz="0" w:space="0" w:color="auto"/>
        <w:left w:val="none" w:sz="0" w:space="0" w:color="auto"/>
        <w:bottom w:val="none" w:sz="0" w:space="0" w:color="auto"/>
        <w:right w:val="none" w:sz="0" w:space="0" w:color="auto"/>
      </w:divBdr>
    </w:div>
    <w:div w:id="560560448">
      <w:marLeft w:val="0"/>
      <w:marRight w:val="0"/>
      <w:marTop w:val="100"/>
      <w:marBottom w:val="100"/>
      <w:divBdr>
        <w:top w:val="none" w:sz="0" w:space="0" w:color="auto"/>
        <w:left w:val="none" w:sz="0" w:space="0" w:color="auto"/>
        <w:bottom w:val="none" w:sz="0" w:space="0" w:color="auto"/>
        <w:right w:val="none" w:sz="0" w:space="0" w:color="auto"/>
      </w:divBdr>
    </w:div>
    <w:div w:id="561140375">
      <w:marLeft w:val="0"/>
      <w:marRight w:val="0"/>
      <w:marTop w:val="180"/>
      <w:marBottom w:val="0"/>
      <w:divBdr>
        <w:top w:val="none" w:sz="0" w:space="0" w:color="auto"/>
        <w:left w:val="none" w:sz="0" w:space="0" w:color="auto"/>
        <w:bottom w:val="none" w:sz="0" w:space="0" w:color="auto"/>
        <w:right w:val="none" w:sz="0" w:space="0" w:color="auto"/>
      </w:divBdr>
    </w:div>
    <w:div w:id="562066636">
      <w:marLeft w:val="0"/>
      <w:marRight w:val="0"/>
      <w:marTop w:val="100"/>
      <w:marBottom w:val="0"/>
      <w:divBdr>
        <w:top w:val="none" w:sz="0" w:space="0" w:color="auto"/>
        <w:left w:val="none" w:sz="0" w:space="0" w:color="auto"/>
        <w:bottom w:val="none" w:sz="0" w:space="0" w:color="auto"/>
        <w:right w:val="none" w:sz="0" w:space="0" w:color="auto"/>
      </w:divBdr>
    </w:div>
    <w:div w:id="563108995">
      <w:marLeft w:val="0"/>
      <w:marRight w:val="0"/>
      <w:marTop w:val="100"/>
      <w:marBottom w:val="120"/>
      <w:divBdr>
        <w:top w:val="none" w:sz="0" w:space="0" w:color="auto"/>
        <w:left w:val="none" w:sz="0" w:space="0" w:color="auto"/>
        <w:bottom w:val="none" w:sz="0" w:space="0" w:color="auto"/>
        <w:right w:val="none" w:sz="0" w:space="0" w:color="auto"/>
      </w:divBdr>
    </w:div>
    <w:div w:id="563679994">
      <w:marLeft w:val="0"/>
      <w:marRight w:val="0"/>
      <w:marTop w:val="0"/>
      <w:marBottom w:val="0"/>
      <w:divBdr>
        <w:top w:val="none" w:sz="0" w:space="0" w:color="auto"/>
        <w:left w:val="none" w:sz="0" w:space="0" w:color="auto"/>
        <w:bottom w:val="none" w:sz="0" w:space="0" w:color="auto"/>
        <w:right w:val="none" w:sz="0" w:space="0" w:color="auto"/>
      </w:divBdr>
    </w:div>
    <w:div w:id="565262795">
      <w:marLeft w:val="0"/>
      <w:marRight w:val="0"/>
      <w:marTop w:val="180"/>
      <w:marBottom w:val="100"/>
      <w:divBdr>
        <w:top w:val="none" w:sz="0" w:space="0" w:color="auto"/>
        <w:left w:val="none" w:sz="0" w:space="0" w:color="auto"/>
        <w:bottom w:val="none" w:sz="0" w:space="0" w:color="auto"/>
        <w:right w:val="none" w:sz="0" w:space="0" w:color="auto"/>
      </w:divBdr>
    </w:div>
    <w:div w:id="566184890">
      <w:marLeft w:val="0"/>
      <w:marRight w:val="0"/>
      <w:marTop w:val="0"/>
      <w:marBottom w:val="100"/>
      <w:divBdr>
        <w:top w:val="none" w:sz="0" w:space="0" w:color="auto"/>
        <w:left w:val="none" w:sz="0" w:space="0" w:color="auto"/>
        <w:bottom w:val="none" w:sz="0" w:space="0" w:color="auto"/>
        <w:right w:val="none" w:sz="0" w:space="0" w:color="auto"/>
      </w:divBdr>
    </w:div>
    <w:div w:id="569583025">
      <w:marLeft w:val="0"/>
      <w:marRight w:val="0"/>
      <w:marTop w:val="0"/>
      <w:marBottom w:val="100"/>
      <w:divBdr>
        <w:top w:val="none" w:sz="0" w:space="0" w:color="auto"/>
        <w:left w:val="none" w:sz="0" w:space="0" w:color="auto"/>
        <w:bottom w:val="none" w:sz="0" w:space="0" w:color="auto"/>
        <w:right w:val="none" w:sz="0" w:space="0" w:color="auto"/>
      </w:divBdr>
    </w:div>
    <w:div w:id="570115299">
      <w:marLeft w:val="0"/>
      <w:marRight w:val="0"/>
      <w:marTop w:val="100"/>
      <w:marBottom w:val="100"/>
      <w:divBdr>
        <w:top w:val="none" w:sz="0" w:space="0" w:color="auto"/>
        <w:left w:val="none" w:sz="0" w:space="0" w:color="auto"/>
        <w:bottom w:val="none" w:sz="0" w:space="0" w:color="auto"/>
        <w:right w:val="none" w:sz="0" w:space="0" w:color="auto"/>
      </w:divBdr>
    </w:div>
    <w:div w:id="570962946">
      <w:marLeft w:val="0"/>
      <w:marRight w:val="0"/>
      <w:marTop w:val="0"/>
      <w:marBottom w:val="100"/>
      <w:divBdr>
        <w:top w:val="none" w:sz="0" w:space="0" w:color="auto"/>
        <w:left w:val="none" w:sz="0" w:space="0" w:color="auto"/>
        <w:bottom w:val="none" w:sz="0" w:space="0" w:color="auto"/>
        <w:right w:val="none" w:sz="0" w:space="0" w:color="auto"/>
      </w:divBdr>
    </w:div>
    <w:div w:id="572400217">
      <w:marLeft w:val="0"/>
      <w:marRight w:val="0"/>
      <w:marTop w:val="100"/>
      <w:marBottom w:val="100"/>
      <w:divBdr>
        <w:top w:val="none" w:sz="0" w:space="0" w:color="auto"/>
        <w:left w:val="none" w:sz="0" w:space="0" w:color="auto"/>
        <w:bottom w:val="none" w:sz="0" w:space="0" w:color="auto"/>
        <w:right w:val="none" w:sz="0" w:space="0" w:color="auto"/>
      </w:divBdr>
    </w:div>
    <w:div w:id="572786492">
      <w:marLeft w:val="0"/>
      <w:marRight w:val="0"/>
      <w:marTop w:val="0"/>
      <w:marBottom w:val="0"/>
      <w:divBdr>
        <w:top w:val="none" w:sz="0" w:space="0" w:color="auto"/>
        <w:left w:val="none" w:sz="0" w:space="0" w:color="auto"/>
        <w:bottom w:val="none" w:sz="0" w:space="0" w:color="auto"/>
        <w:right w:val="none" w:sz="0" w:space="0" w:color="auto"/>
      </w:divBdr>
    </w:div>
    <w:div w:id="573197476">
      <w:marLeft w:val="0"/>
      <w:marRight w:val="0"/>
      <w:marTop w:val="180"/>
      <w:marBottom w:val="0"/>
      <w:divBdr>
        <w:top w:val="none" w:sz="0" w:space="0" w:color="auto"/>
        <w:left w:val="none" w:sz="0" w:space="0" w:color="auto"/>
        <w:bottom w:val="none" w:sz="0" w:space="0" w:color="auto"/>
        <w:right w:val="none" w:sz="0" w:space="0" w:color="auto"/>
      </w:divBdr>
    </w:div>
    <w:div w:id="573662685">
      <w:marLeft w:val="0"/>
      <w:marRight w:val="0"/>
      <w:marTop w:val="100"/>
      <w:marBottom w:val="100"/>
      <w:divBdr>
        <w:top w:val="none" w:sz="0" w:space="0" w:color="auto"/>
        <w:left w:val="none" w:sz="0" w:space="0" w:color="auto"/>
        <w:bottom w:val="none" w:sz="0" w:space="0" w:color="auto"/>
        <w:right w:val="none" w:sz="0" w:space="0" w:color="auto"/>
      </w:divBdr>
    </w:div>
    <w:div w:id="574238918">
      <w:marLeft w:val="0"/>
      <w:marRight w:val="0"/>
      <w:marTop w:val="180"/>
      <w:marBottom w:val="0"/>
      <w:divBdr>
        <w:top w:val="none" w:sz="0" w:space="0" w:color="auto"/>
        <w:left w:val="none" w:sz="0" w:space="0" w:color="auto"/>
        <w:bottom w:val="none" w:sz="0" w:space="0" w:color="auto"/>
        <w:right w:val="none" w:sz="0" w:space="0" w:color="auto"/>
      </w:divBdr>
    </w:div>
    <w:div w:id="574360106">
      <w:marLeft w:val="0"/>
      <w:marRight w:val="0"/>
      <w:marTop w:val="0"/>
      <w:marBottom w:val="0"/>
      <w:divBdr>
        <w:top w:val="none" w:sz="0" w:space="0" w:color="auto"/>
        <w:left w:val="none" w:sz="0" w:space="0" w:color="auto"/>
        <w:bottom w:val="none" w:sz="0" w:space="0" w:color="auto"/>
        <w:right w:val="none" w:sz="0" w:space="0" w:color="auto"/>
      </w:divBdr>
      <w:divsChild>
        <w:div w:id="157892640">
          <w:marLeft w:val="0"/>
          <w:marRight w:val="0"/>
          <w:marTop w:val="0"/>
          <w:marBottom w:val="100"/>
          <w:divBdr>
            <w:top w:val="none" w:sz="0" w:space="0" w:color="auto"/>
            <w:left w:val="none" w:sz="0" w:space="0" w:color="auto"/>
            <w:bottom w:val="none" w:sz="0" w:space="0" w:color="auto"/>
            <w:right w:val="none" w:sz="0" w:space="0" w:color="auto"/>
          </w:divBdr>
        </w:div>
      </w:divsChild>
    </w:div>
    <w:div w:id="574508619">
      <w:marLeft w:val="0"/>
      <w:marRight w:val="0"/>
      <w:marTop w:val="100"/>
      <w:marBottom w:val="100"/>
      <w:divBdr>
        <w:top w:val="none" w:sz="0" w:space="0" w:color="auto"/>
        <w:left w:val="none" w:sz="0" w:space="0" w:color="auto"/>
        <w:bottom w:val="none" w:sz="0" w:space="0" w:color="auto"/>
        <w:right w:val="none" w:sz="0" w:space="0" w:color="auto"/>
      </w:divBdr>
    </w:div>
    <w:div w:id="575437193">
      <w:marLeft w:val="0"/>
      <w:marRight w:val="0"/>
      <w:marTop w:val="100"/>
      <w:marBottom w:val="0"/>
      <w:divBdr>
        <w:top w:val="none" w:sz="0" w:space="0" w:color="auto"/>
        <w:left w:val="none" w:sz="0" w:space="0" w:color="auto"/>
        <w:bottom w:val="none" w:sz="0" w:space="0" w:color="auto"/>
        <w:right w:val="none" w:sz="0" w:space="0" w:color="auto"/>
      </w:divBdr>
    </w:div>
    <w:div w:id="575552101">
      <w:marLeft w:val="0"/>
      <w:marRight w:val="0"/>
      <w:marTop w:val="0"/>
      <w:marBottom w:val="0"/>
      <w:divBdr>
        <w:top w:val="none" w:sz="0" w:space="0" w:color="auto"/>
        <w:left w:val="none" w:sz="0" w:space="0" w:color="auto"/>
        <w:bottom w:val="none" w:sz="0" w:space="0" w:color="auto"/>
        <w:right w:val="none" w:sz="0" w:space="0" w:color="auto"/>
      </w:divBdr>
    </w:div>
    <w:div w:id="577861244">
      <w:marLeft w:val="0"/>
      <w:marRight w:val="0"/>
      <w:marTop w:val="0"/>
      <w:marBottom w:val="100"/>
      <w:divBdr>
        <w:top w:val="none" w:sz="0" w:space="0" w:color="auto"/>
        <w:left w:val="none" w:sz="0" w:space="0" w:color="auto"/>
        <w:bottom w:val="none" w:sz="0" w:space="0" w:color="auto"/>
        <w:right w:val="none" w:sz="0" w:space="0" w:color="auto"/>
      </w:divBdr>
    </w:div>
    <w:div w:id="579826378">
      <w:marLeft w:val="0"/>
      <w:marRight w:val="0"/>
      <w:marTop w:val="0"/>
      <w:marBottom w:val="0"/>
      <w:divBdr>
        <w:top w:val="none" w:sz="0" w:space="0" w:color="auto"/>
        <w:left w:val="none" w:sz="0" w:space="0" w:color="auto"/>
        <w:bottom w:val="none" w:sz="0" w:space="0" w:color="auto"/>
        <w:right w:val="none" w:sz="0" w:space="0" w:color="auto"/>
      </w:divBdr>
    </w:div>
    <w:div w:id="585306928">
      <w:marLeft w:val="0"/>
      <w:marRight w:val="0"/>
      <w:marTop w:val="100"/>
      <w:marBottom w:val="100"/>
      <w:divBdr>
        <w:top w:val="none" w:sz="0" w:space="0" w:color="auto"/>
        <w:left w:val="none" w:sz="0" w:space="0" w:color="auto"/>
        <w:bottom w:val="none" w:sz="0" w:space="0" w:color="auto"/>
        <w:right w:val="none" w:sz="0" w:space="0" w:color="auto"/>
      </w:divBdr>
    </w:div>
    <w:div w:id="586311965">
      <w:marLeft w:val="0"/>
      <w:marRight w:val="0"/>
      <w:marTop w:val="180"/>
      <w:marBottom w:val="0"/>
      <w:divBdr>
        <w:top w:val="none" w:sz="0" w:space="0" w:color="auto"/>
        <w:left w:val="none" w:sz="0" w:space="0" w:color="auto"/>
        <w:bottom w:val="none" w:sz="0" w:space="0" w:color="auto"/>
        <w:right w:val="none" w:sz="0" w:space="0" w:color="auto"/>
      </w:divBdr>
    </w:div>
    <w:div w:id="590554607">
      <w:marLeft w:val="0"/>
      <w:marRight w:val="0"/>
      <w:marTop w:val="0"/>
      <w:marBottom w:val="100"/>
      <w:divBdr>
        <w:top w:val="none" w:sz="0" w:space="0" w:color="auto"/>
        <w:left w:val="none" w:sz="0" w:space="0" w:color="auto"/>
        <w:bottom w:val="none" w:sz="0" w:space="0" w:color="auto"/>
        <w:right w:val="none" w:sz="0" w:space="0" w:color="auto"/>
      </w:divBdr>
    </w:div>
    <w:div w:id="591281725">
      <w:marLeft w:val="0"/>
      <w:marRight w:val="0"/>
      <w:marTop w:val="0"/>
      <w:marBottom w:val="100"/>
      <w:divBdr>
        <w:top w:val="none" w:sz="0" w:space="0" w:color="auto"/>
        <w:left w:val="none" w:sz="0" w:space="0" w:color="auto"/>
        <w:bottom w:val="none" w:sz="0" w:space="0" w:color="auto"/>
        <w:right w:val="none" w:sz="0" w:space="0" w:color="auto"/>
      </w:divBdr>
    </w:div>
    <w:div w:id="591742647">
      <w:marLeft w:val="0"/>
      <w:marRight w:val="0"/>
      <w:marTop w:val="0"/>
      <w:marBottom w:val="0"/>
      <w:divBdr>
        <w:top w:val="none" w:sz="0" w:space="0" w:color="auto"/>
        <w:left w:val="none" w:sz="0" w:space="0" w:color="auto"/>
        <w:bottom w:val="none" w:sz="0" w:space="0" w:color="auto"/>
        <w:right w:val="none" w:sz="0" w:space="0" w:color="auto"/>
      </w:divBdr>
      <w:divsChild>
        <w:div w:id="609819624">
          <w:marLeft w:val="0"/>
          <w:marRight w:val="0"/>
          <w:marTop w:val="0"/>
          <w:marBottom w:val="0"/>
          <w:divBdr>
            <w:top w:val="none" w:sz="0" w:space="0" w:color="auto"/>
            <w:left w:val="none" w:sz="0" w:space="0" w:color="auto"/>
            <w:bottom w:val="none" w:sz="0" w:space="0" w:color="auto"/>
            <w:right w:val="none" w:sz="0" w:space="0" w:color="auto"/>
          </w:divBdr>
          <w:divsChild>
            <w:div w:id="72479108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92053410">
      <w:marLeft w:val="0"/>
      <w:marRight w:val="0"/>
      <w:marTop w:val="0"/>
      <w:marBottom w:val="0"/>
      <w:divBdr>
        <w:top w:val="none" w:sz="0" w:space="0" w:color="auto"/>
        <w:left w:val="none" w:sz="0" w:space="0" w:color="auto"/>
        <w:bottom w:val="none" w:sz="0" w:space="0" w:color="auto"/>
        <w:right w:val="none" w:sz="0" w:space="0" w:color="auto"/>
      </w:divBdr>
      <w:divsChild>
        <w:div w:id="225148297">
          <w:marLeft w:val="0"/>
          <w:marRight w:val="0"/>
          <w:marTop w:val="0"/>
          <w:marBottom w:val="0"/>
          <w:divBdr>
            <w:top w:val="none" w:sz="0" w:space="0" w:color="auto"/>
            <w:left w:val="none" w:sz="0" w:space="0" w:color="auto"/>
            <w:bottom w:val="none" w:sz="0" w:space="0" w:color="auto"/>
            <w:right w:val="none" w:sz="0" w:space="0" w:color="auto"/>
          </w:divBdr>
          <w:divsChild>
            <w:div w:id="163860378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92475920">
      <w:marLeft w:val="0"/>
      <w:marRight w:val="0"/>
      <w:marTop w:val="0"/>
      <w:marBottom w:val="0"/>
      <w:divBdr>
        <w:top w:val="none" w:sz="0" w:space="0" w:color="auto"/>
        <w:left w:val="none" w:sz="0" w:space="0" w:color="auto"/>
        <w:bottom w:val="none" w:sz="0" w:space="0" w:color="auto"/>
        <w:right w:val="none" w:sz="0" w:space="0" w:color="auto"/>
      </w:divBdr>
    </w:div>
    <w:div w:id="592739025">
      <w:marLeft w:val="0"/>
      <w:marRight w:val="0"/>
      <w:marTop w:val="80"/>
      <w:marBottom w:val="0"/>
      <w:divBdr>
        <w:top w:val="none" w:sz="0" w:space="0" w:color="auto"/>
        <w:left w:val="none" w:sz="0" w:space="0" w:color="auto"/>
        <w:bottom w:val="none" w:sz="0" w:space="0" w:color="auto"/>
        <w:right w:val="none" w:sz="0" w:space="0" w:color="auto"/>
      </w:divBdr>
      <w:divsChild>
        <w:div w:id="2112705200">
          <w:marLeft w:val="0"/>
          <w:marRight w:val="0"/>
          <w:marTop w:val="0"/>
          <w:marBottom w:val="0"/>
          <w:divBdr>
            <w:top w:val="none" w:sz="0" w:space="0" w:color="auto"/>
            <w:left w:val="none" w:sz="0" w:space="0" w:color="auto"/>
            <w:bottom w:val="none" w:sz="0" w:space="0" w:color="auto"/>
            <w:right w:val="none" w:sz="0" w:space="0" w:color="auto"/>
          </w:divBdr>
        </w:div>
      </w:divsChild>
    </w:div>
    <w:div w:id="592974799">
      <w:marLeft w:val="0"/>
      <w:marRight w:val="0"/>
      <w:marTop w:val="0"/>
      <w:marBottom w:val="0"/>
      <w:divBdr>
        <w:top w:val="none" w:sz="0" w:space="0" w:color="auto"/>
        <w:left w:val="none" w:sz="0" w:space="0" w:color="auto"/>
        <w:bottom w:val="none" w:sz="0" w:space="0" w:color="auto"/>
        <w:right w:val="none" w:sz="0" w:space="0" w:color="auto"/>
      </w:divBdr>
    </w:div>
    <w:div w:id="595137048">
      <w:marLeft w:val="0"/>
      <w:marRight w:val="0"/>
      <w:marTop w:val="0"/>
      <w:marBottom w:val="0"/>
      <w:divBdr>
        <w:top w:val="none" w:sz="0" w:space="0" w:color="auto"/>
        <w:left w:val="none" w:sz="0" w:space="0" w:color="auto"/>
        <w:bottom w:val="none" w:sz="0" w:space="0" w:color="auto"/>
        <w:right w:val="none" w:sz="0" w:space="0" w:color="auto"/>
      </w:divBdr>
    </w:div>
    <w:div w:id="595291298">
      <w:marLeft w:val="0"/>
      <w:marRight w:val="0"/>
      <w:marTop w:val="90"/>
      <w:marBottom w:val="90"/>
      <w:divBdr>
        <w:top w:val="none" w:sz="0" w:space="0" w:color="auto"/>
        <w:left w:val="none" w:sz="0" w:space="0" w:color="auto"/>
        <w:bottom w:val="none" w:sz="0" w:space="0" w:color="auto"/>
        <w:right w:val="none" w:sz="0" w:space="0" w:color="auto"/>
      </w:divBdr>
    </w:div>
    <w:div w:id="595793394">
      <w:marLeft w:val="0"/>
      <w:marRight w:val="0"/>
      <w:marTop w:val="0"/>
      <w:marBottom w:val="0"/>
      <w:divBdr>
        <w:top w:val="none" w:sz="0" w:space="0" w:color="auto"/>
        <w:left w:val="none" w:sz="0" w:space="0" w:color="auto"/>
        <w:bottom w:val="none" w:sz="0" w:space="0" w:color="auto"/>
        <w:right w:val="none" w:sz="0" w:space="0" w:color="auto"/>
      </w:divBdr>
    </w:div>
    <w:div w:id="596788481">
      <w:marLeft w:val="0"/>
      <w:marRight w:val="0"/>
      <w:marTop w:val="340"/>
      <w:marBottom w:val="340"/>
      <w:divBdr>
        <w:top w:val="none" w:sz="0" w:space="0" w:color="auto"/>
        <w:left w:val="none" w:sz="0" w:space="0" w:color="auto"/>
        <w:bottom w:val="none" w:sz="0" w:space="0" w:color="auto"/>
        <w:right w:val="none" w:sz="0" w:space="0" w:color="auto"/>
      </w:divBdr>
    </w:div>
    <w:div w:id="597178607">
      <w:marLeft w:val="0"/>
      <w:marRight w:val="0"/>
      <w:marTop w:val="0"/>
      <w:marBottom w:val="100"/>
      <w:divBdr>
        <w:top w:val="none" w:sz="0" w:space="0" w:color="auto"/>
        <w:left w:val="none" w:sz="0" w:space="0" w:color="auto"/>
        <w:bottom w:val="none" w:sz="0" w:space="0" w:color="auto"/>
        <w:right w:val="none" w:sz="0" w:space="0" w:color="auto"/>
      </w:divBdr>
    </w:div>
    <w:div w:id="597831955">
      <w:marLeft w:val="0"/>
      <w:marRight w:val="0"/>
      <w:marTop w:val="100"/>
      <w:marBottom w:val="100"/>
      <w:divBdr>
        <w:top w:val="none" w:sz="0" w:space="0" w:color="auto"/>
        <w:left w:val="none" w:sz="0" w:space="0" w:color="auto"/>
        <w:bottom w:val="none" w:sz="0" w:space="0" w:color="auto"/>
        <w:right w:val="none" w:sz="0" w:space="0" w:color="auto"/>
      </w:divBdr>
    </w:div>
    <w:div w:id="603224182">
      <w:marLeft w:val="0"/>
      <w:marRight w:val="0"/>
      <w:marTop w:val="0"/>
      <w:marBottom w:val="0"/>
      <w:divBdr>
        <w:top w:val="none" w:sz="0" w:space="0" w:color="auto"/>
        <w:left w:val="none" w:sz="0" w:space="0" w:color="auto"/>
        <w:bottom w:val="none" w:sz="0" w:space="0" w:color="auto"/>
        <w:right w:val="none" w:sz="0" w:space="0" w:color="auto"/>
      </w:divBdr>
      <w:divsChild>
        <w:div w:id="1163818664">
          <w:marLeft w:val="0"/>
          <w:marRight w:val="0"/>
          <w:marTop w:val="0"/>
          <w:marBottom w:val="0"/>
          <w:divBdr>
            <w:top w:val="none" w:sz="0" w:space="0" w:color="auto"/>
            <w:left w:val="none" w:sz="0" w:space="0" w:color="auto"/>
            <w:bottom w:val="none" w:sz="0" w:space="0" w:color="auto"/>
            <w:right w:val="none" w:sz="0" w:space="0" w:color="auto"/>
          </w:divBdr>
          <w:divsChild>
            <w:div w:id="99660897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04534052">
      <w:marLeft w:val="0"/>
      <w:marRight w:val="0"/>
      <w:marTop w:val="100"/>
      <w:marBottom w:val="100"/>
      <w:divBdr>
        <w:top w:val="none" w:sz="0" w:space="0" w:color="auto"/>
        <w:left w:val="none" w:sz="0" w:space="0" w:color="auto"/>
        <w:bottom w:val="none" w:sz="0" w:space="0" w:color="auto"/>
        <w:right w:val="none" w:sz="0" w:space="0" w:color="auto"/>
      </w:divBdr>
    </w:div>
    <w:div w:id="605116602">
      <w:marLeft w:val="0"/>
      <w:marRight w:val="0"/>
      <w:marTop w:val="0"/>
      <w:marBottom w:val="0"/>
      <w:divBdr>
        <w:top w:val="none" w:sz="0" w:space="0" w:color="auto"/>
        <w:left w:val="none" w:sz="0" w:space="0" w:color="auto"/>
        <w:bottom w:val="none" w:sz="0" w:space="0" w:color="auto"/>
        <w:right w:val="none" w:sz="0" w:space="0" w:color="auto"/>
      </w:divBdr>
      <w:divsChild>
        <w:div w:id="1052774952">
          <w:marLeft w:val="0"/>
          <w:marRight w:val="0"/>
          <w:marTop w:val="0"/>
          <w:marBottom w:val="100"/>
          <w:divBdr>
            <w:top w:val="none" w:sz="0" w:space="0" w:color="auto"/>
            <w:left w:val="none" w:sz="0" w:space="0" w:color="auto"/>
            <w:bottom w:val="none" w:sz="0" w:space="0" w:color="auto"/>
            <w:right w:val="none" w:sz="0" w:space="0" w:color="auto"/>
          </w:divBdr>
        </w:div>
      </w:divsChild>
    </w:div>
    <w:div w:id="605847215">
      <w:marLeft w:val="0"/>
      <w:marRight w:val="0"/>
      <w:marTop w:val="0"/>
      <w:marBottom w:val="0"/>
      <w:divBdr>
        <w:top w:val="none" w:sz="0" w:space="0" w:color="auto"/>
        <w:left w:val="none" w:sz="0" w:space="0" w:color="auto"/>
        <w:bottom w:val="none" w:sz="0" w:space="0" w:color="auto"/>
        <w:right w:val="none" w:sz="0" w:space="0" w:color="auto"/>
      </w:divBdr>
      <w:divsChild>
        <w:div w:id="1026835391">
          <w:marLeft w:val="0"/>
          <w:marRight w:val="0"/>
          <w:marTop w:val="0"/>
          <w:marBottom w:val="0"/>
          <w:divBdr>
            <w:top w:val="none" w:sz="0" w:space="0" w:color="auto"/>
            <w:left w:val="none" w:sz="0" w:space="0" w:color="auto"/>
            <w:bottom w:val="none" w:sz="0" w:space="0" w:color="auto"/>
            <w:right w:val="none" w:sz="0" w:space="0" w:color="auto"/>
          </w:divBdr>
          <w:divsChild>
            <w:div w:id="94604434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07851236">
      <w:marLeft w:val="0"/>
      <w:marRight w:val="0"/>
      <w:marTop w:val="0"/>
      <w:marBottom w:val="0"/>
      <w:divBdr>
        <w:top w:val="none" w:sz="0" w:space="0" w:color="auto"/>
        <w:left w:val="none" w:sz="0" w:space="0" w:color="auto"/>
        <w:bottom w:val="none" w:sz="0" w:space="0" w:color="auto"/>
        <w:right w:val="none" w:sz="0" w:space="0" w:color="auto"/>
      </w:divBdr>
      <w:divsChild>
        <w:div w:id="2141337822">
          <w:marLeft w:val="0"/>
          <w:marRight w:val="0"/>
          <w:marTop w:val="0"/>
          <w:marBottom w:val="100"/>
          <w:divBdr>
            <w:top w:val="none" w:sz="0" w:space="0" w:color="auto"/>
            <w:left w:val="none" w:sz="0" w:space="0" w:color="auto"/>
            <w:bottom w:val="none" w:sz="0" w:space="0" w:color="auto"/>
            <w:right w:val="none" w:sz="0" w:space="0" w:color="auto"/>
          </w:divBdr>
        </w:div>
      </w:divsChild>
    </w:div>
    <w:div w:id="610091294">
      <w:marLeft w:val="0"/>
      <w:marRight w:val="0"/>
      <w:marTop w:val="0"/>
      <w:marBottom w:val="0"/>
      <w:divBdr>
        <w:top w:val="none" w:sz="0" w:space="0" w:color="auto"/>
        <w:left w:val="none" w:sz="0" w:space="0" w:color="auto"/>
        <w:bottom w:val="none" w:sz="0" w:space="0" w:color="auto"/>
        <w:right w:val="none" w:sz="0" w:space="0" w:color="auto"/>
      </w:divBdr>
      <w:divsChild>
        <w:div w:id="450711628">
          <w:marLeft w:val="0"/>
          <w:marRight w:val="0"/>
          <w:marTop w:val="0"/>
          <w:marBottom w:val="0"/>
          <w:divBdr>
            <w:top w:val="none" w:sz="0" w:space="0" w:color="auto"/>
            <w:left w:val="none" w:sz="0" w:space="0" w:color="auto"/>
            <w:bottom w:val="none" w:sz="0" w:space="0" w:color="auto"/>
            <w:right w:val="none" w:sz="0" w:space="0" w:color="auto"/>
          </w:divBdr>
          <w:divsChild>
            <w:div w:id="90295749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15330589">
      <w:marLeft w:val="0"/>
      <w:marRight w:val="0"/>
      <w:marTop w:val="0"/>
      <w:marBottom w:val="0"/>
      <w:divBdr>
        <w:top w:val="none" w:sz="0" w:space="0" w:color="auto"/>
        <w:left w:val="none" w:sz="0" w:space="0" w:color="auto"/>
        <w:bottom w:val="none" w:sz="0" w:space="0" w:color="auto"/>
        <w:right w:val="none" w:sz="0" w:space="0" w:color="auto"/>
      </w:divBdr>
    </w:div>
    <w:div w:id="615449702">
      <w:marLeft w:val="0"/>
      <w:marRight w:val="0"/>
      <w:marTop w:val="100"/>
      <w:marBottom w:val="0"/>
      <w:divBdr>
        <w:top w:val="none" w:sz="0" w:space="0" w:color="auto"/>
        <w:left w:val="none" w:sz="0" w:space="0" w:color="auto"/>
        <w:bottom w:val="none" w:sz="0" w:space="0" w:color="auto"/>
        <w:right w:val="none" w:sz="0" w:space="0" w:color="auto"/>
      </w:divBdr>
    </w:div>
    <w:div w:id="618299197">
      <w:marLeft w:val="0"/>
      <w:marRight w:val="0"/>
      <w:marTop w:val="90"/>
      <w:marBottom w:val="0"/>
      <w:divBdr>
        <w:top w:val="none" w:sz="0" w:space="0" w:color="auto"/>
        <w:left w:val="none" w:sz="0" w:space="0" w:color="auto"/>
        <w:bottom w:val="none" w:sz="0" w:space="0" w:color="auto"/>
        <w:right w:val="none" w:sz="0" w:space="0" w:color="auto"/>
      </w:divBdr>
    </w:div>
    <w:div w:id="618727212">
      <w:marLeft w:val="0"/>
      <w:marRight w:val="0"/>
      <w:marTop w:val="180"/>
      <w:marBottom w:val="0"/>
      <w:divBdr>
        <w:top w:val="none" w:sz="0" w:space="0" w:color="auto"/>
        <w:left w:val="none" w:sz="0" w:space="0" w:color="auto"/>
        <w:bottom w:val="none" w:sz="0" w:space="0" w:color="auto"/>
        <w:right w:val="none" w:sz="0" w:space="0" w:color="auto"/>
      </w:divBdr>
    </w:div>
    <w:div w:id="618757810">
      <w:marLeft w:val="0"/>
      <w:marRight w:val="0"/>
      <w:marTop w:val="0"/>
      <w:marBottom w:val="0"/>
      <w:divBdr>
        <w:top w:val="none" w:sz="0" w:space="0" w:color="auto"/>
        <w:left w:val="none" w:sz="0" w:space="0" w:color="auto"/>
        <w:bottom w:val="none" w:sz="0" w:space="0" w:color="auto"/>
        <w:right w:val="none" w:sz="0" w:space="0" w:color="auto"/>
      </w:divBdr>
      <w:divsChild>
        <w:div w:id="544178062">
          <w:marLeft w:val="0"/>
          <w:marRight w:val="0"/>
          <w:marTop w:val="0"/>
          <w:marBottom w:val="0"/>
          <w:divBdr>
            <w:top w:val="none" w:sz="0" w:space="0" w:color="auto"/>
            <w:left w:val="none" w:sz="0" w:space="0" w:color="auto"/>
            <w:bottom w:val="none" w:sz="0" w:space="0" w:color="auto"/>
            <w:right w:val="none" w:sz="0" w:space="0" w:color="auto"/>
          </w:divBdr>
          <w:divsChild>
            <w:div w:id="6226514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22733249">
      <w:marLeft w:val="0"/>
      <w:marRight w:val="0"/>
      <w:marTop w:val="0"/>
      <w:marBottom w:val="0"/>
      <w:divBdr>
        <w:top w:val="none" w:sz="0" w:space="0" w:color="auto"/>
        <w:left w:val="none" w:sz="0" w:space="0" w:color="auto"/>
        <w:bottom w:val="none" w:sz="0" w:space="0" w:color="auto"/>
        <w:right w:val="none" w:sz="0" w:space="0" w:color="auto"/>
      </w:divBdr>
    </w:div>
    <w:div w:id="623924290">
      <w:marLeft w:val="0"/>
      <w:marRight w:val="0"/>
      <w:marTop w:val="180"/>
      <w:marBottom w:val="0"/>
      <w:divBdr>
        <w:top w:val="none" w:sz="0" w:space="0" w:color="auto"/>
        <w:left w:val="none" w:sz="0" w:space="0" w:color="auto"/>
        <w:bottom w:val="none" w:sz="0" w:space="0" w:color="auto"/>
        <w:right w:val="none" w:sz="0" w:space="0" w:color="auto"/>
      </w:divBdr>
    </w:div>
    <w:div w:id="623926583">
      <w:marLeft w:val="0"/>
      <w:marRight w:val="0"/>
      <w:marTop w:val="0"/>
      <w:marBottom w:val="0"/>
      <w:divBdr>
        <w:top w:val="none" w:sz="0" w:space="0" w:color="auto"/>
        <w:left w:val="none" w:sz="0" w:space="0" w:color="auto"/>
        <w:bottom w:val="none" w:sz="0" w:space="0" w:color="auto"/>
        <w:right w:val="none" w:sz="0" w:space="0" w:color="auto"/>
      </w:divBdr>
      <w:divsChild>
        <w:div w:id="259721304">
          <w:marLeft w:val="0"/>
          <w:marRight w:val="0"/>
          <w:marTop w:val="0"/>
          <w:marBottom w:val="100"/>
          <w:divBdr>
            <w:top w:val="none" w:sz="0" w:space="0" w:color="auto"/>
            <w:left w:val="none" w:sz="0" w:space="0" w:color="auto"/>
            <w:bottom w:val="none" w:sz="0" w:space="0" w:color="auto"/>
            <w:right w:val="none" w:sz="0" w:space="0" w:color="auto"/>
          </w:divBdr>
        </w:div>
      </w:divsChild>
    </w:div>
    <w:div w:id="624624975">
      <w:marLeft w:val="0"/>
      <w:marRight w:val="0"/>
      <w:marTop w:val="0"/>
      <w:marBottom w:val="100"/>
      <w:divBdr>
        <w:top w:val="none" w:sz="0" w:space="0" w:color="auto"/>
        <w:left w:val="none" w:sz="0" w:space="0" w:color="auto"/>
        <w:bottom w:val="none" w:sz="0" w:space="0" w:color="auto"/>
        <w:right w:val="none" w:sz="0" w:space="0" w:color="auto"/>
      </w:divBdr>
    </w:div>
    <w:div w:id="624774524">
      <w:marLeft w:val="0"/>
      <w:marRight w:val="0"/>
      <w:marTop w:val="0"/>
      <w:marBottom w:val="0"/>
      <w:divBdr>
        <w:top w:val="none" w:sz="0" w:space="0" w:color="auto"/>
        <w:left w:val="none" w:sz="0" w:space="0" w:color="auto"/>
        <w:bottom w:val="none" w:sz="0" w:space="0" w:color="auto"/>
        <w:right w:val="none" w:sz="0" w:space="0" w:color="auto"/>
      </w:divBdr>
      <w:divsChild>
        <w:div w:id="2115008011">
          <w:marLeft w:val="0"/>
          <w:marRight w:val="0"/>
          <w:marTop w:val="0"/>
          <w:marBottom w:val="100"/>
          <w:divBdr>
            <w:top w:val="none" w:sz="0" w:space="0" w:color="auto"/>
            <w:left w:val="none" w:sz="0" w:space="0" w:color="auto"/>
            <w:bottom w:val="none" w:sz="0" w:space="0" w:color="auto"/>
            <w:right w:val="none" w:sz="0" w:space="0" w:color="auto"/>
          </w:divBdr>
        </w:div>
      </w:divsChild>
    </w:div>
    <w:div w:id="625356444">
      <w:marLeft w:val="0"/>
      <w:marRight w:val="0"/>
      <w:marTop w:val="100"/>
      <w:marBottom w:val="100"/>
      <w:divBdr>
        <w:top w:val="none" w:sz="0" w:space="0" w:color="auto"/>
        <w:left w:val="none" w:sz="0" w:space="0" w:color="auto"/>
        <w:bottom w:val="none" w:sz="0" w:space="0" w:color="auto"/>
        <w:right w:val="none" w:sz="0" w:space="0" w:color="auto"/>
      </w:divBdr>
    </w:div>
    <w:div w:id="625814424">
      <w:marLeft w:val="0"/>
      <w:marRight w:val="0"/>
      <w:marTop w:val="180"/>
      <w:marBottom w:val="0"/>
      <w:divBdr>
        <w:top w:val="none" w:sz="0" w:space="0" w:color="auto"/>
        <w:left w:val="none" w:sz="0" w:space="0" w:color="auto"/>
        <w:bottom w:val="none" w:sz="0" w:space="0" w:color="auto"/>
        <w:right w:val="none" w:sz="0" w:space="0" w:color="auto"/>
      </w:divBdr>
    </w:div>
    <w:div w:id="632492181">
      <w:marLeft w:val="0"/>
      <w:marRight w:val="0"/>
      <w:marTop w:val="0"/>
      <w:marBottom w:val="0"/>
      <w:divBdr>
        <w:top w:val="none" w:sz="0" w:space="0" w:color="auto"/>
        <w:left w:val="none" w:sz="0" w:space="0" w:color="auto"/>
        <w:bottom w:val="none" w:sz="0" w:space="0" w:color="auto"/>
        <w:right w:val="none" w:sz="0" w:space="0" w:color="auto"/>
      </w:divBdr>
      <w:divsChild>
        <w:div w:id="78450770">
          <w:marLeft w:val="0"/>
          <w:marRight w:val="0"/>
          <w:marTop w:val="0"/>
          <w:marBottom w:val="100"/>
          <w:divBdr>
            <w:top w:val="none" w:sz="0" w:space="0" w:color="auto"/>
            <w:left w:val="none" w:sz="0" w:space="0" w:color="auto"/>
            <w:bottom w:val="none" w:sz="0" w:space="0" w:color="auto"/>
            <w:right w:val="none" w:sz="0" w:space="0" w:color="auto"/>
          </w:divBdr>
        </w:div>
      </w:divsChild>
    </w:div>
    <w:div w:id="633483266">
      <w:marLeft w:val="0"/>
      <w:marRight w:val="0"/>
      <w:marTop w:val="100"/>
      <w:marBottom w:val="100"/>
      <w:divBdr>
        <w:top w:val="none" w:sz="0" w:space="0" w:color="auto"/>
        <w:left w:val="none" w:sz="0" w:space="0" w:color="auto"/>
        <w:bottom w:val="none" w:sz="0" w:space="0" w:color="auto"/>
        <w:right w:val="none" w:sz="0" w:space="0" w:color="auto"/>
      </w:divBdr>
    </w:div>
    <w:div w:id="634406408">
      <w:marLeft w:val="0"/>
      <w:marRight w:val="0"/>
      <w:marTop w:val="180"/>
      <w:marBottom w:val="0"/>
      <w:divBdr>
        <w:top w:val="none" w:sz="0" w:space="0" w:color="auto"/>
        <w:left w:val="none" w:sz="0" w:space="0" w:color="auto"/>
        <w:bottom w:val="none" w:sz="0" w:space="0" w:color="auto"/>
        <w:right w:val="none" w:sz="0" w:space="0" w:color="auto"/>
      </w:divBdr>
    </w:div>
    <w:div w:id="637883118">
      <w:marLeft w:val="0"/>
      <w:marRight w:val="0"/>
      <w:marTop w:val="100"/>
      <w:marBottom w:val="100"/>
      <w:divBdr>
        <w:top w:val="none" w:sz="0" w:space="0" w:color="auto"/>
        <w:left w:val="none" w:sz="0" w:space="0" w:color="auto"/>
        <w:bottom w:val="none" w:sz="0" w:space="0" w:color="auto"/>
        <w:right w:val="none" w:sz="0" w:space="0" w:color="auto"/>
      </w:divBdr>
    </w:div>
    <w:div w:id="640233969">
      <w:marLeft w:val="0"/>
      <w:marRight w:val="0"/>
      <w:marTop w:val="180"/>
      <w:marBottom w:val="0"/>
      <w:divBdr>
        <w:top w:val="none" w:sz="0" w:space="0" w:color="auto"/>
        <w:left w:val="none" w:sz="0" w:space="0" w:color="auto"/>
        <w:bottom w:val="none" w:sz="0" w:space="0" w:color="auto"/>
        <w:right w:val="none" w:sz="0" w:space="0" w:color="auto"/>
      </w:divBdr>
      <w:divsChild>
        <w:div w:id="1371103995">
          <w:marLeft w:val="0"/>
          <w:marRight w:val="0"/>
          <w:marTop w:val="0"/>
          <w:marBottom w:val="0"/>
          <w:divBdr>
            <w:top w:val="none" w:sz="0" w:space="0" w:color="auto"/>
            <w:left w:val="none" w:sz="0" w:space="0" w:color="auto"/>
            <w:bottom w:val="none" w:sz="0" w:space="0" w:color="auto"/>
            <w:right w:val="none" w:sz="0" w:space="0" w:color="auto"/>
          </w:divBdr>
        </w:div>
        <w:div w:id="1527670660">
          <w:marLeft w:val="0"/>
          <w:marRight w:val="0"/>
          <w:marTop w:val="0"/>
          <w:marBottom w:val="0"/>
          <w:divBdr>
            <w:top w:val="none" w:sz="0" w:space="0" w:color="auto"/>
            <w:left w:val="none" w:sz="0" w:space="0" w:color="auto"/>
            <w:bottom w:val="none" w:sz="0" w:space="0" w:color="auto"/>
            <w:right w:val="none" w:sz="0" w:space="0" w:color="auto"/>
          </w:divBdr>
        </w:div>
        <w:div w:id="1664970325">
          <w:marLeft w:val="0"/>
          <w:marRight w:val="0"/>
          <w:marTop w:val="0"/>
          <w:marBottom w:val="0"/>
          <w:divBdr>
            <w:top w:val="none" w:sz="0" w:space="0" w:color="auto"/>
            <w:left w:val="none" w:sz="0" w:space="0" w:color="auto"/>
            <w:bottom w:val="none" w:sz="0" w:space="0" w:color="auto"/>
            <w:right w:val="none" w:sz="0" w:space="0" w:color="auto"/>
          </w:divBdr>
        </w:div>
        <w:div w:id="1437604573">
          <w:marLeft w:val="0"/>
          <w:marRight w:val="0"/>
          <w:marTop w:val="0"/>
          <w:marBottom w:val="0"/>
          <w:divBdr>
            <w:top w:val="none" w:sz="0" w:space="0" w:color="auto"/>
            <w:left w:val="none" w:sz="0" w:space="0" w:color="auto"/>
            <w:bottom w:val="none" w:sz="0" w:space="0" w:color="auto"/>
            <w:right w:val="none" w:sz="0" w:space="0" w:color="auto"/>
          </w:divBdr>
        </w:div>
        <w:div w:id="297418839">
          <w:marLeft w:val="0"/>
          <w:marRight w:val="0"/>
          <w:marTop w:val="0"/>
          <w:marBottom w:val="0"/>
          <w:divBdr>
            <w:top w:val="none" w:sz="0" w:space="0" w:color="auto"/>
            <w:left w:val="none" w:sz="0" w:space="0" w:color="auto"/>
            <w:bottom w:val="none" w:sz="0" w:space="0" w:color="auto"/>
            <w:right w:val="none" w:sz="0" w:space="0" w:color="auto"/>
          </w:divBdr>
        </w:div>
        <w:div w:id="1850216008">
          <w:marLeft w:val="0"/>
          <w:marRight w:val="0"/>
          <w:marTop w:val="0"/>
          <w:marBottom w:val="0"/>
          <w:divBdr>
            <w:top w:val="none" w:sz="0" w:space="0" w:color="auto"/>
            <w:left w:val="none" w:sz="0" w:space="0" w:color="auto"/>
            <w:bottom w:val="none" w:sz="0" w:space="0" w:color="auto"/>
            <w:right w:val="none" w:sz="0" w:space="0" w:color="auto"/>
          </w:divBdr>
        </w:div>
        <w:div w:id="1640724547">
          <w:marLeft w:val="0"/>
          <w:marRight w:val="0"/>
          <w:marTop w:val="0"/>
          <w:marBottom w:val="0"/>
          <w:divBdr>
            <w:top w:val="none" w:sz="0" w:space="0" w:color="auto"/>
            <w:left w:val="none" w:sz="0" w:space="0" w:color="auto"/>
            <w:bottom w:val="none" w:sz="0" w:space="0" w:color="auto"/>
            <w:right w:val="none" w:sz="0" w:space="0" w:color="auto"/>
          </w:divBdr>
        </w:div>
        <w:div w:id="1080099189">
          <w:marLeft w:val="0"/>
          <w:marRight w:val="0"/>
          <w:marTop w:val="0"/>
          <w:marBottom w:val="0"/>
          <w:divBdr>
            <w:top w:val="none" w:sz="0" w:space="0" w:color="auto"/>
            <w:left w:val="none" w:sz="0" w:space="0" w:color="auto"/>
            <w:bottom w:val="none" w:sz="0" w:space="0" w:color="auto"/>
            <w:right w:val="none" w:sz="0" w:space="0" w:color="auto"/>
          </w:divBdr>
        </w:div>
        <w:div w:id="1619095172">
          <w:marLeft w:val="0"/>
          <w:marRight w:val="0"/>
          <w:marTop w:val="0"/>
          <w:marBottom w:val="0"/>
          <w:divBdr>
            <w:top w:val="none" w:sz="0" w:space="0" w:color="auto"/>
            <w:left w:val="none" w:sz="0" w:space="0" w:color="auto"/>
            <w:bottom w:val="none" w:sz="0" w:space="0" w:color="auto"/>
            <w:right w:val="none" w:sz="0" w:space="0" w:color="auto"/>
          </w:divBdr>
        </w:div>
        <w:div w:id="1752309612">
          <w:marLeft w:val="0"/>
          <w:marRight w:val="0"/>
          <w:marTop w:val="0"/>
          <w:marBottom w:val="0"/>
          <w:divBdr>
            <w:top w:val="none" w:sz="0" w:space="0" w:color="auto"/>
            <w:left w:val="none" w:sz="0" w:space="0" w:color="auto"/>
            <w:bottom w:val="none" w:sz="0" w:space="0" w:color="auto"/>
            <w:right w:val="none" w:sz="0" w:space="0" w:color="auto"/>
          </w:divBdr>
        </w:div>
        <w:div w:id="223492862">
          <w:marLeft w:val="0"/>
          <w:marRight w:val="0"/>
          <w:marTop w:val="0"/>
          <w:marBottom w:val="0"/>
          <w:divBdr>
            <w:top w:val="none" w:sz="0" w:space="0" w:color="auto"/>
            <w:left w:val="none" w:sz="0" w:space="0" w:color="auto"/>
            <w:bottom w:val="none" w:sz="0" w:space="0" w:color="auto"/>
            <w:right w:val="none" w:sz="0" w:space="0" w:color="auto"/>
          </w:divBdr>
        </w:div>
        <w:div w:id="959532065">
          <w:marLeft w:val="0"/>
          <w:marRight w:val="0"/>
          <w:marTop w:val="0"/>
          <w:marBottom w:val="0"/>
          <w:divBdr>
            <w:top w:val="none" w:sz="0" w:space="0" w:color="auto"/>
            <w:left w:val="none" w:sz="0" w:space="0" w:color="auto"/>
            <w:bottom w:val="none" w:sz="0" w:space="0" w:color="auto"/>
            <w:right w:val="none" w:sz="0" w:space="0" w:color="auto"/>
          </w:divBdr>
        </w:div>
      </w:divsChild>
    </w:div>
    <w:div w:id="640379939">
      <w:marLeft w:val="0"/>
      <w:marRight w:val="0"/>
      <w:marTop w:val="100"/>
      <w:marBottom w:val="100"/>
      <w:divBdr>
        <w:top w:val="none" w:sz="0" w:space="0" w:color="auto"/>
        <w:left w:val="none" w:sz="0" w:space="0" w:color="auto"/>
        <w:bottom w:val="none" w:sz="0" w:space="0" w:color="auto"/>
        <w:right w:val="none" w:sz="0" w:space="0" w:color="auto"/>
      </w:divBdr>
      <w:divsChild>
        <w:div w:id="796098189">
          <w:marLeft w:val="0"/>
          <w:marRight w:val="0"/>
          <w:marTop w:val="0"/>
          <w:marBottom w:val="0"/>
          <w:divBdr>
            <w:top w:val="none" w:sz="0" w:space="0" w:color="auto"/>
            <w:left w:val="none" w:sz="0" w:space="0" w:color="auto"/>
            <w:bottom w:val="none" w:sz="0" w:space="0" w:color="auto"/>
            <w:right w:val="none" w:sz="0" w:space="0" w:color="auto"/>
          </w:divBdr>
        </w:div>
        <w:div w:id="554239828">
          <w:marLeft w:val="0"/>
          <w:marRight w:val="0"/>
          <w:marTop w:val="0"/>
          <w:marBottom w:val="0"/>
          <w:divBdr>
            <w:top w:val="none" w:sz="0" w:space="0" w:color="auto"/>
            <w:left w:val="none" w:sz="0" w:space="0" w:color="auto"/>
            <w:bottom w:val="none" w:sz="0" w:space="0" w:color="auto"/>
            <w:right w:val="none" w:sz="0" w:space="0" w:color="auto"/>
          </w:divBdr>
        </w:div>
        <w:div w:id="877475864">
          <w:marLeft w:val="0"/>
          <w:marRight w:val="0"/>
          <w:marTop w:val="0"/>
          <w:marBottom w:val="0"/>
          <w:divBdr>
            <w:top w:val="none" w:sz="0" w:space="0" w:color="auto"/>
            <w:left w:val="none" w:sz="0" w:space="0" w:color="auto"/>
            <w:bottom w:val="none" w:sz="0" w:space="0" w:color="auto"/>
            <w:right w:val="none" w:sz="0" w:space="0" w:color="auto"/>
          </w:divBdr>
        </w:div>
        <w:div w:id="85619906">
          <w:marLeft w:val="0"/>
          <w:marRight w:val="0"/>
          <w:marTop w:val="0"/>
          <w:marBottom w:val="0"/>
          <w:divBdr>
            <w:top w:val="none" w:sz="0" w:space="0" w:color="auto"/>
            <w:left w:val="none" w:sz="0" w:space="0" w:color="auto"/>
            <w:bottom w:val="none" w:sz="0" w:space="0" w:color="auto"/>
            <w:right w:val="none" w:sz="0" w:space="0" w:color="auto"/>
          </w:divBdr>
        </w:div>
        <w:div w:id="1480682867">
          <w:marLeft w:val="0"/>
          <w:marRight w:val="0"/>
          <w:marTop w:val="0"/>
          <w:marBottom w:val="0"/>
          <w:divBdr>
            <w:top w:val="none" w:sz="0" w:space="0" w:color="auto"/>
            <w:left w:val="none" w:sz="0" w:space="0" w:color="auto"/>
            <w:bottom w:val="none" w:sz="0" w:space="0" w:color="auto"/>
            <w:right w:val="none" w:sz="0" w:space="0" w:color="auto"/>
          </w:divBdr>
        </w:div>
        <w:div w:id="230240282">
          <w:marLeft w:val="0"/>
          <w:marRight w:val="0"/>
          <w:marTop w:val="0"/>
          <w:marBottom w:val="0"/>
          <w:divBdr>
            <w:top w:val="none" w:sz="0" w:space="0" w:color="auto"/>
            <w:left w:val="none" w:sz="0" w:space="0" w:color="auto"/>
            <w:bottom w:val="none" w:sz="0" w:space="0" w:color="auto"/>
            <w:right w:val="none" w:sz="0" w:space="0" w:color="auto"/>
          </w:divBdr>
        </w:div>
      </w:divsChild>
    </w:div>
    <w:div w:id="640885075">
      <w:marLeft w:val="0"/>
      <w:marRight w:val="0"/>
      <w:marTop w:val="180"/>
      <w:marBottom w:val="0"/>
      <w:divBdr>
        <w:top w:val="none" w:sz="0" w:space="0" w:color="auto"/>
        <w:left w:val="none" w:sz="0" w:space="0" w:color="auto"/>
        <w:bottom w:val="none" w:sz="0" w:space="0" w:color="auto"/>
        <w:right w:val="none" w:sz="0" w:space="0" w:color="auto"/>
      </w:divBdr>
    </w:div>
    <w:div w:id="641035759">
      <w:marLeft w:val="0"/>
      <w:marRight w:val="0"/>
      <w:marTop w:val="0"/>
      <w:marBottom w:val="100"/>
      <w:divBdr>
        <w:top w:val="none" w:sz="0" w:space="0" w:color="auto"/>
        <w:left w:val="none" w:sz="0" w:space="0" w:color="auto"/>
        <w:bottom w:val="none" w:sz="0" w:space="0" w:color="auto"/>
        <w:right w:val="none" w:sz="0" w:space="0" w:color="auto"/>
      </w:divBdr>
    </w:div>
    <w:div w:id="644117132">
      <w:marLeft w:val="0"/>
      <w:marRight w:val="0"/>
      <w:marTop w:val="0"/>
      <w:marBottom w:val="0"/>
      <w:divBdr>
        <w:top w:val="none" w:sz="0" w:space="0" w:color="auto"/>
        <w:left w:val="none" w:sz="0" w:space="0" w:color="auto"/>
        <w:bottom w:val="none" w:sz="0" w:space="0" w:color="auto"/>
        <w:right w:val="none" w:sz="0" w:space="0" w:color="auto"/>
      </w:divBdr>
      <w:divsChild>
        <w:div w:id="515114442">
          <w:marLeft w:val="0"/>
          <w:marRight w:val="0"/>
          <w:marTop w:val="0"/>
          <w:marBottom w:val="0"/>
          <w:divBdr>
            <w:top w:val="none" w:sz="0" w:space="0" w:color="auto"/>
            <w:left w:val="none" w:sz="0" w:space="0" w:color="auto"/>
            <w:bottom w:val="none" w:sz="0" w:space="0" w:color="auto"/>
            <w:right w:val="none" w:sz="0" w:space="0" w:color="auto"/>
          </w:divBdr>
          <w:divsChild>
            <w:div w:id="126026148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44546764">
      <w:marLeft w:val="0"/>
      <w:marRight w:val="0"/>
      <w:marTop w:val="0"/>
      <w:marBottom w:val="0"/>
      <w:divBdr>
        <w:top w:val="none" w:sz="0" w:space="0" w:color="auto"/>
        <w:left w:val="none" w:sz="0" w:space="0" w:color="auto"/>
        <w:bottom w:val="none" w:sz="0" w:space="0" w:color="auto"/>
        <w:right w:val="none" w:sz="0" w:space="0" w:color="auto"/>
      </w:divBdr>
    </w:div>
    <w:div w:id="646670557">
      <w:marLeft w:val="0"/>
      <w:marRight w:val="0"/>
      <w:marTop w:val="0"/>
      <w:marBottom w:val="0"/>
      <w:divBdr>
        <w:top w:val="none" w:sz="0" w:space="0" w:color="auto"/>
        <w:left w:val="none" w:sz="0" w:space="0" w:color="auto"/>
        <w:bottom w:val="none" w:sz="0" w:space="0" w:color="auto"/>
        <w:right w:val="none" w:sz="0" w:space="0" w:color="auto"/>
      </w:divBdr>
      <w:divsChild>
        <w:div w:id="860821323">
          <w:marLeft w:val="0"/>
          <w:marRight w:val="0"/>
          <w:marTop w:val="0"/>
          <w:marBottom w:val="0"/>
          <w:divBdr>
            <w:top w:val="none" w:sz="0" w:space="0" w:color="auto"/>
            <w:left w:val="none" w:sz="0" w:space="0" w:color="auto"/>
            <w:bottom w:val="none" w:sz="0" w:space="0" w:color="auto"/>
            <w:right w:val="none" w:sz="0" w:space="0" w:color="auto"/>
          </w:divBdr>
          <w:divsChild>
            <w:div w:id="56545663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46858479">
      <w:marLeft w:val="0"/>
      <w:marRight w:val="0"/>
      <w:marTop w:val="100"/>
      <w:marBottom w:val="100"/>
      <w:divBdr>
        <w:top w:val="none" w:sz="0" w:space="0" w:color="auto"/>
        <w:left w:val="none" w:sz="0" w:space="0" w:color="auto"/>
        <w:bottom w:val="none" w:sz="0" w:space="0" w:color="auto"/>
        <w:right w:val="none" w:sz="0" w:space="0" w:color="auto"/>
      </w:divBdr>
    </w:div>
    <w:div w:id="647247633">
      <w:marLeft w:val="0"/>
      <w:marRight w:val="0"/>
      <w:marTop w:val="0"/>
      <w:marBottom w:val="0"/>
      <w:divBdr>
        <w:top w:val="none" w:sz="0" w:space="0" w:color="auto"/>
        <w:left w:val="none" w:sz="0" w:space="0" w:color="auto"/>
        <w:bottom w:val="none" w:sz="0" w:space="0" w:color="auto"/>
        <w:right w:val="none" w:sz="0" w:space="0" w:color="auto"/>
      </w:divBdr>
      <w:divsChild>
        <w:div w:id="1787429742">
          <w:marLeft w:val="0"/>
          <w:marRight w:val="0"/>
          <w:marTop w:val="0"/>
          <w:marBottom w:val="100"/>
          <w:divBdr>
            <w:top w:val="none" w:sz="0" w:space="0" w:color="auto"/>
            <w:left w:val="none" w:sz="0" w:space="0" w:color="auto"/>
            <w:bottom w:val="none" w:sz="0" w:space="0" w:color="auto"/>
            <w:right w:val="none" w:sz="0" w:space="0" w:color="auto"/>
          </w:divBdr>
        </w:div>
      </w:divsChild>
    </w:div>
    <w:div w:id="647438954">
      <w:marLeft w:val="0"/>
      <w:marRight w:val="0"/>
      <w:marTop w:val="0"/>
      <w:marBottom w:val="100"/>
      <w:divBdr>
        <w:top w:val="none" w:sz="0" w:space="0" w:color="auto"/>
        <w:left w:val="none" w:sz="0" w:space="0" w:color="auto"/>
        <w:bottom w:val="none" w:sz="0" w:space="0" w:color="auto"/>
        <w:right w:val="none" w:sz="0" w:space="0" w:color="auto"/>
      </w:divBdr>
    </w:div>
    <w:div w:id="648941982">
      <w:marLeft w:val="0"/>
      <w:marRight w:val="0"/>
      <w:marTop w:val="100"/>
      <w:marBottom w:val="100"/>
      <w:divBdr>
        <w:top w:val="none" w:sz="0" w:space="0" w:color="auto"/>
        <w:left w:val="none" w:sz="0" w:space="0" w:color="auto"/>
        <w:bottom w:val="none" w:sz="0" w:space="0" w:color="auto"/>
        <w:right w:val="none" w:sz="0" w:space="0" w:color="auto"/>
      </w:divBdr>
    </w:div>
    <w:div w:id="649753266">
      <w:marLeft w:val="0"/>
      <w:marRight w:val="0"/>
      <w:marTop w:val="0"/>
      <w:marBottom w:val="0"/>
      <w:divBdr>
        <w:top w:val="none" w:sz="0" w:space="0" w:color="auto"/>
        <w:left w:val="none" w:sz="0" w:space="0" w:color="auto"/>
        <w:bottom w:val="none" w:sz="0" w:space="0" w:color="auto"/>
        <w:right w:val="none" w:sz="0" w:space="0" w:color="auto"/>
      </w:divBdr>
    </w:div>
    <w:div w:id="649866651">
      <w:marLeft w:val="0"/>
      <w:marRight w:val="0"/>
      <w:marTop w:val="0"/>
      <w:marBottom w:val="100"/>
      <w:divBdr>
        <w:top w:val="none" w:sz="0" w:space="0" w:color="auto"/>
        <w:left w:val="none" w:sz="0" w:space="0" w:color="auto"/>
        <w:bottom w:val="none" w:sz="0" w:space="0" w:color="auto"/>
        <w:right w:val="none" w:sz="0" w:space="0" w:color="auto"/>
      </w:divBdr>
    </w:div>
    <w:div w:id="650255891">
      <w:marLeft w:val="0"/>
      <w:marRight w:val="0"/>
      <w:marTop w:val="0"/>
      <w:marBottom w:val="100"/>
      <w:divBdr>
        <w:top w:val="none" w:sz="0" w:space="0" w:color="auto"/>
        <w:left w:val="none" w:sz="0" w:space="0" w:color="auto"/>
        <w:bottom w:val="none" w:sz="0" w:space="0" w:color="auto"/>
        <w:right w:val="none" w:sz="0" w:space="0" w:color="auto"/>
      </w:divBdr>
    </w:div>
    <w:div w:id="651568628">
      <w:marLeft w:val="0"/>
      <w:marRight w:val="0"/>
      <w:marTop w:val="0"/>
      <w:marBottom w:val="0"/>
      <w:divBdr>
        <w:top w:val="none" w:sz="0" w:space="0" w:color="auto"/>
        <w:left w:val="none" w:sz="0" w:space="0" w:color="auto"/>
        <w:bottom w:val="none" w:sz="0" w:space="0" w:color="auto"/>
        <w:right w:val="none" w:sz="0" w:space="0" w:color="auto"/>
      </w:divBdr>
      <w:divsChild>
        <w:div w:id="318506622">
          <w:marLeft w:val="0"/>
          <w:marRight w:val="0"/>
          <w:marTop w:val="0"/>
          <w:marBottom w:val="100"/>
          <w:divBdr>
            <w:top w:val="none" w:sz="0" w:space="0" w:color="auto"/>
            <w:left w:val="none" w:sz="0" w:space="0" w:color="auto"/>
            <w:bottom w:val="none" w:sz="0" w:space="0" w:color="auto"/>
            <w:right w:val="none" w:sz="0" w:space="0" w:color="auto"/>
          </w:divBdr>
        </w:div>
      </w:divsChild>
    </w:div>
    <w:div w:id="652032221">
      <w:marLeft w:val="0"/>
      <w:marRight w:val="0"/>
      <w:marTop w:val="0"/>
      <w:marBottom w:val="0"/>
      <w:divBdr>
        <w:top w:val="none" w:sz="0" w:space="0" w:color="auto"/>
        <w:left w:val="none" w:sz="0" w:space="0" w:color="auto"/>
        <w:bottom w:val="none" w:sz="0" w:space="0" w:color="auto"/>
        <w:right w:val="none" w:sz="0" w:space="0" w:color="auto"/>
      </w:divBdr>
      <w:divsChild>
        <w:div w:id="317538056">
          <w:marLeft w:val="0"/>
          <w:marRight w:val="0"/>
          <w:marTop w:val="0"/>
          <w:marBottom w:val="100"/>
          <w:divBdr>
            <w:top w:val="none" w:sz="0" w:space="0" w:color="auto"/>
            <w:left w:val="none" w:sz="0" w:space="0" w:color="auto"/>
            <w:bottom w:val="none" w:sz="0" w:space="0" w:color="auto"/>
            <w:right w:val="none" w:sz="0" w:space="0" w:color="auto"/>
          </w:divBdr>
        </w:div>
      </w:divsChild>
    </w:div>
    <w:div w:id="652216796">
      <w:marLeft w:val="0"/>
      <w:marRight w:val="0"/>
      <w:marTop w:val="0"/>
      <w:marBottom w:val="0"/>
      <w:divBdr>
        <w:top w:val="none" w:sz="0" w:space="0" w:color="auto"/>
        <w:left w:val="none" w:sz="0" w:space="0" w:color="auto"/>
        <w:bottom w:val="none" w:sz="0" w:space="0" w:color="auto"/>
        <w:right w:val="none" w:sz="0" w:space="0" w:color="auto"/>
      </w:divBdr>
      <w:divsChild>
        <w:div w:id="1755933121">
          <w:marLeft w:val="0"/>
          <w:marRight w:val="0"/>
          <w:marTop w:val="0"/>
          <w:marBottom w:val="100"/>
          <w:divBdr>
            <w:top w:val="none" w:sz="0" w:space="0" w:color="auto"/>
            <w:left w:val="none" w:sz="0" w:space="0" w:color="auto"/>
            <w:bottom w:val="none" w:sz="0" w:space="0" w:color="auto"/>
            <w:right w:val="none" w:sz="0" w:space="0" w:color="auto"/>
          </w:divBdr>
        </w:div>
      </w:divsChild>
    </w:div>
    <w:div w:id="653263554">
      <w:marLeft w:val="0"/>
      <w:marRight w:val="0"/>
      <w:marTop w:val="100"/>
      <w:marBottom w:val="100"/>
      <w:divBdr>
        <w:top w:val="none" w:sz="0" w:space="0" w:color="auto"/>
        <w:left w:val="none" w:sz="0" w:space="0" w:color="auto"/>
        <w:bottom w:val="none" w:sz="0" w:space="0" w:color="auto"/>
        <w:right w:val="none" w:sz="0" w:space="0" w:color="auto"/>
      </w:divBdr>
    </w:div>
    <w:div w:id="655380541">
      <w:marLeft w:val="0"/>
      <w:marRight w:val="0"/>
      <w:marTop w:val="180"/>
      <w:marBottom w:val="100"/>
      <w:divBdr>
        <w:top w:val="none" w:sz="0" w:space="0" w:color="auto"/>
        <w:left w:val="none" w:sz="0" w:space="0" w:color="auto"/>
        <w:bottom w:val="none" w:sz="0" w:space="0" w:color="auto"/>
        <w:right w:val="none" w:sz="0" w:space="0" w:color="auto"/>
      </w:divBdr>
    </w:div>
    <w:div w:id="657149577">
      <w:marLeft w:val="0"/>
      <w:marRight w:val="0"/>
      <w:marTop w:val="100"/>
      <w:marBottom w:val="0"/>
      <w:divBdr>
        <w:top w:val="none" w:sz="0" w:space="0" w:color="auto"/>
        <w:left w:val="none" w:sz="0" w:space="0" w:color="auto"/>
        <w:bottom w:val="none" w:sz="0" w:space="0" w:color="auto"/>
        <w:right w:val="none" w:sz="0" w:space="0" w:color="auto"/>
      </w:divBdr>
    </w:div>
    <w:div w:id="658537877">
      <w:marLeft w:val="0"/>
      <w:marRight w:val="0"/>
      <w:marTop w:val="0"/>
      <w:marBottom w:val="0"/>
      <w:divBdr>
        <w:top w:val="none" w:sz="0" w:space="0" w:color="auto"/>
        <w:left w:val="none" w:sz="0" w:space="0" w:color="auto"/>
        <w:bottom w:val="none" w:sz="0" w:space="0" w:color="auto"/>
        <w:right w:val="none" w:sz="0" w:space="0" w:color="auto"/>
      </w:divBdr>
    </w:div>
    <w:div w:id="661127604">
      <w:marLeft w:val="0"/>
      <w:marRight w:val="0"/>
      <w:marTop w:val="0"/>
      <w:marBottom w:val="100"/>
      <w:divBdr>
        <w:top w:val="none" w:sz="0" w:space="0" w:color="auto"/>
        <w:left w:val="none" w:sz="0" w:space="0" w:color="auto"/>
        <w:bottom w:val="none" w:sz="0" w:space="0" w:color="auto"/>
        <w:right w:val="none" w:sz="0" w:space="0" w:color="auto"/>
      </w:divBdr>
    </w:div>
    <w:div w:id="661276801">
      <w:marLeft w:val="0"/>
      <w:marRight w:val="0"/>
      <w:marTop w:val="0"/>
      <w:marBottom w:val="0"/>
      <w:divBdr>
        <w:top w:val="none" w:sz="0" w:space="0" w:color="auto"/>
        <w:left w:val="none" w:sz="0" w:space="0" w:color="auto"/>
        <w:bottom w:val="none" w:sz="0" w:space="0" w:color="auto"/>
        <w:right w:val="none" w:sz="0" w:space="0" w:color="auto"/>
      </w:divBdr>
      <w:divsChild>
        <w:div w:id="1972399633">
          <w:marLeft w:val="0"/>
          <w:marRight w:val="0"/>
          <w:marTop w:val="0"/>
          <w:marBottom w:val="0"/>
          <w:divBdr>
            <w:top w:val="none" w:sz="0" w:space="0" w:color="auto"/>
            <w:left w:val="none" w:sz="0" w:space="0" w:color="auto"/>
            <w:bottom w:val="none" w:sz="0" w:space="0" w:color="auto"/>
            <w:right w:val="none" w:sz="0" w:space="0" w:color="auto"/>
          </w:divBdr>
          <w:divsChild>
            <w:div w:id="12820328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61782532">
      <w:marLeft w:val="0"/>
      <w:marRight w:val="0"/>
      <w:marTop w:val="180"/>
      <w:marBottom w:val="0"/>
      <w:divBdr>
        <w:top w:val="none" w:sz="0" w:space="0" w:color="auto"/>
        <w:left w:val="none" w:sz="0" w:space="0" w:color="auto"/>
        <w:bottom w:val="none" w:sz="0" w:space="0" w:color="auto"/>
        <w:right w:val="none" w:sz="0" w:space="0" w:color="auto"/>
      </w:divBdr>
    </w:div>
    <w:div w:id="661815217">
      <w:marLeft w:val="0"/>
      <w:marRight w:val="0"/>
      <w:marTop w:val="0"/>
      <w:marBottom w:val="100"/>
      <w:divBdr>
        <w:top w:val="none" w:sz="0" w:space="0" w:color="auto"/>
        <w:left w:val="none" w:sz="0" w:space="0" w:color="auto"/>
        <w:bottom w:val="none" w:sz="0" w:space="0" w:color="auto"/>
        <w:right w:val="none" w:sz="0" w:space="0" w:color="auto"/>
      </w:divBdr>
    </w:div>
    <w:div w:id="664358169">
      <w:marLeft w:val="0"/>
      <w:marRight w:val="0"/>
      <w:marTop w:val="100"/>
      <w:marBottom w:val="100"/>
      <w:divBdr>
        <w:top w:val="none" w:sz="0" w:space="0" w:color="auto"/>
        <w:left w:val="none" w:sz="0" w:space="0" w:color="auto"/>
        <w:bottom w:val="none" w:sz="0" w:space="0" w:color="auto"/>
        <w:right w:val="none" w:sz="0" w:space="0" w:color="auto"/>
      </w:divBdr>
    </w:div>
    <w:div w:id="665942055">
      <w:marLeft w:val="0"/>
      <w:marRight w:val="0"/>
      <w:marTop w:val="0"/>
      <w:marBottom w:val="0"/>
      <w:divBdr>
        <w:top w:val="none" w:sz="0" w:space="0" w:color="auto"/>
        <w:left w:val="none" w:sz="0" w:space="0" w:color="auto"/>
        <w:bottom w:val="none" w:sz="0" w:space="0" w:color="auto"/>
        <w:right w:val="none" w:sz="0" w:space="0" w:color="auto"/>
      </w:divBdr>
      <w:divsChild>
        <w:div w:id="658266446">
          <w:marLeft w:val="0"/>
          <w:marRight w:val="0"/>
          <w:marTop w:val="0"/>
          <w:marBottom w:val="0"/>
          <w:divBdr>
            <w:top w:val="none" w:sz="0" w:space="0" w:color="auto"/>
            <w:left w:val="none" w:sz="0" w:space="0" w:color="auto"/>
            <w:bottom w:val="none" w:sz="0" w:space="0" w:color="auto"/>
            <w:right w:val="none" w:sz="0" w:space="0" w:color="auto"/>
          </w:divBdr>
          <w:divsChild>
            <w:div w:id="112060946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66058666">
      <w:marLeft w:val="0"/>
      <w:marRight w:val="0"/>
      <w:marTop w:val="0"/>
      <w:marBottom w:val="0"/>
      <w:divBdr>
        <w:top w:val="none" w:sz="0" w:space="0" w:color="auto"/>
        <w:left w:val="none" w:sz="0" w:space="0" w:color="auto"/>
        <w:bottom w:val="none" w:sz="0" w:space="0" w:color="auto"/>
        <w:right w:val="none" w:sz="0" w:space="0" w:color="auto"/>
      </w:divBdr>
    </w:div>
    <w:div w:id="668598758">
      <w:marLeft w:val="0"/>
      <w:marRight w:val="0"/>
      <w:marTop w:val="80"/>
      <w:marBottom w:val="100"/>
      <w:divBdr>
        <w:top w:val="none" w:sz="0" w:space="0" w:color="auto"/>
        <w:left w:val="none" w:sz="0" w:space="0" w:color="auto"/>
        <w:bottom w:val="none" w:sz="0" w:space="0" w:color="auto"/>
        <w:right w:val="none" w:sz="0" w:space="0" w:color="auto"/>
      </w:divBdr>
    </w:div>
    <w:div w:id="669256399">
      <w:marLeft w:val="0"/>
      <w:marRight w:val="0"/>
      <w:marTop w:val="100"/>
      <w:marBottom w:val="0"/>
      <w:divBdr>
        <w:top w:val="none" w:sz="0" w:space="0" w:color="auto"/>
        <w:left w:val="none" w:sz="0" w:space="0" w:color="auto"/>
        <w:bottom w:val="none" w:sz="0" w:space="0" w:color="auto"/>
        <w:right w:val="none" w:sz="0" w:space="0" w:color="auto"/>
      </w:divBdr>
    </w:div>
    <w:div w:id="669336575">
      <w:marLeft w:val="0"/>
      <w:marRight w:val="0"/>
      <w:marTop w:val="180"/>
      <w:marBottom w:val="0"/>
      <w:divBdr>
        <w:top w:val="none" w:sz="0" w:space="0" w:color="auto"/>
        <w:left w:val="none" w:sz="0" w:space="0" w:color="auto"/>
        <w:bottom w:val="none" w:sz="0" w:space="0" w:color="auto"/>
        <w:right w:val="none" w:sz="0" w:space="0" w:color="auto"/>
      </w:divBdr>
      <w:divsChild>
        <w:div w:id="1408991053">
          <w:marLeft w:val="0"/>
          <w:marRight w:val="0"/>
          <w:marTop w:val="0"/>
          <w:marBottom w:val="0"/>
          <w:divBdr>
            <w:top w:val="none" w:sz="0" w:space="0" w:color="auto"/>
            <w:left w:val="none" w:sz="0" w:space="0" w:color="auto"/>
            <w:bottom w:val="none" w:sz="0" w:space="0" w:color="auto"/>
            <w:right w:val="none" w:sz="0" w:space="0" w:color="auto"/>
          </w:divBdr>
        </w:div>
        <w:div w:id="1286159770">
          <w:marLeft w:val="0"/>
          <w:marRight w:val="0"/>
          <w:marTop w:val="0"/>
          <w:marBottom w:val="0"/>
          <w:divBdr>
            <w:top w:val="none" w:sz="0" w:space="0" w:color="auto"/>
            <w:left w:val="none" w:sz="0" w:space="0" w:color="auto"/>
            <w:bottom w:val="none" w:sz="0" w:space="0" w:color="auto"/>
            <w:right w:val="none" w:sz="0" w:space="0" w:color="auto"/>
          </w:divBdr>
        </w:div>
      </w:divsChild>
    </w:div>
    <w:div w:id="673191262">
      <w:marLeft w:val="0"/>
      <w:marRight w:val="0"/>
      <w:marTop w:val="0"/>
      <w:marBottom w:val="100"/>
      <w:divBdr>
        <w:top w:val="none" w:sz="0" w:space="0" w:color="auto"/>
        <w:left w:val="none" w:sz="0" w:space="0" w:color="auto"/>
        <w:bottom w:val="none" w:sz="0" w:space="0" w:color="auto"/>
        <w:right w:val="none" w:sz="0" w:space="0" w:color="auto"/>
      </w:divBdr>
    </w:div>
    <w:div w:id="673723143">
      <w:marLeft w:val="0"/>
      <w:marRight w:val="0"/>
      <w:marTop w:val="180"/>
      <w:marBottom w:val="0"/>
      <w:divBdr>
        <w:top w:val="none" w:sz="0" w:space="0" w:color="auto"/>
        <w:left w:val="none" w:sz="0" w:space="0" w:color="auto"/>
        <w:bottom w:val="none" w:sz="0" w:space="0" w:color="auto"/>
        <w:right w:val="none" w:sz="0" w:space="0" w:color="auto"/>
      </w:divBdr>
    </w:div>
    <w:div w:id="674528034">
      <w:marLeft w:val="0"/>
      <w:marRight w:val="0"/>
      <w:marTop w:val="180"/>
      <w:marBottom w:val="100"/>
      <w:divBdr>
        <w:top w:val="none" w:sz="0" w:space="0" w:color="auto"/>
        <w:left w:val="none" w:sz="0" w:space="0" w:color="auto"/>
        <w:bottom w:val="none" w:sz="0" w:space="0" w:color="auto"/>
        <w:right w:val="none" w:sz="0" w:space="0" w:color="auto"/>
      </w:divBdr>
    </w:div>
    <w:div w:id="674848606">
      <w:marLeft w:val="0"/>
      <w:marRight w:val="0"/>
      <w:marTop w:val="100"/>
      <w:marBottom w:val="100"/>
      <w:divBdr>
        <w:top w:val="none" w:sz="0" w:space="0" w:color="auto"/>
        <w:left w:val="none" w:sz="0" w:space="0" w:color="auto"/>
        <w:bottom w:val="none" w:sz="0" w:space="0" w:color="auto"/>
        <w:right w:val="none" w:sz="0" w:space="0" w:color="auto"/>
      </w:divBdr>
    </w:div>
    <w:div w:id="675233235">
      <w:marLeft w:val="0"/>
      <w:marRight w:val="0"/>
      <w:marTop w:val="100"/>
      <w:marBottom w:val="100"/>
      <w:divBdr>
        <w:top w:val="none" w:sz="0" w:space="0" w:color="auto"/>
        <w:left w:val="none" w:sz="0" w:space="0" w:color="auto"/>
        <w:bottom w:val="none" w:sz="0" w:space="0" w:color="auto"/>
        <w:right w:val="none" w:sz="0" w:space="0" w:color="auto"/>
      </w:divBdr>
    </w:div>
    <w:div w:id="675377756">
      <w:marLeft w:val="0"/>
      <w:marRight w:val="0"/>
      <w:marTop w:val="0"/>
      <w:marBottom w:val="0"/>
      <w:divBdr>
        <w:top w:val="none" w:sz="0" w:space="0" w:color="auto"/>
        <w:left w:val="none" w:sz="0" w:space="0" w:color="auto"/>
        <w:bottom w:val="none" w:sz="0" w:space="0" w:color="auto"/>
        <w:right w:val="none" w:sz="0" w:space="0" w:color="auto"/>
      </w:divBdr>
      <w:divsChild>
        <w:div w:id="446049201">
          <w:marLeft w:val="0"/>
          <w:marRight w:val="0"/>
          <w:marTop w:val="0"/>
          <w:marBottom w:val="0"/>
          <w:divBdr>
            <w:top w:val="none" w:sz="0" w:space="0" w:color="auto"/>
            <w:left w:val="none" w:sz="0" w:space="0" w:color="auto"/>
            <w:bottom w:val="none" w:sz="0" w:space="0" w:color="auto"/>
            <w:right w:val="none" w:sz="0" w:space="0" w:color="auto"/>
          </w:divBdr>
          <w:divsChild>
            <w:div w:id="122849238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77579615">
      <w:marLeft w:val="0"/>
      <w:marRight w:val="0"/>
      <w:marTop w:val="0"/>
      <w:marBottom w:val="0"/>
      <w:divBdr>
        <w:top w:val="none" w:sz="0" w:space="0" w:color="auto"/>
        <w:left w:val="none" w:sz="0" w:space="0" w:color="auto"/>
        <w:bottom w:val="none" w:sz="0" w:space="0" w:color="auto"/>
        <w:right w:val="none" w:sz="0" w:space="0" w:color="auto"/>
      </w:divBdr>
      <w:divsChild>
        <w:div w:id="150100199">
          <w:marLeft w:val="0"/>
          <w:marRight w:val="0"/>
          <w:marTop w:val="0"/>
          <w:marBottom w:val="100"/>
          <w:divBdr>
            <w:top w:val="none" w:sz="0" w:space="0" w:color="auto"/>
            <w:left w:val="none" w:sz="0" w:space="0" w:color="auto"/>
            <w:bottom w:val="none" w:sz="0" w:space="0" w:color="auto"/>
            <w:right w:val="none" w:sz="0" w:space="0" w:color="auto"/>
          </w:divBdr>
        </w:div>
      </w:divsChild>
    </w:div>
    <w:div w:id="678850993">
      <w:marLeft w:val="0"/>
      <w:marRight w:val="0"/>
      <w:marTop w:val="180"/>
      <w:marBottom w:val="100"/>
      <w:divBdr>
        <w:top w:val="none" w:sz="0" w:space="0" w:color="auto"/>
        <w:left w:val="none" w:sz="0" w:space="0" w:color="auto"/>
        <w:bottom w:val="none" w:sz="0" w:space="0" w:color="auto"/>
        <w:right w:val="none" w:sz="0" w:space="0" w:color="auto"/>
      </w:divBdr>
    </w:div>
    <w:div w:id="679427908">
      <w:marLeft w:val="0"/>
      <w:marRight w:val="0"/>
      <w:marTop w:val="100"/>
      <w:marBottom w:val="100"/>
      <w:divBdr>
        <w:top w:val="none" w:sz="0" w:space="0" w:color="auto"/>
        <w:left w:val="none" w:sz="0" w:space="0" w:color="auto"/>
        <w:bottom w:val="none" w:sz="0" w:space="0" w:color="auto"/>
        <w:right w:val="none" w:sz="0" w:space="0" w:color="auto"/>
      </w:divBdr>
    </w:div>
    <w:div w:id="680357563">
      <w:marLeft w:val="0"/>
      <w:marRight w:val="0"/>
      <w:marTop w:val="0"/>
      <w:marBottom w:val="0"/>
      <w:divBdr>
        <w:top w:val="none" w:sz="0" w:space="0" w:color="auto"/>
        <w:left w:val="none" w:sz="0" w:space="0" w:color="auto"/>
        <w:bottom w:val="none" w:sz="0" w:space="0" w:color="auto"/>
        <w:right w:val="none" w:sz="0" w:space="0" w:color="auto"/>
      </w:divBdr>
    </w:div>
    <w:div w:id="682246079">
      <w:marLeft w:val="0"/>
      <w:marRight w:val="0"/>
      <w:marTop w:val="0"/>
      <w:marBottom w:val="100"/>
      <w:divBdr>
        <w:top w:val="none" w:sz="0" w:space="0" w:color="auto"/>
        <w:left w:val="none" w:sz="0" w:space="0" w:color="auto"/>
        <w:bottom w:val="none" w:sz="0" w:space="0" w:color="auto"/>
        <w:right w:val="none" w:sz="0" w:space="0" w:color="auto"/>
      </w:divBdr>
    </w:div>
    <w:div w:id="683170370">
      <w:marLeft w:val="0"/>
      <w:marRight w:val="0"/>
      <w:marTop w:val="180"/>
      <w:marBottom w:val="0"/>
      <w:divBdr>
        <w:top w:val="none" w:sz="0" w:space="0" w:color="auto"/>
        <w:left w:val="none" w:sz="0" w:space="0" w:color="auto"/>
        <w:bottom w:val="none" w:sz="0" w:space="0" w:color="auto"/>
        <w:right w:val="none" w:sz="0" w:space="0" w:color="auto"/>
      </w:divBdr>
    </w:div>
    <w:div w:id="685058030">
      <w:marLeft w:val="0"/>
      <w:marRight w:val="0"/>
      <w:marTop w:val="100"/>
      <w:marBottom w:val="100"/>
      <w:divBdr>
        <w:top w:val="none" w:sz="0" w:space="0" w:color="auto"/>
        <w:left w:val="none" w:sz="0" w:space="0" w:color="auto"/>
        <w:bottom w:val="none" w:sz="0" w:space="0" w:color="auto"/>
        <w:right w:val="none" w:sz="0" w:space="0" w:color="auto"/>
      </w:divBdr>
    </w:div>
    <w:div w:id="685719713">
      <w:marLeft w:val="0"/>
      <w:marRight w:val="0"/>
      <w:marTop w:val="180"/>
      <w:marBottom w:val="0"/>
      <w:divBdr>
        <w:top w:val="none" w:sz="0" w:space="0" w:color="auto"/>
        <w:left w:val="none" w:sz="0" w:space="0" w:color="auto"/>
        <w:bottom w:val="none" w:sz="0" w:space="0" w:color="auto"/>
        <w:right w:val="none" w:sz="0" w:space="0" w:color="auto"/>
      </w:divBdr>
      <w:divsChild>
        <w:div w:id="655452209">
          <w:marLeft w:val="0"/>
          <w:marRight w:val="0"/>
          <w:marTop w:val="0"/>
          <w:marBottom w:val="0"/>
          <w:divBdr>
            <w:top w:val="none" w:sz="0" w:space="0" w:color="auto"/>
            <w:left w:val="none" w:sz="0" w:space="0" w:color="auto"/>
            <w:bottom w:val="none" w:sz="0" w:space="0" w:color="auto"/>
            <w:right w:val="none" w:sz="0" w:space="0" w:color="auto"/>
          </w:divBdr>
        </w:div>
        <w:div w:id="985478592">
          <w:marLeft w:val="0"/>
          <w:marRight w:val="0"/>
          <w:marTop w:val="0"/>
          <w:marBottom w:val="0"/>
          <w:divBdr>
            <w:top w:val="none" w:sz="0" w:space="0" w:color="auto"/>
            <w:left w:val="none" w:sz="0" w:space="0" w:color="auto"/>
            <w:bottom w:val="none" w:sz="0" w:space="0" w:color="auto"/>
            <w:right w:val="none" w:sz="0" w:space="0" w:color="auto"/>
          </w:divBdr>
        </w:div>
      </w:divsChild>
    </w:div>
    <w:div w:id="686636656">
      <w:marLeft w:val="0"/>
      <w:marRight w:val="0"/>
      <w:marTop w:val="100"/>
      <w:marBottom w:val="100"/>
      <w:divBdr>
        <w:top w:val="none" w:sz="0" w:space="0" w:color="auto"/>
        <w:left w:val="none" w:sz="0" w:space="0" w:color="auto"/>
        <w:bottom w:val="none" w:sz="0" w:space="0" w:color="auto"/>
        <w:right w:val="none" w:sz="0" w:space="0" w:color="auto"/>
      </w:divBdr>
    </w:div>
    <w:div w:id="686979427">
      <w:marLeft w:val="0"/>
      <w:marRight w:val="0"/>
      <w:marTop w:val="100"/>
      <w:marBottom w:val="100"/>
      <w:divBdr>
        <w:top w:val="none" w:sz="0" w:space="0" w:color="auto"/>
        <w:left w:val="none" w:sz="0" w:space="0" w:color="auto"/>
        <w:bottom w:val="none" w:sz="0" w:space="0" w:color="auto"/>
        <w:right w:val="none" w:sz="0" w:space="0" w:color="auto"/>
      </w:divBdr>
    </w:div>
    <w:div w:id="691415728">
      <w:marLeft w:val="0"/>
      <w:marRight w:val="0"/>
      <w:marTop w:val="0"/>
      <w:marBottom w:val="0"/>
      <w:divBdr>
        <w:top w:val="none" w:sz="0" w:space="0" w:color="auto"/>
        <w:left w:val="none" w:sz="0" w:space="0" w:color="auto"/>
        <w:bottom w:val="none" w:sz="0" w:space="0" w:color="auto"/>
        <w:right w:val="none" w:sz="0" w:space="0" w:color="auto"/>
      </w:divBdr>
      <w:divsChild>
        <w:div w:id="1196311928">
          <w:marLeft w:val="0"/>
          <w:marRight w:val="0"/>
          <w:marTop w:val="0"/>
          <w:marBottom w:val="0"/>
          <w:divBdr>
            <w:top w:val="none" w:sz="0" w:space="0" w:color="auto"/>
            <w:left w:val="none" w:sz="0" w:space="0" w:color="auto"/>
            <w:bottom w:val="none" w:sz="0" w:space="0" w:color="auto"/>
            <w:right w:val="none" w:sz="0" w:space="0" w:color="auto"/>
          </w:divBdr>
          <w:divsChild>
            <w:div w:id="160295748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92997006">
      <w:marLeft w:val="0"/>
      <w:marRight w:val="0"/>
      <w:marTop w:val="180"/>
      <w:marBottom w:val="0"/>
      <w:divBdr>
        <w:top w:val="none" w:sz="0" w:space="0" w:color="auto"/>
        <w:left w:val="none" w:sz="0" w:space="0" w:color="auto"/>
        <w:bottom w:val="none" w:sz="0" w:space="0" w:color="auto"/>
        <w:right w:val="none" w:sz="0" w:space="0" w:color="auto"/>
      </w:divBdr>
    </w:div>
    <w:div w:id="698167517">
      <w:marLeft w:val="0"/>
      <w:marRight w:val="0"/>
      <w:marTop w:val="0"/>
      <w:marBottom w:val="0"/>
      <w:divBdr>
        <w:top w:val="none" w:sz="0" w:space="0" w:color="auto"/>
        <w:left w:val="none" w:sz="0" w:space="0" w:color="auto"/>
        <w:bottom w:val="none" w:sz="0" w:space="0" w:color="auto"/>
        <w:right w:val="none" w:sz="0" w:space="0" w:color="auto"/>
      </w:divBdr>
      <w:divsChild>
        <w:div w:id="761418952">
          <w:marLeft w:val="0"/>
          <w:marRight w:val="0"/>
          <w:marTop w:val="0"/>
          <w:marBottom w:val="100"/>
          <w:divBdr>
            <w:top w:val="none" w:sz="0" w:space="0" w:color="auto"/>
            <w:left w:val="none" w:sz="0" w:space="0" w:color="auto"/>
            <w:bottom w:val="none" w:sz="0" w:space="0" w:color="auto"/>
            <w:right w:val="none" w:sz="0" w:space="0" w:color="auto"/>
          </w:divBdr>
        </w:div>
      </w:divsChild>
    </w:div>
    <w:div w:id="699548964">
      <w:marLeft w:val="0"/>
      <w:marRight w:val="0"/>
      <w:marTop w:val="0"/>
      <w:marBottom w:val="100"/>
      <w:divBdr>
        <w:top w:val="none" w:sz="0" w:space="0" w:color="auto"/>
        <w:left w:val="none" w:sz="0" w:space="0" w:color="auto"/>
        <w:bottom w:val="none" w:sz="0" w:space="0" w:color="auto"/>
        <w:right w:val="none" w:sz="0" w:space="0" w:color="auto"/>
      </w:divBdr>
    </w:div>
    <w:div w:id="699739650">
      <w:marLeft w:val="0"/>
      <w:marRight w:val="0"/>
      <w:marTop w:val="180"/>
      <w:marBottom w:val="0"/>
      <w:divBdr>
        <w:top w:val="none" w:sz="0" w:space="0" w:color="auto"/>
        <w:left w:val="none" w:sz="0" w:space="0" w:color="auto"/>
        <w:bottom w:val="none" w:sz="0" w:space="0" w:color="auto"/>
        <w:right w:val="none" w:sz="0" w:space="0" w:color="auto"/>
      </w:divBdr>
    </w:div>
    <w:div w:id="701172630">
      <w:marLeft w:val="0"/>
      <w:marRight w:val="0"/>
      <w:marTop w:val="0"/>
      <w:marBottom w:val="100"/>
      <w:divBdr>
        <w:top w:val="none" w:sz="0" w:space="0" w:color="auto"/>
        <w:left w:val="none" w:sz="0" w:space="0" w:color="auto"/>
        <w:bottom w:val="none" w:sz="0" w:space="0" w:color="auto"/>
        <w:right w:val="none" w:sz="0" w:space="0" w:color="auto"/>
      </w:divBdr>
    </w:div>
    <w:div w:id="702823618">
      <w:marLeft w:val="0"/>
      <w:marRight w:val="0"/>
      <w:marTop w:val="100"/>
      <w:marBottom w:val="100"/>
      <w:divBdr>
        <w:top w:val="none" w:sz="0" w:space="0" w:color="auto"/>
        <w:left w:val="none" w:sz="0" w:space="0" w:color="auto"/>
        <w:bottom w:val="none" w:sz="0" w:space="0" w:color="auto"/>
        <w:right w:val="none" w:sz="0" w:space="0" w:color="auto"/>
      </w:divBdr>
    </w:div>
    <w:div w:id="705064855">
      <w:marLeft w:val="0"/>
      <w:marRight w:val="0"/>
      <w:marTop w:val="100"/>
      <w:marBottom w:val="100"/>
      <w:divBdr>
        <w:top w:val="none" w:sz="0" w:space="0" w:color="auto"/>
        <w:left w:val="none" w:sz="0" w:space="0" w:color="auto"/>
        <w:bottom w:val="none" w:sz="0" w:space="0" w:color="auto"/>
        <w:right w:val="none" w:sz="0" w:space="0" w:color="auto"/>
      </w:divBdr>
    </w:div>
    <w:div w:id="705104015">
      <w:marLeft w:val="0"/>
      <w:marRight w:val="0"/>
      <w:marTop w:val="0"/>
      <w:marBottom w:val="0"/>
      <w:divBdr>
        <w:top w:val="none" w:sz="0" w:space="0" w:color="auto"/>
        <w:left w:val="none" w:sz="0" w:space="0" w:color="auto"/>
        <w:bottom w:val="none" w:sz="0" w:space="0" w:color="auto"/>
        <w:right w:val="none" w:sz="0" w:space="0" w:color="auto"/>
      </w:divBdr>
    </w:div>
    <w:div w:id="706835148">
      <w:marLeft w:val="0"/>
      <w:marRight w:val="0"/>
      <w:marTop w:val="100"/>
      <w:marBottom w:val="0"/>
      <w:divBdr>
        <w:top w:val="none" w:sz="0" w:space="0" w:color="auto"/>
        <w:left w:val="none" w:sz="0" w:space="0" w:color="auto"/>
        <w:bottom w:val="none" w:sz="0" w:space="0" w:color="auto"/>
        <w:right w:val="none" w:sz="0" w:space="0" w:color="auto"/>
      </w:divBdr>
    </w:div>
    <w:div w:id="707414013">
      <w:marLeft w:val="0"/>
      <w:marRight w:val="0"/>
      <w:marTop w:val="80"/>
      <w:marBottom w:val="100"/>
      <w:divBdr>
        <w:top w:val="none" w:sz="0" w:space="0" w:color="auto"/>
        <w:left w:val="none" w:sz="0" w:space="0" w:color="auto"/>
        <w:bottom w:val="none" w:sz="0" w:space="0" w:color="auto"/>
        <w:right w:val="none" w:sz="0" w:space="0" w:color="auto"/>
      </w:divBdr>
    </w:div>
    <w:div w:id="708644469">
      <w:marLeft w:val="0"/>
      <w:marRight w:val="0"/>
      <w:marTop w:val="0"/>
      <w:marBottom w:val="100"/>
      <w:divBdr>
        <w:top w:val="none" w:sz="0" w:space="0" w:color="auto"/>
        <w:left w:val="none" w:sz="0" w:space="0" w:color="auto"/>
        <w:bottom w:val="none" w:sz="0" w:space="0" w:color="auto"/>
        <w:right w:val="none" w:sz="0" w:space="0" w:color="auto"/>
      </w:divBdr>
    </w:div>
    <w:div w:id="709300399">
      <w:marLeft w:val="0"/>
      <w:marRight w:val="0"/>
      <w:marTop w:val="0"/>
      <w:marBottom w:val="0"/>
      <w:divBdr>
        <w:top w:val="none" w:sz="0" w:space="0" w:color="auto"/>
        <w:left w:val="none" w:sz="0" w:space="0" w:color="auto"/>
        <w:bottom w:val="none" w:sz="0" w:space="0" w:color="auto"/>
        <w:right w:val="none" w:sz="0" w:space="0" w:color="auto"/>
      </w:divBdr>
      <w:divsChild>
        <w:div w:id="1313564567">
          <w:marLeft w:val="0"/>
          <w:marRight w:val="0"/>
          <w:marTop w:val="0"/>
          <w:marBottom w:val="100"/>
          <w:divBdr>
            <w:top w:val="none" w:sz="0" w:space="0" w:color="auto"/>
            <w:left w:val="none" w:sz="0" w:space="0" w:color="auto"/>
            <w:bottom w:val="none" w:sz="0" w:space="0" w:color="auto"/>
            <w:right w:val="none" w:sz="0" w:space="0" w:color="auto"/>
          </w:divBdr>
        </w:div>
      </w:divsChild>
    </w:div>
    <w:div w:id="710033300">
      <w:marLeft w:val="0"/>
      <w:marRight w:val="0"/>
      <w:marTop w:val="0"/>
      <w:marBottom w:val="0"/>
      <w:divBdr>
        <w:top w:val="none" w:sz="0" w:space="0" w:color="auto"/>
        <w:left w:val="none" w:sz="0" w:space="0" w:color="auto"/>
        <w:bottom w:val="none" w:sz="0" w:space="0" w:color="auto"/>
        <w:right w:val="none" w:sz="0" w:space="0" w:color="auto"/>
      </w:divBdr>
      <w:divsChild>
        <w:div w:id="42218577">
          <w:marLeft w:val="0"/>
          <w:marRight w:val="0"/>
          <w:marTop w:val="0"/>
          <w:marBottom w:val="100"/>
          <w:divBdr>
            <w:top w:val="none" w:sz="0" w:space="0" w:color="auto"/>
            <w:left w:val="none" w:sz="0" w:space="0" w:color="auto"/>
            <w:bottom w:val="none" w:sz="0" w:space="0" w:color="auto"/>
            <w:right w:val="none" w:sz="0" w:space="0" w:color="auto"/>
          </w:divBdr>
        </w:div>
      </w:divsChild>
    </w:div>
    <w:div w:id="712272970">
      <w:marLeft w:val="0"/>
      <w:marRight w:val="0"/>
      <w:marTop w:val="0"/>
      <w:marBottom w:val="0"/>
      <w:divBdr>
        <w:top w:val="none" w:sz="0" w:space="0" w:color="auto"/>
        <w:left w:val="none" w:sz="0" w:space="0" w:color="auto"/>
        <w:bottom w:val="none" w:sz="0" w:space="0" w:color="auto"/>
        <w:right w:val="none" w:sz="0" w:space="0" w:color="auto"/>
      </w:divBdr>
      <w:divsChild>
        <w:div w:id="1752309433">
          <w:marLeft w:val="0"/>
          <w:marRight w:val="0"/>
          <w:marTop w:val="0"/>
          <w:marBottom w:val="0"/>
          <w:divBdr>
            <w:top w:val="none" w:sz="0" w:space="0" w:color="auto"/>
            <w:left w:val="none" w:sz="0" w:space="0" w:color="auto"/>
            <w:bottom w:val="none" w:sz="0" w:space="0" w:color="auto"/>
            <w:right w:val="none" w:sz="0" w:space="0" w:color="auto"/>
          </w:divBdr>
          <w:divsChild>
            <w:div w:id="117742931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12733533">
      <w:marLeft w:val="0"/>
      <w:marRight w:val="0"/>
      <w:marTop w:val="0"/>
      <w:marBottom w:val="100"/>
      <w:divBdr>
        <w:top w:val="none" w:sz="0" w:space="0" w:color="auto"/>
        <w:left w:val="none" w:sz="0" w:space="0" w:color="auto"/>
        <w:bottom w:val="none" w:sz="0" w:space="0" w:color="auto"/>
        <w:right w:val="none" w:sz="0" w:space="0" w:color="auto"/>
      </w:divBdr>
    </w:div>
    <w:div w:id="713700603">
      <w:marLeft w:val="0"/>
      <w:marRight w:val="0"/>
      <w:marTop w:val="100"/>
      <w:marBottom w:val="100"/>
      <w:divBdr>
        <w:top w:val="none" w:sz="0" w:space="0" w:color="auto"/>
        <w:left w:val="none" w:sz="0" w:space="0" w:color="auto"/>
        <w:bottom w:val="none" w:sz="0" w:space="0" w:color="auto"/>
        <w:right w:val="none" w:sz="0" w:space="0" w:color="auto"/>
      </w:divBdr>
    </w:div>
    <w:div w:id="713820187">
      <w:marLeft w:val="0"/>
      <w:marRight w:val="0"/>
      <w:marTop w:val="0"/>
      <w:marBottom w:val="0"/>
      <w:divBdr>
        <w:top w:val="none" w:sz="0" w:space="0" w:color="auto"/>
        <w:left w:val="none" w:sz="0" w:space="0" w:color="auto"/>
        <w:bottom w:val="none" w:sz="0" w:space="0" w:color="auto"/>
        <w:right w:val="none" w:sz="0" w:space="0" w:color="auto"/>
      </w:divBdr>
      <w:divsChild>
        <w:div w:id="700976687">
          <w:marLeft w:val="0"/>
          <w:marRight w:val="0"/>
          <w:marTop w:val="0"/>
          <w:marBottom w:val="0"/>
          <w:divBdr>
            <w:top w:val="none" w:sz="0" w:space="0" w:color="auto"/>
            <w:left w:val="none" w:sz="0" w:space="0" w:color="auto"/>
            <w:bottom w:val="none" w:sz="0" w:space="0" w:color="auto"/>
            <w:right w:val="none" w:sz="0" w:space="0" w:color="auto"/>
          </w:divBdr>
          <w:divsChild>
            <w:div w:id="168447523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14550931">
      <w:marLeft w:val="0"/>
      <w:marRight w:val="0"/>
      <w:marTop w:val="100"/>
      <w:marBottom w:val="100"/>
      <w:divBdr>
        <w:top w:val="none" w:sz="0" w:space="0" w:color="auto"/>
        <w:left w:val="none" w:sz="0" w:space="0" w:color="auto"/>
        <w:bottom w:val="none" w:sz="0" w:space="0" w:color="auto"/>
        <w:right w:val="none" w:sz="0" w:space="0" w:color="auto"/>
      </w:divBdr>
    </w:div>
    <w:div w:id="717902351">
      <w:marLeft w:val="0"/>
      <w:marRight w:val="0"/>
      <w:marTop w:val="0"/>
      <w:marBottom w:val="100"/>
      <w:divBdr>
        <w:top w:val="none" w:sz="0" w:space="0" w:color="auto"/>
        <w:left w:val="none" w:sz="0" w:space="0" w:color="auto"/>
        <w:bottom w:val="none" w:sz="0" w:space="0" w:color="auto"/>
        <w:right w:val="none" w:sz="0" w:space="0" w:color="auto"/>
      </w:divBdr>
    </w:div>
    <w:div w:id="719208440">
      <w:marLeft w:val="0"/>
      <w:marRight w:val="0"/>
      <w:marTop w:val="80"/>
      <w:marBottom w:val="0"/>
      <w:divBdr>
        <w:top w:val="none" w:sz="0" w:space="0" w:color="auto"/>
        <w:left w:val="none" w:sz="0" w:space="0" w:color="auto"/>
        <w:bottom w:val="none" w:sz="0" w:space="0" w:color="auto"/>
        <w:right w:val="none" w:sz="0" w:space="0" w:color="auto"/>
      </w:divBdr>
    </w:div>
    <w:div w:id="720327733">
      <w:marLeft w:val="0"/>
      <w:marRight w:val="0"/>
      <w:marTop w:val="0"/>
      <w:marBottom w:val="0"/>
      <w:divBdr>
        <w:top w:val="none" w:sz="0" w:space="0" w:color="auto"/>
        <w:left w:val="none" w:sz="0" w:space="0" w:color="auto"/>
        <w:bottom w:val="none" w:sz="0" w:space="0" w:color="auto"/>
        <w:right w:val="none" w:sz="0" w:space="0" w:color="auto"/>
      </w:divBdr>
      <w:divsChild>
        <w:div w:id="1583638728">
          <w:marLeft w:val="0"/>
          <w:marRight w:val="0"/>
          <w:marTop w:val="0"/>
          <w:marBottom w:val="0"/>
          <w:divBdr>
            <w:top w:val="none" w:sz="0" w:space="0" w:color="auto"/>
            <w:left w:val="none" w:sz="0" w:space="0" w:color="auto"/>
            <w:bottom w:val="none" w:sz="0" w:space="0" w:color="auto"/>
            <w:right w:val="none" w:sz="0" w:space="0" w:color="auto"/>
          </w:divBdr>
        </w:div>
        <w:div w:id="1763648179">
          <w:marLeft w:val="0"/>
          <w:marRight w:val="0"/>
          <w:marTop w:val="0"/>
          <w:marBottom w:val="0"/>
          <w:divBdr>
            <w:top w:val="none" w:sz="0" w:space="0" w:color="auto"/>
            <w:left w:val="none" w:sz="0" w:space="0" w:color="auto"/>
            <w:bottom w:val="none" w:sz="0" w:space="0" w:color="auto"/>
            <w:right w:val="none" w:sz="0" w:space="0" w:color="auto"/>
          </w:divBdr>
        </w:div>
        <w:div w:id="1230505543">
          <w:marLeft w:val="0"/>
          <w:marRight w:val="0"/>
          <w:marTop w:val="0"/>
          <w:marBottom w:val="0"/>
          <w:divBdr>
            <w:top w:val="none" w:sz="0" w:space="0" w:color="auto"/>
            <w:left w:val="none" w:sz="0" w:space="0" w:color="auto"/>
            <w:bottom w:val="none" w:sz="0" w:space="0" w:color="auto"/>
            <w:right w:val="none" w:sz="0" w:space="0" w:color="auto"/>
          </w:divBdr>
        </w:div>
        <w:div w:id="1793400375">
          <w:marLeft w:val="0"/>
          <w:marRight w:val="0"/>
          <w:marTop w:val="0"/>
          <w:marBottom w:val="0"/>
          <w:divBdr>
            <w:top w:val="none" w:sz="0" w:space="0" w:color="auto"/>
            <w:left w:val="none" w:sz="0" w:space="0" w:color="auto"/>
            <w:bottom w:val="none" w:sz="0" w:space="0" w:color="auto"/>
            <w:right w:val="none" w:sz="0" w:space="0" w:color="auto"/>
          </w:divBdr>
        </w:div>
        <w:div w:id="720402541">
          <w:marLeft w:val="0"/>
          <w:marRight w:val="0"/>
          <w:marTop w:val="0"/>
          <w:marBottom w:val="0"/>
          <w:divBdr>
            <w:top w:val="none" w:sz="0" w:space="0" w:color="auto"/>
            <w:left w:val="none" w:sz="0" w:space="0" w:color="auto"/>
            <w:bottom w:val="none" w:sz="0" w:space="0" w:color="auto"/>
            <w:right w:val="none" w:sz="0" w:space="0" w:color="auto"/>
          </w:divBdr>
        </w:div>
        <w:div w:id="148130881">
          <w:marLeft w:val="0"/>
          <w:marRight w:val="0"/>
          <w:marTop w:val="0"/>
          <w:marBottom w:val="0"/>
          <w:divBdr>
            <w:top w:val="none" w:sz="0" w:space="0" w:color="auto"/>
            <w:left w:val="none" w:sz="0" w:space="0" w:color="auto"/>
            <w:bottom w:val="none" w:sz="0" w:space="0" w:color="auto"/>
            <w:right w:val="none" w:sz="0" w:space="0" w:color="auto"/>
          </w:divBdr>
        </w:div>
        <w:div w:id="2136753512">
          <w:marLeft w:val="0"/>
          <w:marRight w:val="0"/>
          <w:marTop w:val="0"/>
          <w:marBottom w:val="0"/>
          <w:divBdr>
            <w:top w:val="none" w:sz="0" w:space="0" w:color="auto"/>
            <w:left w:val="none" w:sz="0" w:space="0" w:color="auto"/>
            <w:bottom w:val="none" w:sz="0" w:space="0" w:color="auto"/>
            <w:right w:val="none" w:sz="0" w:space="0" w:color="auto"/>
          </w:divBdr>
        </w:div>
        <w:div w:id="1378772340">
          <w:marLeft w:val="0"/>
          <w:marRight w:val="0"/>
          <w:marTop w:val="0"/>
          <w:marBottom w:val="0"/>
          <w:divBdr>
            <w:top w:val="none" w:sz="0" w:space="0" w:color="auto"/>
            <w:left w:val="none" w:sz="0" w:space="0" w:color="auto"/>
            <w:bottom w:val="none" w:sz="0" w:space="0" w:color="auto"/>
            <w:right w:val="none" w:sz="0" w:space="0" w:color="auto"/>
          </w:divBdr>
        </w:div>
        <w:div w:id="824274476">
          <w:marLeft w:val="0"/>
          <w:marRight w:val="0"/>
          <w:marTop w:val="0"/>
          <w:marBottom w:val="0"/>
          <w:divBdr>
            <w:top w:val="none" w:sz="0" w:space="0" w:color="auto"/>
            <w:left w:val="none" w:sz="0" w:space="0" w:color="auto"/>
            <w:bottom w:val="none" w:sz="0" w:space="0" w:color="auto"/>
            <w:right w:val="none" w:sz="0" w:space="0" w:color="auto"/>
          </w:divBdr>
        </w:div>
        <w:div w:id="1015695416">
          <w:marLeft w:val="0"/>
          <w:marRight w:val="0"/>
          <w:marTop w:val="0"/>
          <w:marBottom w:val="0"/>
          <w:divBdr>
            <w:top w:val="none" w:sz="0" w:space="0" w:color="auto"/>
            <w:left w:val="none" w:sz="0" w:space="0" w:color="auto"/>
            <w:bottom w:val="none" w:sz="0" w:space="0" w:color="auto"/>
            <w:right w:val="none" w:sz="0" w:space="0" w:color="auto"/>
          </w:divBdr>
        </w:div>
        <w:div w:id="611012512">
          <w:marLeft w:val="0"/>
          <w:marRight w:val="0"/>
          <w:marTop w:val="0"/>
          <w:marBottom w:val="0"/>
          <w:divBdr>
            <w:top w:val="none" w:sz="0" w:space="0" w:color="auto"/>
            <w:left w:val="none" w:sz="0" w:space="0" w:color="auto"/>
            <w:bottom w:val="none" w:sz="0" w:space="0" w:color="auto"/>
            <w:right w:val="none" w:sz="0" w:space="0" w:color="auto"/>
          </w:divBdr>
        </w:div>
        <w:div w:id="1455294092">
          <w:marLeft w:val="0"/>
          <w:marRight w:val="0"/>
          <w:marTop w:val="0"/>
          <w:marBottom w:val="0"/>
          <w:divBdr>
            <w:top w:val="none" w:sz="0" w:space="0" w:color="auto"/>
            <w:left w:val="none" w:sz="0" w:space="0" w:color="auto"/>
            <w:bottom w:val="none" w:sz="0" w:space="0" w:color="auto"/>
            <w:right w:val="none" w:sz="0" w:space="0" w:color="auto"/>
          </w:divBdr>
        </w:div>
      </w:divsChild>
    </w:div>
    <w:div w:id="721714222">
      <w:marLeft w:val="0"/>
      <w:marRight w:val="0"/>
      <w:marTop w:val="100"/>
      <w:marBottom w:val="0"/>
      <w:divBdr>
        <w:top w:val="none" w:sz="0" w:space="0" w:color="auto"/>
        <w:left w:val="none" w:sz="0" w:space="0" w:color="auto"/>
        <w:bottom w:val="none" w:sz="0" w:space="0" w:color="auto"/>
        <w:right w:val="none" w:sz="0" w:space="0" w:color="auto"/>
      </w:divBdr>
    </w:div>
    <w:div w:id="721754057">
      <w:marLeft w:val="0"/>
      <w:marRight w:val="0"/>
      <w:marTop w:val="100"/>
      <w:marBottom w:val="100"/>
      <w:divBdr>
        <w:top w:val="none" w:sz="0" w:space="0" w:color="auto"/>
        <w:left w:val="none" w:sz="0" w:space="0" w:color="auto"/>
        <w:bottom w:val="none" w:sz="0" w:space="0" w:color="auto"/>
        <w:right w:val="none" w:sz="0" w:space="0" w:color="auto"/>
      </w:divBdr>
    </w:div>
    <w:div w:id="723480624">
      <w:marLeft w:val="0"/>
      <w:marRight w:val="0"/>
      <w:marTop w:val="0"/>
      <w:marBottom w:val="0"/>
      <w:divBdr>
        <w:top w:val="none" w:sz="0" w:space="0" w:color="auto"/>
        <w:left w:val="none" w:sz="0" w:space="0" w:color="auto"/>
        <w:bottom w:val="none" w:sz="0" w:space="0" w:color="auto"/>
        <w:right w:val="none" w:sz="0" w:space="0" w:color="auto"/>
      </w:divBdr>
    </w:div>
    <w:div w:id="725489239">
      <w:marLeft w:val="0"/>
      <w:marRight w:val="0"/>
      <w:marTop w:val="100"/>
      <w:marBottom w:val="100"/>
      <w:divBdr>
        <w:top w:val="none" w:sz="0" w:space="0" w:color="auto"/>
        <w:left w:val="none" w:sz="0" w:space="0" w:color="auto"/>
        <w:bottom w:val="none" w:sz="0" w:space="0" w:color="auto"/>
        <w:right w:val="none" w:sz="0" w:space="0" w:color="auto"/>
      </w:divBdr>
    </w:div>
    <w:div w:id="725689169">
      <w:marLeft w:val="0"/>
      <w:marRight w:val="0"/>
      <w:marTop w:val="0"/>
      <w:marBottom w:val="0"/>
      <w:divBdr>
        <w:top w:val="none" w:sz="0" w:space="0" w:color="auto"/>
        <w:left w:val="none" w:sz="0" w:space="0" w:color="auto"/>
        <w:bottom w:val="none" w:sz="0" w:space="0" w:color="auto"/>
        <w:right w:val="none" w:sz="0" w:space="0" w:color="auto"/>
      </w:divBdr>
    </w:div>
    <w:div w:id="726150372">
      <w:marLeft w:val="0"/>
      <w:marRight w:val="0"/>
      <w:marTop w:val="180"/>
      <w:marBottom w:val="0"/>
      <w:divBdr>
        <w:top w:val="none" w:sz="0" w:space="0" w:color="auto"/>
        <w:left w:val="none" w:sz="0" w:space="0" w:color="auto"/>
        <w:bottom w:val="none" w:sz="0" w:space="0" w:color="auto"/>
        <w:right w:val="none" w:sz="0" w:space="0" w:color="auto"/>
      </w:divBdr>
    </w:div>
    <w:div w:id="727191958">
      <w:marLeft w:val="0"/>
      <w:marRight w:val="0"/>
      <w:marTop w:val="180"/>
      <w:marBottom w:val="0"/>
      <w:divBdr>
        <w:top w:val="none" w:sz="0" w:space="0" w:color="auto"/>
        <w:left w:val="none" w:sz="0" w:space="0" w:color="auto"/>
        <w:bottom w:val="none" w:sz="0" w:space="0" w:color="auto"/>
        <w:right w:val="none" w:sz="0" w:space="0" w:color="auto"/>
      </w:divBdr>
    </w:div>
    <w:div w:id="727337176">
      <w:marLeft w:val="0"/>
      <w:marRight w:val="0"/>
      <w:marTop w:val="0"/>
      <w:marBottom w:val="100"/>
      <w:divBdr>
        <w:top w:val="none" w:sz="0" w:space="0" w:color="auto"/>
        <w:left w:val="none" w:sz="0" w:space="0" w:color="auto"/>
        <w:bottom w:val="none" w:sz="0" w:space="0" w:color="auto"/>
        <w:right w:val="none" w:sz="0" w:space="0" w:color="auto"/>
      </w:divBdr>
    </w:div>
    <w:div w:id="729233603">
      <w:marLeft w:val="0"/>
      <w:marRight w:val="0"/>
      <w:marTop w:val="100"/>
      <w:marBottom w:val="100"/>
      <w:divBdr>
        <w:top w:val="none" w:sz="0" w:space="0" w:color="auto"/>
        <w:left w:val="none" w:sz="0" w:space="0" w:color="auto"/>
        <w:bottom w:val="none" w:sz="0" w:space="0" w:color="auto"/>
        <w:right w:val="none" w:sz="0" w:space="0" w:color="auto"/>
      </w:divBdr>
    </w:div>
    <w:div w:id="729574490">
      <w:marLeft w:val="0"/>
      <w:marRight w:val="0"/>
      <w:marTop w:val="0"/>
      <w:marBottom w:val="0"/>
      <w:divBdr>
        <w:top w:val="none" w:sz="0" w:space="0" w:color="auto"/>
        <w:left w:val="none" w:sz="0" w:space="0" w:color="auto"/>
        <w:bottom w:val="none" w:sz="0" w:space="0" w:color="auto"/>
        <w:right w:val="none" w:sz="0" w:space="0" w:color="auto"/>
      </w:divBdr>
    </w:div>
    <w:div w:id="730009197">
      <w:marLeft w:val="0"/>
      <w:marRight w:val="0"/>
      <w:marTop w:val="100"/>
      <w:marBottom w:val="100"/>
      <w:divBdr>
        <w:top w:val="none" w:sz="0" w:space="0" w:color="auto"/>
        <w:left w:val="none" w:sz="0" w:space="0" w:color="auto"/>
        <w:bottom w:val="none" w:sz="0" w:space="0" w:color="auto"/>
        <w:right w:val="none" w:sz="0" w:space="0" w:color="auto"/>
      </w:divBdr>
    </w:div>
    <w:div w:id="730621041">
      <w:marLeft w:val="0"/>
      <w:marRight w:val="0"/>
      <w:marTop w:val="0"/>
      <w:marBottom w:val="0"/>
      <w:divBdr>
        <w:top w:val="none" w:sz="0" w:space="0" w:color="auto"/>
        <w:left w:val="none" w:sz="0" w:space="0" w:color="auto"/>
        <w:bottom w:val="none" w:sz="0" w:space="0" w:color="auto"/>
        <w:right w:val="none" w:sz="0" w:space="0" w:color="auto"/>
      </w:divBdr>
    </w:div>
    <w:div w:id="730888260">
      <w:marLeft w:val="0"/>
      <w:marRight w:val="0"/>
      <w:marTop w:val="0"/>
      <w:marBottom w:val="0"/>
      <w:divBdr>
        <w:top w:val="none" w:sz="0" w:space="0" w:color="auto"/>
        <w:left w:val="none" w:sz="0" w:space="0" w:color="auto"/>
        <w:bottom w:val="none" w:sz="0" w:space="0" w:color="auto"/>
        <w:right w:val="none" w:sz="0" w:space="0" w:color="auto"/>
      </w:divBdr>
      <w:divsChild>
        <w:div w:id="670529065">
          <w:marLeft w:val="0"/>
          <w:marRight w:val="0"/>
          <w:marTop w:val="0"/>
          <w:marBottom w:val="100"/>
          <w:divBdr>
            <w:top w:val="none" w:sz="0" w:space="0" w:color="auto"/>
            <w:left w:val="none" w:sz="0" w:space="0" w:color="auto"/>
            <w:bottom w:val="none" w:sz="0" w:space="0" w:color="auto"/>
            <w:right w:val="none" w:sz="0" w:space="0" w:color="auto"/>
          </w:divBdr>
        </w:div>
      </w:divsChild>
    </w:div>
    <w:div w:id="732502724">
      <w:marLeft w:val="0"/>
      <w:marRight w:val="0"/>
      <w:marTop w:val="0"/>
      <w:marBottom w:val="100"/>
      <w:divBdr>
        <w:top w:val="none" w:sz="0" w:space="0" w:color="auto"/>
        <w:left w:val="none" w:sz="0" w:space="0" w:color="auto"/>
        <w:bottom w:val="none" w:sz="0" w:space="0" w:color="auto"/>
        <w:right w:val="none" w:sz="0" w:space="0" w:color="auto"/>
      </w:divBdr>
    </w:div>
    <w:div w:id="736127893">
      <w:marLeft w:val="0"/>
      <w:marRight w:val="0"/>
      <w:marTop w:val="80"/>
      <w:marBottom w:val="100"/>
      <w:divBdr>
        <w:top w:val="none" w:sz="0" w:space="0" w:color="auto"/>
        <w:left w:val="none" w:sz="0" w:space="0" w:color="auto"/>
        <w:bottom w:val="none" w:sz="0" w:space="0" w:color="auto"/>
        <w:right w:val="none" w:sz="0" w:space="0" w:color="auto"/>
      </w:divBdr>
    </w:div>
    <w:div w:id="737947925">
      <w:marLeft w:val="0"/>
      <w:marRight w:val="0"/>
      <w:marTop w:val="0"/>
      <w:marBottom w:val="0"/>
      <w:divBdr>
        <w:top w:val="none" w:sz="0" w:space="0" w:color="auto"/>
        <w:left w:val="none" w:sz="0" w:space="0" w:color="auto"/>
        <w:bottom w:val="none" w:sz="0" w:space="0" w:color="auto"/>
        <w:right w:val="none" w:sz="0" w:space="0" w:color="auto"/>
      </w:divBdr>
      <w:divsChild>
        <w:div w:id="722489831">
          <w:marLeft w:val="0"/>
          <w:marRight w:val="0"/>
          <w:marTop w:val="0"/>
          <w:marBottom w:val="0"/>
          <w:divBdr>
            <w:top w:val="none" w:sz="0" w:space="0" w:color="auto"/>
            <w:left w:val="none" w:sz="0" w:space="0" w:color="auto"/>
            <w:bottom w:val="none" w:sz="0" w:space="0" w:color="auto"/>
            <w:right w:val="none" w:sz="0" w:space="0" w:color="auto"/>
          </w:divBdr>
          <w:divsChild>
            <w:div w:id="140286987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38286310">
      <w:marLeft w:val="0"/>
      <w:marRight w:val="0"/>
      <w:marTop w:val="180"/>
      <w:marBottom w:val="0"/>
      <w:divBdr>
        <w:top w:val="none" w:sz="0" w:space="0" w:color="auto"/>
        <w:left w:val="none" w:sz="0" w:space="0" w:color="auto"/>
        <w:bottom w:val="none" w:sz="0" w:space="0" w:color="auto"/>
        <w:right w:val="none" w:sz="0" w:space="0" w:color="auto"/>
      </w:divBdr>
    </w:div>
    <w:div w:id="738484603">
      <w:marLeft w:val="0"/>
      <w:marRight w:val="0"/>
      <w:marTop w:val="0"/>
      <w:marBottom w:val="0"/>
      <w:divBdr>
        <w:top w:val="none" w:sz="0" w:space="0" w:color="auto"/>
        <w:left w:val="none" w:sz="0" w:space="0" w:color="auto"/>
        <w:bottom w:val="none" w:sz="0" w:space="0" w:color="auto"/>
        <w:right w:val="none" w:sz="0" w:space="0" w:color="auto"/>
      </w:divBdr>
      <w:divsChild>
        <w:div w:id="256331439">
          <w:marLeft w:val="0"/>
          <w:marRight w:val="0"/>
          <w:marTop w:val="0"/>
          <w:marBottom w:val="100"/>
          <w:divBdr>
            <w:top w:val="none" w:sz="0" w:space="0" w:color="auto"/>
            <w:left w:val="none" w:sz="0" w:space="0" w:color="auto"/>
            <w:bottom w:val="none" w:sz="0" w:space="0" w:color="auto"/>
            <w:right w:val="none" w:sz="0" w:space="0" w:color="auto"/>
          </w:divBdr>
        </w:div>
      </w:divsChild>
    </w:div>
    <w:div w:id="741290743">
      <w:marLeft w:val="0"/>
      <w:marRight w:val="0"/>
      <w:marTop w:val="100"/>
      <w:marBottom w:val="100"/>
      <w:divBdr>
        <w:top w:val="none" w:sz="0" w:space="0" w:color="auto"/>
        <w:left w:val="none" w:sz="0" w:space="0" w:color="auto"/>
        <w:bottom w:val="none" w:sz="0" w:space="0" w:color="auto"/>
        <w:right w:val="none" w:sz="0" w:space="0" w:color="auto"/>
      </w:divBdr>
    </w:div>
    <w:div w:id="742341240">
      <w:marLeft w:val="0"/>
      <w:marRight w:val="0"/>
      <w:marTop w:val="0"/>
      <w:marBottom w:val="0"/>
      <w:divBdr>
        <w:top w:val="none" w:sz="0" w:space="0" w:color="auto"/>
        <w:left w:val="none" w:sz="0" w:space="0" w:color="auto"/>
        <w:bottom w:val="none" w:sz="0" w:space="0" w:color="auto"/>
        <w:right w:val="none" w:sz="0" w:space="0" w:color="auto"/>
      </w:divBdr>
    </w:div>
    <w:div w:id="744187980">
      <w:marLeft w:val="0"/>
      <w:marRight w:val="0"/>
      <w:marTop w:val="100"/>
      <w:marBottom w:val="100"/>
      <w:divBdr>
        <w:top w:val="none" w:sz="0" w:space="0" w:color="auto"/>
        <w:left w:val="none" w:sz="0" w:space="0" w:color="auto"/>
        <w:bottom w:val="none" w:sz="0" w:space="0" w:color="auto"/>
        <w:right w:val="none" w:sz="0" w:space="0" w:color="auto"/>
      </w:divBdr>
    </w:div>
    <w:div w:id="747921781">
      <w:marLeft w:val="0"/>
      <w:marRight w:val="0"/>
      <w:marTop w:val="0"/>
      <w:marBottom w:val="0"/>
      <w:divBdr>
        <w:top w:val="none" w:sz="0" w:space="0" w:color="auto"/>
        <w:left w:val="none" w:sz="0" w:space="0" w:color="auto"/>
        <w:bottom w:val="none" w:sz="0" w:space="0" w:color="auto"/>
        <w:right w:val="none" w:sz="0" w:space="0" w:color="auto"/>
      </w:divBdr>
      <w:divsChild>
        <w:div w:id="1007295751">
          <w:marLeft w:val="0"/>
          <w:marRight w:val="0"/>
          <w:marTop w:val="0"/>
          <w:marBottom w:val="0"/>
          <w:divBdr>
            <w:top w:val="none" w:sz="0" w:space="0" w:color="auto"/>
            <w:left w:val="none" w:sz="0" w:space="0" w:color="auto"/>
            <w:bottom w:val="none" w:sz="0" w:space="0" w:color="auto"/>
            <w:right w:val="none" w:sz="0" w:space="0" w:color="auto"/>
          </w:divBdr>
          <w:divsChild>
            <w:div w:id="36348630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49695218">
      <w:marLeft w:val="0"/>
      <w:marRight w:val="0"/>
      <w:marTop w:val="0"/>
      <w:marBottom w:val="100"/>
      <w:divBdr>
        <w:top w:val="none" w:sz="0" w:space="0" w:color="auto"/>
        <w:left w:val="none" w:sz="0" w:space="0" w:color="auto"/>
        <w:bottom w:val="none" w:sz="0" w:space="0" w:color="auto"/>
        <w:right w:val="none" w:sz="0" w:space="0" w:color="auto"/>
      </w:divBdr>
    </w:div>
    <w:div w:id="750853861">
      <w:marLeft w:val="0"/>
      <w:marRight w:val="0"/>
      <w:marTop w:val="100"/>
      <w:marBottom w:val="100"/>
      <w:divBdr>
        <w:top w:val="none" w:sz="0" w:space="0" w:color="auto"/>
        <w:left w:val="none" w:sz="0" w:space="0" w:color="auto"/>
        <w:bottom w:val="none" w:sz="0" w:space="0" w:color="auto"/>
        <w:right w:val="none" w:sz="0" w:space="0" w:color="auto"/>
      </w:divBdr>
    </w:div>
    <w:div w:id="751239375">
      <w:marLeft w:val="0"/>
      <w:marRight w:val="0"/>
      <w:marTop w:val="0"/>
      <w:marBottom w:val="100"/>
      <w:divBdr>
        <w:top w:val="none" w:sz="0" w:space="0" w:color="auto"/>
        <w:left w:val="none" w:sz="0" w:space="0" w:color="auto"/>
        <w:bottom w:val="none" w:sz="0" w:space="0" w:color="auto"/>
        <w:right w:val="none" w:sz="0" w:space="0" w:color="auto"/>
      </w:divBdr>
    </w:div>
    <w:div w:id="752510825">
      <w:marLeft w:val="0"/>
      <w:marRight w:val="0"/>
      <w:marTop w:val="0"/>
      <w:marBottom w:val="0"/>
      <w:divBdr>
        <w:top w:val="none" w:sz="0" w:space="0" w:color="auto"/>
        <w:left w:val="none" w:sz="0" w:space="0" w:color="auto"/>
        <w:bottom w:val="none" w:sz="0" w:space="0" w:color="auto"/>
        <w:right w:val="none" w:sz="0" w:space="0" w:color="auto"/>
      </w:divBdr>
    </w:div>
    <w:div w:id="754015608">
      <w:marLeft w:val="0"/>
      <w:marRight w:val="0"/>
      <w:marTop w:val="180"/>
      <w:marBottom w:val="0"/>
      <w:divBdr>
        <w:top w:val="none" w:sz="0" w:space="0" w:color="auto"/>
        <w:left w:val="none" w:sz="0" w:space="0" w:color="auto"/>
        <w:bottom w:val="none" w:sz="0" w:space="0" w:color="auto"/>
        <w:right w:val="none" w:sz="0" w:space="0" w:color="auto"/>
      </w:divBdr>
    </w:div>
    <w:div w:id="755328710">
      <w:marLeft w:val="0"/>
      <w:marRight w:val="0"/>
      <w:marTop w:val="100"/>
      <w:marBottom w:val="100"/>
      <w:divBdr>
        <w:top w:val="none" w:sz="0" w:space="0" w:color="auto"/>
        <w:left w:val="none" w:sz="0" w:space="0" w:color="auto"/>
        <w:bottom w:val="none" w:sz="0" w:space="0" w:color="auto"/>
        <w:right w:val="none" w:sz="0" w:space="0" w:color="auto"/>
      </w:divBdr>
    </w:div>
    <w:div w:id="755517398">
      <w:marLeft w:val="0"/>
      <w:marRight w:val="0"/>
      <w:marTop w:val="100"/>
      <w:marBottom w:val="100"/>
      <w:divBdr>
        <w:top w:val="none" w:sz="0" w:space="0" w:color="auto"/>
        <w:left w:val="none" w:sz="0" w:space="0" w:color="auto"/>
        <w:bottom w:val="none" w:sz="0" w:space="0" w:color="auto"/>
        <w:right w:val="none" w:sz="0" w:space="0" w:color="auto"/>
      </w:divBdr>
    </w:div>
    <w:div w:id="756558502">
      <w:marLeft w:val="0"/>
      <w:marRight w:val="0"/>
      <w:marTop w:val="0"/>
      <w:marBottom w:val="100"/>
      <w:divBdr>
        <w:top w:val="none" w:sz="0" w:space="0" w:color="auto"/>
        <w:left w:val="none" w:sz="0" w:space="0" w:color="auto"/>
        <w:bottom w:val="none" w:sz="0" w:space="0" w:color="auto"/>
        <w:right w:val="none" w:sz="0" w:space="0" w:color="auto"/>
      </w:divBdr>
    </w:div>
    <w:div w:id="756900661">
      <w:marLeft w:val="0"/>
      <w:marRight w:val="0"/>
      <w:marTop w:val="0"/>
      <w:marBottom w:val="0"/>
      <w:divBdr>
        <w:top w:val="none" w:sz="0" w:space="0" w:color="auto"/>
        <w:left w:val="none" w:sz="0" w:space="0" w:color="auto"/>
        <w:bottom w:val="none" w:sz="0" w:space="0" w:color="auto"/>
        <w:right w:val="none" w:sz="0" w:space="0" w:color="auto"/>
      </w:divBdr>
    </w:div>
    <w:div w:id="757092712">
      <w:marLeft w:val="0"/>
      <w:marRight w:val="0"/>
      <w:marTop w:val="180"/>
      <w:marBottom w:val="0"/>
      <w:divBdr>
        <w:top w:val="none" w:sz="0" w:space="0" w:color="auto"/>
        <w:left w:val="none" w:sz="0" w:space="0" w:color="auto"/>
        <w:bottom w:val="none" w:sz="0" w:space="0" w:color="auto"/>
        <w:right w:val="none" w:sz="0" w:space="0" w:color="auto"/>
      </w:divBdr>
    </w:div>
    <w:div w:id="758449204">
      <w:marLeft w:val="0"/>
      <w:marRight w:val="0"/>
      <w:marTop w:val="180"/>
      <w:marBottom w:val="0"/>
      <w:divBdr>
        <w:top w:val="none" w:sz="0" w:space="0" w:color="auto"/>
        <w:left w:val="none" w:sz="0" w:space="0" w:color="auto"/>
        <w:bottom w:val="none" w:sz="0" w:space="0" w:color="auto"/>
        <w:right w:val="none" w:sz="0" w:space="0" w:color="auto"/>
      </w:divBdr>
      <w:divsChild>
        <w:div w:id="823280147">
          <w:marLeft w:val="0"/>
          <w:marRight w:val="0"/>
          <w:marTop w:val="0"/>
          <w:marBottom w:val="0"/>
          <w:divBdr>
            <w:top w:val="none" w:sz="0" w:space="0" w:color="auto"/>
            <w:left w:val="none" w:sz="0" w:space="0" w:color="auto"/>
            <w:bottom w:val="none" w:sz="0" w:space="0" w:color="auto"/>
            <w:right w:val="none" w:sz="0" w:space="0" w:color="auto"/>
          </w:divBdr>
        </w:div>
        <w:div w:id="1969043627">
          <w:marLeft w:val="0"/>
          <w:marRight w:val="0"/>
          <w:marTop w:val="0"/>
          <w:marBottom w:val="0"/>
          <w:divBdr>
            <w:top w:val="none" w:sz="0" w:space="0" w:color="auto"/>
            <w:left w:val="none" w:sz="0" w:space="0" w:color="auto"/>
            <w:bottom w:val="none" w:sz="0" w:space="0" w:color="auto"/>
            <w:right w:val="none" w:sz="0" w:space="0" w:color="auto"/>
          </w:divBdr>
        </w:div>
        <w:div w:id="487481456">
          <w:marLeft w:val="0"/>
          <w:marRight w:val="0"/>
          <w:marTop w:val="0"/>
          <w:marBottom w:val="0"/>
          <w:divBdr>
            <w:top w:val="none" w:sz="0" w:space="0" w:color="auto"/>
            <w:left w:val="none" w:sz="0" w:space="0" w:color="auto"/>
            <w:bottom w:val="none" w:sz="0" w:space="0" w:color="auto"/>
            <w:right w:val="none" w:sz="0" w:space="0" w:color="auto"/>
          </w:divBdr>
        </w:div>
      </w:divsChild>
    </w:div>
    <w:div w:id="758645734">
      <w:marLeft w:val="0"/>
      <w:marRight w:val="0"/>
      <w:marTop w:val="100"/>
      <w:marBottom w:val="100"/>
      <w:divBdr>
        <w:top w:val="none" w:sz="0" w:space="0" w:color="auto"/>
        <w:left w:val="none" w:sz="0" w:space="0" w:color="auto"/>
        <w:bottom w:val="none" w:sz="0" w:space="0" w:color="auto"/>
        <w:right w:val="none" w:sz="0" w:space="0" w:color="auto"/>
      </w:divBdr>
    </w:div>
    <w:div w:id="758866224">
      <w:marLeft w:val="0"/>
      <w:marRight w:val="0"/>
      <w:marTop w:val="0"/>
      <w:marBottom w:val="100"/>
      <w:divBdr>
        <w:top w:val="none" w:sz="0" w:space="0" w:color="auto"/>
        <w:left w:val="none" w:sz="0" w:space="0" w:color="auto"/>
        <w:bottom w:val="none" w:sz="0" w:space="0" w:color="auto"/>
        <w:right w:val="none" w:sz="0" w:space="0" w:color="auto"/>
      </w:divBdr>
    </w:div>
    <w:div w:id="761342209">
      <w:marLeft w:val="0"/>
      <w:marRight w:val="0"/>
      <w:marTop w:val="0"/>
      <w:marBottom w:val="0"/>
      <w:divBdr>
        <w:top w:val="none" w:sz="0" w:space="0" w:color="auto"/>
        <w:left w:val="none" w:sz="0" w:space="0" w:color="auto"/>
        <w:bottom w:val="none" w:sz="0" w:space="0" w:color="auto"/>
        <w:right w:val="none" w:sz="0" w:space="0" w:color="auto"/>
      </w:divBdr>
    </w:div>
    <w:div w:id="761537221">
      <w:marLeft w:val="0"/>
      <w:marRight w:val="0"/>
      <w:marTop w:val="0"/>
      <w:marBottom w:val="100"/>
      <w:divBdr>
        <w:top w:val="none" w:sz="0" w:space="0" w:color="auto"/>
        <w:left w:val="none" w:sz="0" w:space="0" w:color="auto"/>
        <w:bottom w:val="none" w:sz="0" w:space="0" w:color="auto"/>
        <w:right w:val="none" w:sz="0" w:space="0" w:color="auto"/>
      </w:divBdr>
    </w:div>
    <w:div w:id="763645904">
      <w:marLeft w:val="0"/>
      <w:marRight w:val="0"/>
      <w:marTop w:val="0"/>
      <w:marBottom w:val="0"/>
      <w:divBdr>
        <w:top w:val="none" w:sz="0" w:space="0" w:color="auto"/>
        <w:left w:val="none" w:sz="0" w:space="0" w:color="auto"/>
        <w:bottom w:val="none" w:sz="0" w:space="0" w:color="auto"/>
        <w:right w:val="none" w:sz="0" w:space="0" w:color="auto"/>
      </w:divBdr>
    </w:div>
    <w:div w:id="763693466">
      <w:marLeft w:val="0"/>
      <w:marRight w:val="0"/>
      <w:marTop w:val="0"/>
      <w:marBottom w:val="0"/>
      <w:divBdr>
        <w:top w:val="none" w:sz="0" w:space="0" w:color="auto"/>
        <w:left w:val="none" w:sz="0" w:space="0" w:color="auto"/>
        <w:bottom w:val="none" w:sz="0" w:space="0" w:color="auto"/>
        <w:right w:val="none" w:sz="0" w:space="0" w:color="auto"/>
      </w:divBdr>
      <w:divsChild>
        <w:div w:id="645285994">
          <w:marLeft w:val="0"/>
          <w:marRight w:val="0"/>
          <w:marTop w:val="0"/>
          <w:marBottom w:val="100"/>
          <w:divBdr>
            <w:top w:val="none" w:sz="0" w:space="0" w:color="auto"/>
            <w:left w:val="none" w:sz="0" w:space="0" w:color="auto"/>
            <w:bottom w:val="none" w:sz="0" w:space="0" w:color="auto"/>
            <w:right w:val="none" w:sz="0" w:space="0" w:color="auto"/>
          </w:divBdr>
        </w:div>
      </w:divsChild>
    </w:div>
    <w:div w:id="764155906">
      <w:marLeft w:val="0"/>
      <w:marRight w:val="0"/>
      <w:marTop w:val="0"/>
      <w:marBottom w:val="0"/>
      <w:divBdr>
        <w:top w:val="none" w:sz="0" w:space="0" w:color="auto"/>
        <w:left w:val="none" w:sz="0" w:space="0" w:color="auto"/>
        <w:bottom w:val="none" w:sz="0" w:space="0" w:color="auto"/>
        <w:right w:val="none" w:sz="0" w:space="0" w:color="auto"/>
      </w:divBdr>
    </w:div>
    <w:div w:id="765465413">
      <w:marLeft w:val="0"/>
      <w:marRight w:val="0"/>
      <w:marTop w:val="0"/>
      <w:marBottom w:val="100"/>
      <w:divBdr>
        <w:top w:val="none" w:sz="0" w:space="0" w:color="auto"/>
        <w:left w:val="none" w:sz="0" w:space="0" w:color="auto"/>
        <w:bottom w:val="none" w:sz="0" w:space="0" w:color="auto"/>
        <w:right w:val="none" w:sz="0" w:space="0" w:color="auto"/>
      </w:divBdr>
    </w:div>
    <w:div w:id="766004119">
      <w:marLeft w:val="0"/>
      <w:marRight w:val="0"/>
      <w:marTop w:val="0"/>
      <w:marBottom w:val="100"/>
      <w:divBdr>
        <w:top w:val="none" w:sz="0" w:space="0" w:color="auto"/>
        <w:left w:val="none" w:sz="0" w:space="0" w:color="auto"/>
        <w:bottom w:val="none" w:sz="0" w:space="0" w:color="auto"/>
        <w:right w:val="none" w:sz="0" w:space="0" w:color="auto"/>
      </w:divBdr>
    </w:div>
    <w:div w:id="766076412">
      <w:marLeft w:val="0"/>
      <w:marRight w:val="0"/>
      <w:marTop w:val="100"/>
      <w:marBottom w:val="100"/>
      <w:divBdr>
        <w:top w:val="none" w:sz="0" w:space="0" w:color="auto"/>
        <w:left w:val="none" w:sz="0" w:space="0" w:color="auto"/>
        <w:bottom w:val="none" w:sz="0" w:space="0" w:color="auto"/>
        <w:right w:val="none" w:sz="0" w:space="0" w:color="auto"/>
      </w:divBdr>
    </w:div>
    <w:div w:id="766341023">
      <w:marLeft w:val="0"/>
      <w:marRight w:val="0"/>
      <w:marTop w:val="0"/>
      <w:marBottom w:val="0"/>
      <w:divBdr>
        <w:top w:val="none" w:sz="0" w:space="0" w:color="auto"/>
        <w:left w:val="none" w:sz="0" w:space="0" w:color="auto"/>
        <w:bottom w:val="none" w:sz="0" w:space="0" w:color="auto"/>
        <w:right w:val="none" w:sz="0" w:space="0" w:color="auto"/>
      </w:divBdr>
    </w:div>
    <w:div w:id="768617893">
      <w:marLeft w:val="0"/>
      <w:marRight w:val="0"/>
      <w:marTop w:val="0"/>
      <w:marBottom w:val="0"/>
      <w:divBdr>
        <w:top w:val="none" w:sz="0" w:space="0" w:color="auto"/>
        <w:left w:val="none" w:sz="0" w:space="0" w:color="auto"/>
        <w:bottom w:val="none" w:sz="0" w:space="0" w:color="auto"/>
        <w:right w:val="none" w:sz="0" w:space="0" w:color="auto"/>
      </w:divBdr>
      <w:divsChild>
        <w:div w:id="1496873540">
          <w:marLeft w:val="0"/>
          <w:marRight w:val="0"/>
          <w:marTop w:val="0"/>
          <w:marBottom w:val="100"/>
          <w:divBdr>
            <w:top w:val="none" w:sz="0" w:space="0" w:color="auto"/>
            <w:left w:val="none" w:sz="0" w:space="0" w:color="auto"/>
            <w:bottom w:val="none" w:sz="0" w:space="0" w:color="auto"/>
            <w:right w:val="none" w:sz="0" w:space="0" w:color="auto"/>
          </w:divBdr>
        </w:div>
      </w:divsChild>
    </w:div>
    <w:div w:id="768741561">
      <w:marLeft w:val="0"/>
      <w:marRight w:val="0"/>
      <w:marTop w:val="0"/>
      <w:marBottom w:val="100"/>
      <w:divBdr>
        <w:top w:val="none" w:sz="0" w:space="0" w:color="auto"/>
        <w:left w:val="none" w:sz="0" w:space="0" w:color="auto"/>
        <w:bottom w:val="none" w:sz="0" w:space="0" w:color="auto"/>
        <w:right w:val="none" w:sz="0" w:space="0" w:color="auto"/>
      </w:divBdr>
    </w:div>
    <w:div w:id="771054923">
      <w:marLeft w:val="0"/>
      <w:marRight w:val="0"/>
      <w:marTop w:val="0"/>
      <w:marBottom w:val="0"/>
      <w:divBdr>
        <w:top w:val="none" w:sz="0" w:space="0" w:color="auto"/>
        <w:left w:val="none" w:sz="0" w:space="0" w:color="auto"/>
        <w:bottom w:val="none" w:sz="0" w:space="0" w:color="auto"/>
        <w:right w:val="none" w:sz="0" w:space="0" w:color="auto"/>
      </w:divBdr>
    </w:div>
    <w:div w:id="772163097">
      <w:marLeft w:val="0"/>
      <w:marRight w:val="0"/>
      <w:marTop w:val="100"/>
      <w:marBottom w:val="100"/>
      <w:divBdr>
        <w:top w:val="none" w:sz="0" w:space="0" w:color="auto"/>
        <w:left w:val="none" w:sz="0" w:space="0" w:color="auto"/>
        <w:bottom w:val="none" w:sz="0" w:space="0" w:color="auto"/>
        <w:right w:val="none" w:sz="0" w:space="0" w:color="auto"/>
      </w:divBdr>
    </w:div>
    <w:div w:id="772819718">
      <w:marLeft w:val="0"/>
      <w:marRight w:val="0"/>
      <w:marTop w:val="180"/>
      <w:marBottom w:val="0"/>
      <w:divBdr>
        <w:top w:val="none" w:sz="0" w:space="0" w:color="auto"/>
        <w:left w:val="none" w:sz="0" w:space="0" w:color="auto"/>
        <w:bottom w:val="none" w:sz="0" w:space="0" w:color="auto"/>
        <w:right w:val="none" w:sz="0" w:space="0" w:color="auto"/>
      </w:divBdr>
    </w:div>
    <w:div w:id="772945761">
      <w:marLeft w:val="0"/>
      <w:marRight w:val="0"/>
      <w:marTop w:val="0"/>
      <w:marBottom w:val="100"/>
      <w:divBdr>
        <w:top w:val="none" w:sz="0" w:space="0" w:color="auto"/>
        <w:left w:val="none" w:sz="0" w:space="0" w:color="auto"/>
        <w:bottom w:val="none" w:sz="0" w:space="0" w:color="auto"/>
        <w:right w:val="none" w:sz="0" w:space="0" w:color="auto"/>
      </w:divBdr>
    </w:div>
    <w:div w:id="773325279">
      <w:marLeft w:val="0"/>
      <w:marRight w:val="0"/>
      <w:marTop w:val="100"/>
      <w:marBottom w:val="100"/>
      <w:divBdr>
        <w:top w:val="none" w:sz="0" w:space="0" w:color="auto"/>
        <w:left w:val="none" w:sz="0" w:space="0" w:color="auto"/>
        <w:bottom w:val="none" w:sz="0" w:space="0" w:color="auto"/>
        <w:right w:val="none" w:sz="0" w:space="0" w:color="auto"/>
      </w:divBdr>
    </w:div>
    <w:div w:id="773940756">
      <w:marLeft w:val="0"/>
      <w:marRight w:val="0"/>
      <w:marTop w:val="100"/>
      <w:marBottom w:val="120"/>
      <w:divBdr>
        <w:top w:val="none" w:sz="0" w:space="0" w:color="auto"/>
        <w:left w:val="none" w:sz="0" w:space="0" w:color="auto"/>
        <w:bottom w:val="none" w:sz="0" w:space="0" w:color="auto"/>
        <w:right w:val="none" w:sz="0" w:space="0" w:color="auto"/>
      </w:divBdr>
    </w:div>
    <w:div w:id="775170633">
      <w:marLeft w:val="0"/>
      <w:marRight w:val="0"/>
      <w:marTop w:val="280"/>
      <w:marBottom w:val="100"/>
      <w:divBdr>
        <w:top w:val="none" w:sz="0" w:space="0" w:color="auto"/>
        <w:left w:val="none" w:sz="0" w:space="0" w:color="auto"/>
        <w:bottom w:val="none" w:sz="0" w:space="0" w:color="auto"/>
        <w:right w:val="none" w:sz="0" w:space="0" w:color="auto"/>
      </w:divBdr>
    </w:div>
    <w:div w:id="779026839">
      <w:marLeft w:val="0"/>
      <w:marRight w:val="0"/>
      <w:marTop w:val="100"/>
      <w:marBottom w:val="100"/>
      <w:divBdr>
        <w:top w:val="none" w:sz="0" w:space="0" w:color="auto"/>
        <w:left w:val="none" w:sz="0" w:space="0" w:color="auto"/>
        <w:bottom w:val="none" w:sz="0" w:space="0" w:color="auto"/>
        <w:right w:val="none" w:sz="0" w:space="0" w:color="auto"/>
      </w:divBdr>
    </w:div>
    <w:div w:id="780685810">
      <w:marLeft w:val="0"/>
      <w:marRight w:val="0"/>
      <w:marTop w:val="100"/>
      <w:marBottom w:val="100"/>
      <w:divBdr>
        <w:top w:val="none" w:sz="0" w:space="0" w:color="auto"/>
        <w:left w:val="none" w:sz="0" w:space="0" w:color="auto"/>
        <w:bottom w:val="none" w:sz="0" w:space="0" w:color="auto"/>
        <w:right w:val="none" w:sz="0" w:space="0" w:color="auto"/>
      </w:divBdr>
    </w:div>
    <w:div w:id="781657023">
      <w:marLeft w:val="0"/>
      <w:marRight w:val="0"/>
      <w:marTop w:val="180"/>
      <w:marBottom w:val="0"/>
      <w:divBdr>
        <w:top w:val="none" w:sz="0" w:space="0" w:color="auto"/>
        <w:left w:val="none" w:sz="0" w:space="0" w:color="auto"/>
        <w:bottom w:val="none" w:sz="0" w:space="0" w:color="auto"/>
        <w:right w:val="none" w:sz="0" w:space="0" w:color="auto"/>
      </w:divBdr>
    </w:div>
    <w:div w:id="783304693">
      <w:marLeft w:val="0"/>
      <w:marRight w:val="0"/>
      <w:marTop w:val="0"/>
      <w:marBottom w:val="100"/>
      <w:divBdr>
        <w:top w:val="none" w:sz="0" w:space="0" w:color="auto"/>
        <w:left w:val="none" w:sz="0" w:space="0" w:color="auto"/>
        <w:bottom w:val="none" w:sz="0" w:space="0" w:color="auto"/>
        <w:right w:val="none" w:sz="0" w:space="0" w:color="auto"/>
      </w:divBdr>
    </w:div>
    <w:div w:id="783580749">
      <w:marLeft w:val="0"/>
      <w:marRight w:val="0"/>
      <w:marTop w:val="80"/>
      <w:marBottom w:val="100"/>
      <w:divBdr>
        <w:top w:val="none" w:sz="0" w:space="0" w:color="auto"/>
        <w:left w:val="none" w:sz="0" w:space="0" w:color="auto"/>
        <w:bottom w:val="none" w:sz="0" w:space="0" w:color="auto"/>
        <w:right w:val="none" w:sz="0" w:space="0" w:color="auto"/>
      </w:divBdr>
    </w:div>
    <w:div w:id="785848791">
      <w:marLeft w:val="0"/>
      <w:marRight w:val="0"/>
      <w:marTop w:val="100"/>
      <w:marBottom w:val="100"/>
      <w:divBdr>
        <w:top w:val="none" w:sz="0" w:space="0" w:color="auto"/>
        <w:left w:val="none" w:sz="0" w:space="0" w:color="auto"/>
        <w:bottom w:val="none" w:sz="0" w:space="0" w:color="auto"/>
        <w:right w:val="none" w:sz="0" w:space="0" w:color="auto"/>
      </w:divBdr>
    </w:div>
    <w:div w:id="786895787">
      <w:marLeft w:val="0"/>
      <w:marRight w:val="0"/>
      <w:marTop w:val="100"/>
      <w:marBottom w:val="100"/>
      <w:divBdr>
        <w:top w:val="none" w:sz="0" w:space="0" w:color="auto"/>
        <w:left w:val="none" w:sz="0" w:space="0" w:color="auto"/>
        <w:bottom w:val="none" w:sz="0" w:space="0" w:color="auto"/>
        <w:right w:val="none" w:sz="0" w:space="0" w:color="auto"/>
      </w:divBdr>
    </w:div>
    <w:div w:id="788670318">
      <w:marLeft w:val="0"/>
      <w:marRight w:val="0"/>
      <w:marTop w:val="100"/>
      <w:marBottom w:val="100"/>
      <w:divBdr>
        <w:top w:val="none" w:sz="0" w:space="0" w:color="auto"/>
        <w:left w:val="none" w:sz="0" w:space="0" w:color="auto"/>
        <w:bottom w:val="none" w:sz="0" w:space="0" w:color="auto"/>
        <w:right w:val="none" w:sz="0" w:space="0" w:color="auto"/>
      </w:divBdr>
    </w:div>
    <w:div w:id="792089807">
      <w:marLeft w:val="0"/>
      <w:marRight w:val="0"/>
      <w:marTop w:val="0"/>
      <w:marBottom w:val="100"/>
      <w:divBdr>
        <w:top w:val="none" w:sz="0" w:space="0" w:color="auto"/>
        <w:left w:val="none" w:sz="0" w:space="0" w:color="auto"/>
        <w:bottom w:val="none" w:sz="0" w:space="0" w:color="auto"/>
        <w:right w:val="none" w:sz="0" w:space="0" w:color="auto"/>
      </w:divBdr>
    </w:div>
    <w:div w:id="793326477">
      <w:marLeft w:val="0"/>
      <w:marRight w:val="0"/>
      <w:marTop w:val="180"/>
      <w:marBottom w:val="0"/>
      <w:divBdr>
        <w:top w:val="none" w:sz="0" w:space="0" w:color="auto"/>
        <w:left w:val="none" w:sz="0" w:space="0" w:color="auto"/>
        <w:bottom w:val="none" w:sz="0" w:space="0" w:color="auto"/>
        <w:right w:val="none" w:sz="0" w:space="0" w:color="auto"/>
      </w:divBdr>
    </w:div>
    <w:div w:id="797533035">
      <w:marLeft w:val="0"/>
      <w:marRight w:val="0"/>
      <w:marTop w:val="100"/>
      <w:marBottom w:val="100"/>
      <w:divBdr>
        <w:top w:val="none" w:sz="0" w:space="0" w:color="auto"/>
        <w:left w:val="none" w:sz="0" w:space="0" w:color="auto"/>
        <w:bottom w:val="none" w:sz="0" w:space="0" w:color="auto"/>
        <w:right w:val="none" w:sz="0" w:space="0" w:color="auto"/>
      </w:divBdr>
    </w:div>
    <w:div w:id="797576403">
      <w:marLeft w:val="0"/>
      <w:marRight w:val="0"/>
      <w:marTop w:val="180"/>
      <w:marBottom w:val="0"/>
      <w:divBdr>
        <w:top w:val="none" w:sz="0" w:space="0" w:color="auto"/>
        <w:left w:val="none" w:sz="0" w:space="0" w:color="auto"/>
        <w:bottom w:val="none" w:sz="0" w:space="0" w:color="auto"/>
        <w:right w:val="none" w:sz="0" w:space="0" w:color="auto"/>
      </w:divBdr>
    </w:div>
    <w:div w:id="797647548">
      <w:marLeft w:val="0"/>
      <w:marRight w:val="0"/>
      <w:marTop w:val="0"/>
      <w:marBottom w:val="0"/>
      <w:divBdr>
        <w:top w:val="none" w:sz="0" w:space="0" w:color="auto"/>
        <w:left w:val="none" w:sz="0" w:space="0" w:color="auto"/>
        <w:bottom w:val="none" w:sz="0" w:space="0" w:color="auto"/>
        <w:right w:val="none" w:sz="0" w:space="0" w:color="auto"/>
      </w:divBdr>
      <w:divsChild>
        <w:div w:id="1278759372">
          <w:marLeft w:val="0"/>
          <w:marRight w:val="0"/>
          <w:marTop w:val="0"/>
          <w:marBottom w:val="0"/>
          <w:divBdr>
            <w:top w:val="none" w:sz="0" w:space="0" w:color="auto"/>
            <w:left w:val="none" w:sz="0" w:space="0" w:color="auto"/>
            <w:bottom w:val="none" w:sz="0" w:space="0" w:color="auto"/>
            <w:right w:val="none" w:sz="0" w:space="0" w:color="auto"/>
          </w:divBdr>
          <w:divsChild>
            <w:div w:id="1882475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98037131">
      <w:marLeft w:val="0"/>
      <w:marRight w:val="0"/>
      <w:marTop w:val="180"/>
      <w:marBottom w:val="0"/>
      <w:divBdr>
        <w:top w:val="none" w:sz="0" w:space="0" w:color="auto"/>
        <w:left w:val="none" w:sz="0" w:space="0" w:color="auto"/>
        <w:bottom w:val="none" w:sz="0" w:space="0" w:color="auto"/>
        <w:right w:val="none" w:sz="0" w:space="0" w:color="auto"/>
      </w:divBdr>
    </w:div>
    <w:div w:id="801115349">
      <w:marLeft w:val="0"/>
      <w:marRight w:val="0"/>
      <w:marTop w:val="0"/>
      <w:marBottom w:val="0"/>
      <w:divBdr>
        <w:top w:val="none" w:sz="0" w:space="0" w:color="auto"/>
        <w:left w:val="none" w:sz="0" w:space="0" w:color="auto"/>
        <w:bottom w:val="none" w:sz="0" w:space="0" w:color="auto"/>
        <w:right w:val="none" w:sz="0" w:space="0" w:color="auto"/>
      </w:divBdr>
      <w:divsChild>
        <w:div w:id="1762608341">
          <w:marLeft w:val="0"/>
          <w:marRight w:val="0"/>
          <w:marTop w:val="0"/>
          <w:marBottom w:val="100"/>
          <w:divBdr>
            <w:top w:val="none" w:sz="0" w:space="0" w:color="auto"/>
            <w:left w:val="none" w:sz="0" w:space="0" w:color="auto"/>
            <w:bottom w:val="none" w:sz="0" w:space="0" w:color="auto"/>
            <w:right w:val="none" w:sz="0" w:space="0" w:color="auto"/>
          </w:divBdr>
        </w:div>
      </w:divsChild>
    </w:div>
    <w:div w:id="801505330">
      <w:marLeft w:val="0"/>
      <w:marRight w:val="0"/>
      <w:marTop w:val="0"/>
      <w:marBottom w:val="0"/>
      <w:divBdr>
        <w:top w:val="none" w:sz="0" w:space="0" w:color="auto"/>
        <w:left w:val="none" w:sz="0" w:space="0" w:color="auto"/>
        <w:bottom w:val="none" w:sz="0" w:space="0" w:color="auto"/>
        <w:right w:val="none" w:sz="0" w:space="0" w:color="auto"/>
      </w:divBdr>
    </w:div>
    <w:div w:id="801508841">
      <w:marLeft w:val="0"/>
      <w:marRight w:val="0"/>
      <w:marTop w:val="0"/>
      <w:marBottom w:val="100"/>
      <w:divBdr>
        <w:top w:val="none" w:sz="0" w:space="0" w:color="auto"/>
        <w:left w:val="none" w:sz="0" w:space="0" w:color="auto"/>
        <w:bottom w:val="none" w:sz="0" w:space="0" w:color="auto"/>
        <w:right w:val="none" w:sz="0" w:space="0" w:color="auto"/>
      </w:divBdr>
    </w:div>
    <w:div w:id="802382993">
      <w:marLeft w:val="0"/>
      <w:marRight w:val="0"/>
      <w:marTop w:val="0"/>
      <w:marBottom w:val="100"/>
      <w:divBdr>
        <w:top w:val="none" w:sz="0" w:space="0" w:color="auto"/>
        <w:left w:val="none" w:sz="0" w:space="0" w:color="auto"/>
        <w:bottom w:val="none" w:sz="0" w:space="0" w:color="auto"/>
        <w:right w:val="none" w:sz="0" w:space="0" w:color="auto"/>
      </w:divBdr>
    </w:div>
    <w:div w:id="802701352">
      <w:marLeft w:val="0"/>
      <w:marRight w:val="0"/>
      <w:marTop w:val="0"/>
      <w:marBottom w:val="0"/>
      <w:divBdr>
        <w:top w:val="none" w:sz="0" w:space="0" w:color="auto"/>
        <w:left w:val="none" w:sz="0" w:space="0" w:color="auto"/>
        <w:bottom w:val="none" w:sz="0" w:space="0" w:color="auto"/>
        <w:right w:val="none" w:sz="0" w:space="0" w:color="auto"/>
      </w:divBdr>
    </w:div>
    <w:div w:id="803814352">
      <w:marLeft w:val="0"/>
      <w:marRight w:val="0"/>
      <w:marTop w:val="0"/>
      <w:marBottom w:val="0"/>
      <w:divBdr>
        <w:top w:val="none" w:sz="0" w:space="0" w:color="auto"/>
        <w:left w:val="none" w:sz="0" w:space="0" w:color="auto"/>
        <w:bottom w:val="none" w:sz="0" w:space="0" w:color="auto"/>
        <w:right w:val="none" w:sz="0" w:space="0" w:color="auto"/>
      </w:divBdr>
      <w:divsChild>
        <w:div w:id="119538576">
          <w:marLeft w:val="0"/>
          <w:marRight w:val="0"/>
          <w:marTop w:val="0"/>
          <w:marBottom w:val="100"/>
          <w:divBdr>
            <w:top w:val="none" w:sz="0" w:space="0" w:color="auto"/>
            <w:left w:val="none" w:sz="0" w:space="0" w:color="auto"/>
            <w:bottom w:val="none" w:sz="0" w:space="0" w:color="auto"/>
            <w:right w:val="none" w:sz="0" w:space="0" w:color="auto"/>
          </w:divBdr>
        </w:div>
      </w:divsChild>
    </w:div>
    <w:div w:id="806122934">
      <w:marLeft w:val="0"/>
      <w:marRight w:val="0"/>
      <w:marTop w:val="80"/>
      <w:marBottom w:val="100"/>
      <w:divBdr>
        <w:top w:val="none" w:sz="0" w:space="0" w:color="auto"/>
        <w:left w:val="none" w:sz="0" w:space="0" w:color="auto"/>
        <w:bottom w:val="none" w:sz="0" w:space="0" w:color="auto"/>
        <w:right w:val="none" w:sz="0" w:space="0" w:color="auto"/>
      </w:divBdr>
    </w:div>
    <w:div w:id="806431010">
      <w:marLeft w:val="0"/>
      <w:marRight w:val="0"/>
      <w:marTop w:val="0"/>
      <w:marBottom w:val="0"/>
      <w:divBdr>
        <w:top w:val="none" w:sz="0" w:space="0" w:color="auto"/>
        <w:left w:val="none" w:sz="0" w:space="0" w:color="auto"/>
        <w:bottom w:val="none" w:sz="0" w:space="0" w:color="auto"/>
        <w:right w:val="none" w:sz="0" w:space="0" w:color="auto"/>
      </w:divBdr>
    </w:div>
    <w:div w:id="807892704">
      <w:marLeft w:val="0"/>
      <w:marRight w:val="0"/>
      <w:marTop w:val="180"/>
      <w:marBottom w:val="0"/>
      <w:divBdr>
        <w:top w:val="none" w:sz="0" w:space="0" w:color="auto"/>
        <w:left w:val="none" w:sz="0" w:space="0" w:color="auto"/>
        <w:bottom w:val="none" w:sz="0" w:space="0" w:color="auto"/>
        <w:right w:val="none" w:sz="0" w:space="0" w:color="auto"/>
      </w:divBdr>
      <w:divsChild>
        <w:div w:id="1736968419">
          <w:marLeft w:val="0"/>
          <w:marRight w:val="0"/>
          <w:marTop w:val="0"/>
          <w:marBottom w:val="0"/>
          <w:divBdr>
            <w:top w:val="none" w:sz="0" w:space="0" w:color="auto"/>
            <w:left w:val="none" w:sz="0" w:space="0" w:color="auto"/>
            <w:bottom w:val="none" w:sz="0" w:space="0" w:color="auto"/>
            <w:right w:val="none" w:sz="0" w:space="0" w:color="auto"/>
          </w:divBdr>
        </w:div>
        <w:div w:id="4140387">
          <w:marLeft w:val="0"/>
          <w:marRight w:val="0"/>
          <w:marTop w:val="0"/>
          <w:marBottom w:val="0"/>
          <w:divBdr>
            <w:top w:val="none" w:sz="0" w:space="0" w:color="auto"/>
            <w:left w:val="none" w:sz="0" w:space="0" w:color="auto"/>
            <w:bottom w:val="none" w:sz="0" w:space="0" w:color="auto"/>
            <w:right w:val="none" w:sz="0" w:space="0" w:color="auto"/>
          </w:divBdr>
        </w:div>
        <w:div w:id="1119643499">
          <w:marLeft w:val="0"/>
          <w:marRight w:val="0"/>
          <w:marTop w:val="0"/>
          <w:marBottom w:val="0"/>
          <w:divBdr>
            <w:top w:val="none" w:sz="0" w:space="0" w:color="auto"/>
            <w:left w:val="none" w:sz="0" w:space="0" w:color="auto"/>
            <w:bottom w:val="none" w:sz="0" w:space="0" w:color="auto"/>
            <w:right w:val="none" w:sz="0" w:space="0" w:color="auto"/>
          </w:divBdr>
        </w:div>
        <w:div w:id="627780105">
          <w:marLeft w:val="0"/>
          <w:marRight w:val="0"/>
          <w:marTop w:val="0"/>
          <w:marBottom w:val="0"/>
          <w:divBdr>
            <w:top w:val="none" w:sz="0" w:space="0" w:color="auto"/>
            <w:left w:val="none" w:sz="0" w:space="0" w:color="auto"/>
            <w:bottom w:val="none" w:sz="0" w:space="0" w:color="auto"/>
            <w:right w:val="none" w:sz="0" w:space="0" w:color="auto"/>
          </w:divBdr>
        </w:div>
      </w:divsChild>
    </w:div>
    <w:div w:id="808206996">
      <w:marLeft w:val="0"/>
      <w:marRight w:val="0"/>
      <w:marTop w:val="0"/>
      <w:marBottom w:val="100"/>
      <w:divBdr>
        <w:top w:val="none" w:sz="0" w:space="0" w:color="auto"/>
        <w:left w:val="none" w:sz="0" w:space="0" w:color="auto"/>
        <w:bottom w:val="none" w:sz="0" w:space="0" w:color="auto"/>
        <w:right w:val="none" w:sz="0" w:space="0" w:color="auto"/>
      </w:divBdr>
    </w:div>
    <w:div w:id="808670005">
      <w:marLeft w:val="0"/>
      <w:marRight w:val="0"/>
      <w:marTop w:val="0"/>
      <w:marBottom w:val="0"/>
      <w:divBdr>
        <w:top w:val="none" w:sz="0" w:space="0" w:color="auto"/>
        <w:left w:val="none" w:sz="0" w:space="0" w:color="auto"/>
        <w:bottom w:val="none" w:sz="0" w:space="0" w:color="auto"/>
        <w:right w:val="none" w:sz="0" w:space="0" w:color="auto"/>
      </w:divBdr>
    </w:div>
    <w:div w:id="809398544">
      <w:marLeft w:val="0"/>
      <w:marRight w:val="0"/>
      <w:marTop w:val="80"/>
      <w:marBottom w:val="100"/>
      <w:divBdr>
        <w:top w:val="none" w:sz="0" w:space="0" w:color="auto"/>
        <w:left w:val="none" w:sz="0" w:space="0" w:color="auto"/>
        <w:bottom w:val="none" w:sz="0" w:space="0" w:color="auto"/>
        <w:right w:val="none" w:sz="0" w:space="0" w:color="auto"/>
      </w:divBdr>
    </w:div>
    <w:div w:id="810176991">
      <w:marLeft w:val="0"/>
      <w:marRight w:val="0"/>
      <w:marTop w:val="0"/>
      <w:marBottom w:val="100"/>
      <w:divBdr>
        <w:top w:val="none" w:sz="0" w:space="0" w:color="auto"/>
        <w:left w:val="none" w:sz="0" w:space="0" w:color="auto"/>
        <w:bottom w:val="none" w:sz="0" w:space="0" w:color="auto"/>
        <w:right w:val="none" w:sz="0" w:space="0" w:color="auto"/>
      </w:divBdr>
    </w:div>
    <w:div w:id="812526803">
      <w:marLeft w:val="0"/>
      <w:marRight w:val="0"/>
      <w:marTop w:val="0"/>
      <w:marBottom w:val="100"/>
      <w:divBdr>
        <w:top w:val="none" w:sz="0" w:space="0" w:color="auto"/>
        <w:left w:val="none" w:sz="0" w:space="0" w:color="auto"/>
        <w:bottom w:val="none" w:sz="0" w:space="0" w:color="auto"/>
        <w:right w:val="none" w:sz="0" w:space="0" w:color="auto"/>
      </w:divBdr>
    </w:div>
    <w:div w:id="812984218">
      <w:marLeft w:val="0"/>
      <w:marRight w:val="0"/>
      <w:marTop w:val="340"/>
      <w:marBottom w:val="340"/>
      <w:divBdr>
        <w:top w:val="none" w:sz="0" w:space="0" w:color="auto"/>
        <w:left w:val="none" w:sz="0" w:space="0" w:color="auto"/>
        <w:bottom w:val="none" w:sz="0" w:space="0" w:color="auto"/>
        <w:right w:val="none" w:sz="0" w:space="0" w:color="auto"/>
      </w:divBdr>
    </w:div>
    <w:div w:id="814953976">
      <w:marLeft w:val="0"/>
      <w:marRight w:val="0"/>
      <w:marTop w:val="0"/>
      <w:marBottom w:val="0"/>
      <w:divBdr>
        <w:top w:val="none" w:sz="0" w:space="0" w:color="auto"/>
        <w:left w:val="none" w:sz="0" w:space="0" w:color="auto"/>
        <w:bottom w:val="none" w:sz="0" w:space="0" w:color="auto"/>
        <w:right w:val="none" w:sz="0" w:space="0" w:color="auto"/>
      </w:divBdr>
    </w:div>
    <w:div w:id="817768584">
      <w:marLeft w:val="0"/>
      <w:marRight w:val="0"/>
      <w:marTop w:val="0"/>
      <w:marBottom w:val="0"/>
      <w:divBdr>
        <w:top w:val="none" w:sz="0" w:space="0" w:color="auto"/>
        <w:left w:val="none" w:sz="0" w:space="0" w:color="auto"/>
        <w:bottom w:val="none" w:sz="0" w:space="0" w:color="auto"/>
        <w:right w:val="none" w:sz="0" w:space="0" w:color="auto"/>
      </w:divBdr>
      <w:divsChild>
        <w:div w:id="48463231">
          <w:marLeft w:val="0"/>
          <w:marRight w:val="0"/>
          <w:marTop w:val="0"/>
          <w:marBottom w:val="0"/>
          <w:divBdr>
            <w:top w:val="none" w:sz="0" w:space="0" w:color="auto"/>
            <w:left w:val="none" w:sz="0" w:space="0" w:color="auto"/>
            <w:bottom w:val="none" w:sz="0" w:space="0" w:color="auto"/>
            <w:right w:val="none" w:sz="0" w:space="0" w:color="auto"/>
          </w:divBdr>
          <w:divsChild>
            <w:div w:id="152359341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18771789">
      <w:marLeft w:val="0"/>
      <w:marRight w:val="0"/>
      <w:marTop w:val="0"/>
      <w:marBottom w:val="0"/>
      <w:divBdr>
        <w:top w:val="none" w:sz="0" w:space="0" w:color="auto"/>
        <w:left w:val="none" w:sz="0" w:space="0" w:color="auto"/>
        <w:bottom w:val="none" w:sz="0" w:space="0" w:color="auto"/>
        <w:right w:val="none" w:sz="0" w:space="0" w:color="auto"/>
      </w:divBdr>
      <w:divsChild>
        <w:div w:id="1029449175">
          <w:marLeft w:val="0"/>
          <w:marRight w:val="0"/>
          <w:marTop w:val="0"/>
          <w:marBottom w:val="0"/>
          <w:divBdr>
            <w:top w:val="none" w:sz="0" w:space="0" w:color="auto"/>
            <w:left w:val="none" w:sz="0" w:space="0" w:color="auto"/>
            <w:bottom w:val="none" w:sz="0" w:space="0" w:color="auto"/>
            <w:right w:val="none" w:sz="0" w:space="0" w:color="auto"/>
          </w:divBdr>
          <w:divsChild>
            <w:div w:id="204355724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19423895">
      <w:marLeft w:val="0"/>
      <w:marRight w:val="0"/>
      <w:marTop w:val="0"/>
      <w:marBottom w:val="0"/>
      <w:divBdr>
        <w:top w:val="none" w:sz="0" w:space="0" w:color="auto"/>
        <w:left w:val="none" w:sz="0" w:space="0" w:color="auto"/>
        <w:bottom w:val="none" w:sz="0" w:space="0" w:color="auto"/>
        <w:right w:val="none" w:sz="0" w:space="0" w:color="auto"/>
      </w:divBdr>
      <w:divsChild>
        <w:div w:id="960186214">
          <w:marLeft w:val="0"/>
          <w:marRight w:val="0"/>
          <w:marTop w:val="0"/>
          <w:marBottom w:val="100"/>
          <w:divBdr>
            <w:top w:val="none" w:sz="0" w:space="0" w:color="auto"/>
            <w:left w:val="none" w:sz="0" w:space="0" w:color="auto"/>
            <w:bottom w:val="none" w:sz="0" w:space="0" w:color="auto"/>
            <w:right w:val="none" w:sz="0" w:space="0" w:color="auto"/>
          </w:divBdr>
        </w:div>
      </w:divsChild>
    </w:div>
    <w:div w:id="820317853">
      <w:marLeft w:val="0"/>
      <w:marRight w:val="0"/>
      <w:marTop w:val="180"/>
      <w:marBottom w:val="0"/>
      <w:divBdr>
        <w:top w:val="none" w:sz="0" w:space="0" w:color="auto"/>
        <w:left w:val="none" w:sz="0" w:space="0" w:color="auto"/>
        <w:bottom w:val="none" w:sz="0" w:space="0" w:color="auto"/>
        <w:right w:val="none" w:sz="0" w:space="0" w:color="auto"/>
      </w:divBdr>
    </w:div>
    <w:div w:id="820346427">
      <w:marLeft w:val="0"/>
      <w:marRight w:val="0"/>
      <w:marTop w:val="100"/>
      <w:marBottom w:val="100"/>
      <w:divBdr>
        <w:top w:val="none" w:sz="0" w:space="0" w:color="auto"/>
        <w:left w:val="none" w:sz="0" w:space="0" w:color="auto"/>
        <w:bottom w:val="none" w:sz="0" w:space="0" w:color="auto"/>
        <w:right w:val="none" w:sz="0" w:space="0" w:color="auto"/>
      </w:divBdr>
    </w:div>
    <w:div w:id="821386063">
      <w:marLeft w:val="0"/>
      <w:marRight w:val="0"/>
      <w:marTop w:val="100"/>
      <w:marBottom w:val="100"/>
      <w:divBdr>
        <w:top w:val="none" w:sz="0" w:space="0" w:color="auto"/>
        <w:left w:val="none" w:sz="0" w:space="0" w:color="auto"/>
        <w:bottom w:val="none" w:sz="0" w:space="0" w:color="auto"/>
        <w:right w:val="none" w:sz="0" w:space="0" w:color="auto"/>
      </w:divBdr>
    </w:div>
    <w:div w:id="823737176">
      <w:marLeft w:val="0"/>
      <w:marRight w:val="0"/>
      <w:marTop w:val="100"/>
      <w:marBottom w:val="100"/>
      <w:divBdr>
        <w:top w:val="none" w:sz="0" w:space="0" w:color="auto"/>
        <w:left w:val="none" w:sz="0" w:space="0" w:color="auto"/>
        <w:bottom w:val="none" w:sz="0" w:space="0" w:color="auto"/>
        <w:right w:val="none" w:sz="0" w:space="0" w:color="auto"/>
      </w:divBdr>
    </w:div>
    <w:div w:id="825129117">
      <w:marLeft w:val="0"/>
      <w:marRight w:val="0"/>
      <w:marTop w:val="0"/>
      <w:marBottom w:val="100"/>
      <w:divBdr>
        <w:top w:val="none" w:sz="0" w:space="0" w:color="auto"/>
        <w:left w:val="none" w:sz="0" w:space="0" w:color="auto"/>
        <w:bottom w:val="none" w:sz="0" w:space="0" w:color="auto"/>
        <w:right w:val="none" w:sz="0" w:space="0" w:color="auto"/>
      </w:divBdr>
    </w:div>
    <w:div w:id="826628665">
      <w:marLeft w:val="0"/>
      <w:marRight w:val="0"/>
      <w:marTop w:val="100"/>
      <w:marBottom w:val="100"/>
      <w:divBdr>
        <w:top w:val="none" w:sz="0" w:space="0" w:color="auto"/>
        <w:left w:val="none" w:sz="0" w:space="0" w:color="auto"/>
        <w:bottom w:val="none" w:sz="0" w:space="0" w:color="auto"/>
        <w:right w:val="none" w:sz="0" w:space="0" w:color="auto"/>
      </w:divBdr>
    </w:div>
    <w:div w:id="827356619">
      <w:marLeft w:val="0"/>
      <w:marRight w:val="0"/>
      <w:marTop w:val="100"/>
      <w:marBottom w:val="100"/>
      <w:divBdr>
        <w:top w:val="none" w:sz="0" w:space="0" w:color="auto"/>
        <w:left w:val="none" w:sz="0" w:space="0" w:color="auto"/>
        <w:bottom w:val="none" w:sz="0" w:space="0" w:color="auto"/>
        <w:right w:val="none" w:sz="0" w:space="0" w:color="auto"/>
      </w:divBdr>
    </w:div>
    <w:div w:id="828014548">
      <w:marLeft w:val="0"/>
      <w:marRight w:val="0"/>
      <w:marTop w:val="0"/>
      <w:marBottom w:val="0"/>
      <w:divBdr>
        <w:top w:val="none" w:sz="0" w:space="0" w:color="auto"/>
        <w:left w:val="none" w:sz="0" w:space="0" w:color="auto"/>
        <w:bottom w:val="none" w:sz="0" w:space="0" w:color="auto"/>
        <w:right w:val="none" w:sz="0" w:space="0" w:color="auto"/>
      </w:divBdr>
    </w:div>
    <w:div w:id="828594113">
      <w:marLeft w:val="0"/>
      <w:marRight w:val="0"/>
      <w:marTop w:val="0"/>
      <w:marBottom w:val="100"/>
      <w:divBdr>
        <w:top w:val="none" w:sz="0" w:space="0" w:color="auto"/>
        <w:left w:val="none" w:sz="0" w:space="0" w:color="auto"/>
        <w:bottom w:val="none" w:sz="0" w:space="0" w:color="auto"/>
        <w:right w:val="none" w:sz="0" w:space="0" w:color="auto"/>
      </w:divBdr>
    </w:div>
    <w:div w:id="831722190">
      <w:marLeft w:val="0"/>
      <w:marRight w:val="0"/>
      <w:marTop w:val="180"/>
      <w:marBottom w:val="0"/>
      <w:divBdr>
        <w:top w:val="none" w:sz="0" w:space="0" w:color="auto"/>
        <w:left w:val="none" w:sz="0" w:space="0" w:color="auto"/>
        <w:bottom w:val="none" w:sz="0" w:space="0" w:color="auto"/>
        <w:right w:val="none" w:sz="0" w:space="0" w:color="auto"/>
      </w:divBdr>
    </w:div>
    <w:div w:id="832069052">
      <w:marLeft w:val="0"/>
      <w:marRight w:val="0"/>
      <w:marTop w:val="0"/>
      <w:marBottom w:val="0"/>
      <w:divBdr>
        <w:top w:val="none" w:sz="0" w:space="0" w:color="auto"/>
        <w:left w:val="none" w:sz="0" w:space="0" w:color="auto"/>
        <w:bottom w:val="none" w:sz="0" w:space="0" w:color="auto"/>
        <w:right w:val="none" w:sz="0" w:space="0" w:color="auto"/>
      </w:divBdr>
    </w:div>
    <w:div w:id="832573761">
      <w:marLeft w:val="0"/>
      <w:marRight w:val="0"/>
      <w:marTop w:val="180"/>
      <w:marBottom w:val="0"/>
      <w:divBdr>
        <w:top w:val="none" w:sz="0" w:space="0" w:color="auto"/>
        <w:left w:val="none" w:sz="0" w:space="0" w:color="auto"/>
        <w:bottom w:val="none" w:sz="0" w:space="0" w:color="auto"/>
        <w:right w:val="none" w:sz="0" w:space="0" w:color="auto"/>
      </w:divBdr>
    </w:div>
    <w:div w:id="833567656">
      <w:marLeft w:val="0"/>
      <w:marRight w:val="0"/>
      <w:marTop w:val="0"/>
      <w:marBottom w:val="0"/>
      <w:divBdr>
        <w:top w:val="none" w:sz="0" w:space="0" w:color="auto"/>
        <w:left w:val="none" w:sz="0" w:space="0" w:color="auto"/>
        <w:bottom w:val="none" w:sz="0" w:space="0" w:color="auto"/>
        <w:right w:val="none" w:sz="0" w:space="0" w:color="auto"/>
      </w:divBdr>
    </w:div>
    <w:div w:id="834146324">
      <w:marLeft w:val="0"/>
      <w:marRight w:val="0"/>
      <w:marTop w:val="0"/>
      <w:marBottom w:val="0"/>
      <w:divBdr>
        <w:top w:val="none" w:sz="0" w:space="0" w:color="auto"/>
        <w:left w:val="none" w:sz="0" w:space="0" w:color="auto"/>
        <w:bottom w:val="none" w:sz="0" w:space="0" w:color="auto"/>
        <w:right w:val="none" w:sz="0" w:space="0" w:color="auto"/>
      </w:divBdr>
    </w:div>
    <w:div w:id="836112815">
      <w:marLeft w:val="0"/>
      <w:marRight w:val="0"/>
      <w:marTop w:val="0"/>
      <w:marBottom w:val="0"/>
      <w:divBdr>
        <w:top w:val="none" w:sz="0" w:space="0" w:color="auto"/>
        <w:left w:val="none" w:sz="0" w:space="0" w:color="auto"/>
        <w:bottom w:val="none" w:sz="0" w:space="0" w:color="auto"/>
        <w:right w:val="none" w:sz="0" w:space="0" w:color="auto"/>
      </w:divBdr>
    </w:div>
    <w:div w:id="836195259">
      <w:marLeft w:val="0"/>
      <w:marRight w:val="0"/>
      <w:marTop w:val="0"/>
      <w:marBottom w:val="100"/>
      <w:divBdr>
        <w:top w:val="none" w:sz="0" w:space="0" w:color="auto"/>
        <w:left w:val="none" w:sz="0" w:space="0" w:color="auto"/>
        <w:bottom w:val="none" w:sz="0" w:space="0" w:color="auto"/>
        <w:right w:val="none" w:sz="0" w:space="0" w:color="auto"/>
      </w:divBdr>
    </w:div>
    <w:div w:id="837234151">
      <w:marLeft w:val="0"/>
      <w:marRight w:val="0"/>
      <w:marTop w:val="100"/>
      <w:marBottom w:val="0"/>
      <w:divBdr>
        <w:top w:val="none" w:sz="0" w:space="0" w:color="auto"/>
        <w:left w:val="none" w:sz="0" w:space="0" w:color="auto"/>
        <w:bottom w:val="none" w:sz="0" w:space="0" w:color="auto"/>
        <w:right w:val="none" w:sz="0" w:space="0" w:color="auto"/>
      </w:divBdr>
    </w:div>
    <w:div w:id="839736522">
      <w:marLeft w:val="0"/>
      <w:marRight w:val="0"/>
      <w:marTop w:val="0"/>
      <w:marBottom w:val="0"/>
      <w:divBdr>
        <w:top w:val="none" w:sz="0" w:space="0" w:color="auto"/>
        <w:left w:val="none" w:sz="0" w:space="0" w:color="auto"/>
        <w:bottom w:val="none" w:sz="0" w:space="0" w:color="auto"/>
        <w:right w:val="none" w:sz="0" w:space="0" w:color="auto"/>
      </w:divBdr>
      <w:divsChild>
        <w:div w:id="1900553193">
          <w:marLeft w:val="0"/>
          <w:marRight w:val="0"/>
          <w:marTop w:val="0"/>
          <w:marBottom w:val="0"/>
          <w:divBdr>
            <w:top w:val="none" w:sz="0" w:space="0" w:color="auto"/>
            <w:left w:val="none" w:sz="0" w:space="0" w:color="auto"/>
            <w:bottom w:val="none" w:sz="0" w:space="0" w:color="auto"/>
            <w:right w:val="none" w:sz="0" w:space="0" w:color="auto"/>
          </w:divBdr>
          <w:divsChild>
            <w:div w:id="3173252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40240109">
      <w:marLeft w:val="0"/>
      <w:marRight w:val="0"/>
      <w:marTop w:val="100"/>
      <w:marBottom w:val="100"/>
      <w:divBdr>
        <w:top w:val="none" w:sz="0" w:space="0" w:color="auto"/>
        <w:left w:val="none" w:sz="0" w:space="0" w:color="auto"/>
        <w:bottom w:val="none" w:sz="0" w:space="0" w:color="auto"/>
        <w:right w:val="none" w:sz="0" w:space="0" w:color="auto"/>
      </w:divBdr>
    </w:div>
    <w:div w:id="843320114">
      <w:marLeft w:val="0"/>
      <w:marRight w:val="0"/>
      <w:marTop w:val="0"/>
      <w:marBottom w:val="0"/>
      <w:divBdr>
        <w:top w:val="none" w:sz="0" w:space="0" w:color="auto"/>
        <w:left w:val="none" w:sz="0" w:space="0" w:color="auto"/>
        <w:bottom w:val="none" w:sz="0" w:space="0" w:color="auto"/>
        <w:right w:val="none" w:sz="0" w:space="0" w:color="auto"/>
      </w:divBdr>
      <w:divsChild>
        <w:div w:id="524170842">
          <w:marLeft w:val="0"/>
          <w:marRight w:val="0"/>
          <w:marTop w:val="0"/>
          <w:marBottom w:val="100"/>
          <w:divBdr>
            <w:top w:val="none" w:sz="0" w:space="0" w:color="auto"/>
            <w:left w:val="none" w:sz="0" w:space="0" w:color="auto"/>
            <w:bottom w:val="none" w:sz="0" w:space="0" w:color="auto"/>
            <w:right w:val="none" w:sz="0" w:space="0" w:color="auto"/>
          </w:divBdr>
        </w:div>
      </w:divsChild>
    </w:div>
    <w:div w:id="844057620">
      <w:marLeft w:val="0"/>
      <w:marRight w:val="0"/>
      <w:marTop w:val="0"/>
      <w:marBottom w:val="0"/>
      <w:divBdr>
        <w:top w:val="none" w:sz="0" w:space="0" w:color="auto"/>
        <w:left w:val="none" w:sz="0" w:space="0" w:color="auto"/>
        <w:bottom w:val="none" w:sz="0" w:space="0" w:color="auto"/>
        <w:right w:val="none" w:sz="0" w:space="0" w:color="auto"/>
      </w:divBdr>
      <w:divsChild>
        <w:div w:id="2085490897">
          <w:marLeft w:val="0"/>
          <w:marRight w:val="0"/>
          <w:marTop w:val="0"/>
          <w:marBottom w:val="0"/>
          <w:divBdr>
            <w:top w:val="none" w:sz="0" w:space="0" w:color="auto"/>
            <w:left w:val="none" w:sz="0" w:space="0" w:color="auto"/>
            <w:bottom w:val="none" w:sz="0" w:space="0" w:color="auto"/>
            <w:right w:val="none" w:sz="0" w:space="0" w:color="auto"/>
          </w:divBdr>
          <w:divsChild>
            <w:div w:id="120324744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48983682">
      <w:marLeft w:val="0"/>
      <w:marRight w:val="0"/>
      <w:marTop w:val="180"/>
      <w:marBottom w:val="0"/>
      <w:divBdr>
        <w:top w:val="none" w:sz="0" w:space="0" w:color="auto"/>
        <w:left w:val="none" w:sz="0" w:space="0" w:color="auto"/>
        <w:bottom w:val="none" w:sz="0" w:space="0" w:color="auto"/>
        <w:right w:val="none" w:sz="0" w:space="0" w:color="auto"/>
      </w:divBdr>
    </w:div>
    <w:div w:id="849444774">
      <w:marLeft w:val="0"/>
      <w:marRight w:val="0"/>
      <w:marTop w:val="0"/>
      <w:marBottom w:val="0"/>
      <w:divBdr>
        <w:top w:val="none" w:sz="0" w:space="0" w:color="auto"/>
        <w:left w:val="none" w:sz="0" w:space="0" w:color="auto"/>
        <w:bottom w:val="none" w:sz="0" w:space="0" w:color="auto"/>
        <w:right w:val="none" w:sz="0" w:space="0" w:color="auto"/>
      </w:divBdr>
    </w:div>
    <w:div w:id="854806116">
      <w:marLeft w:val="0"/>
      <w:marRight w:val="0"/>
      <w:marTop w:val="0"/>
      <w:marBottom w:val="100"/>
      <w:divBdr>
        <w:top w:val="none" w:sz="0" w:space="0" w:color="auto"/>
        <w:left w:val="none" w:sz="0" w:space="0" w:color="auto"/>
        <w:bottom w:val="none" w:sz="0" w:space="0" w:color="auto"/>
        <w:right w:val="none" w:sz="0" w:space="0" w:color="auto"/>
      </w:divBdr>
    </w:div>
    <w:div w:id="854853338">
      <w:marLeft w:val="0"/>
      <w:marRight w:val="0"/>
      <w:marTop w:val="0"/>
      <w:marBottom w:val="100"/>
      <w:divBdr>
        <w:top w:val="none" w:sz="0" w:space="0" w:color="auto"/>
        <w:left w:val="none" w:sz="0" w:space="0" w:color="auto"/>
        <w:bottom w:val="none" w:sz="0" w:space="0" w:color="auto"/>
        <w:right w:val="none" w:sz="0" w:space="0" w:color="auto"/>
      </w:divBdr>
    </w:div>
    <w:div w:id="855079377">
      <w:marLeft w:val="0"/>
      <w:marRight w:val="0"/>
      <w:marTop w:val="0"/>
      <w:marBottom w:val="0"/>
      <w:divBdr>
        <w:top w:val="none" w:sz="0" w:space="0" w:color="auto"/>
        <w:left w:val="none" w:sz="0" w:space="0" w:color="auto"/>
        <w:bottom w:val="none" w:sz="0" w:space="0" w:color="auto"/>
        <w:right w:val="none" w:sz="0" w:space="0" w:color="auto"/>
      </w:divBdr>
      <w:divsChild>
        <w:div w:id="185094448">
          <w:marLeft w:val="0"/>
          <w:marRight w:val="0"/>
          <w:marTop w:val="0"/>
          <w:marBottom w:val="0"/>
          <w:divBdr>
            <w:top w:val="none" w:sz="0" w:space="0" w:color="auto"/>
            <w:left w:val="none" w:sz="0" w:space="0" w:color="auto"/>
            <w:bottom w:val="none" w:sz="0" w:space="0" w:color="auto"/>
            <w:right w:val="none" w:sz="0" w:space="0" w:color="auto"/>
          </w:divBdr>
          <w:divsChild>
            <w:div w:id="196924220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59513863">
      <w:marLeft w:val="0"/>
      <w:marRight w:val="0"/>
      <w:marTop w:val="0"/>
      <w:marBottom w:val="0"/>
      <w:divBdr>
        <w:top w:val="none" w:sz="0" w:space="0" w:color="auto"/>
        <w:left w:val="none" w:sz="0" w:space="0" w:color="auto"/>
        <w:bottom w:val="none" w:sz="0" w:space="0" w:color="auto"/>
        <w:right w:val="none" w:sz="0" w:space="0" w:color="auto"/>
      </w:divBdr>
    </w:div>
    <w:div w:id="860045867">
      <w:marLeft w:val="0"/>
      <w:marRight w:val="0"/>
      <w:marTop w:val="0"/>
      <w:marBottom w:val="0"/>
      <w:divBdr>
        <w:top w:val="none" w:sz="0" w:space="0" w:color="auto"/>
        <w:left w:val="none" w:sz="0" w:space="0" w:color="auto"/>
        <w:bottom w:val="none" w:sz="0" w:space="0" w:color="auto"/>
        <w:right w:val="none" w:sz="0" w:space="0" w:color="auto"/>
      </w:divBdr>
      <w:divsChild>
        <w:div w:id="551238598">
          <w:marLeft w:val="0"/>
          <w:marRight w:val="0"/>
          <w:marTop w:val="0"/>
          <w:marBottom w:val="100"/>
          <w:divBdr>
            <w:top w:val="none" w:sz="0" w:space="0" w:color="auto"/>
            <w:left w:val="none" w:sz="0" w:space="0" w:color="auto"/>
            <w:bottom w:val="none" w:sz="0" w:space="0" w:color="auto"/>
            <w:right w:val="none" w:sz="0" w:space="0" w:color="auto"/>
          </w:divBdr>
        </w:div>
      </w:divsChild>
    </w:div>
    <w:div w:id="860751414">
      <w:marLeft w:val="0"/>
      <w:marRight w:val="0"/>
      <w:marTop w:val="180"/>
      <w:marBottom w:val="0"/>
      <w:divBdr>
        <w:top w:val="none" w:sz="0" w:space="0" w:color="auto"/>
        <w:left w:val="none" w:sz="0" w:space="0" w:color="auto"/>
        <w:bottom w:val="none" w:sz="0" w:space="0" w:color="auto"/>
        <w:right w:val="none" w:sz="0" w:space="0" w:color="auto"/>
      </w:divBdr>
    </w:div>
    <w:div w:id="861357049">
      <w:marLeft w:val="0"/>
      <w:marRight w:val="0"/>
      <w:marTop w:val="180"/>
      <w:marBottom w:val="0"/>
      <w:divBdr>
        <w:top w:val="none" w:sz="0" w:space="0" w:color="auto"/>
        <w:left w:val="none" w:sz="0" w:space="0" w:color="auto"/>
        <w:bottom w:val="none" w:sz="0" w:space="0" w:color="auto"/>
        <w:right w:val="none" w:sz="0" w:space="0" w:color="auto"/>
      </w:divBdr>
    </w:div>
    <w:div w:id="862986126">
      <w:marLeft w:val="0"/>
      <w:marRight w:val="0"/>
      <w:marTop w:val="0"/>
      <w:marBottom w:val="100"/>
      <w:divBdr>
        <w:top w:val="none" w:sz="0" w:space="0" w:color="auto"/>
        <w:left w:val="none" w:sz="0" w:space="0" w:color="auto"/>
        <w:bottom w:val="none" w:sz="0" w:space="0" w:color="auto"/>
        <w:right w:val="none" w:sz="0" w:space="0" w:color="auto"/>
      </w:divBdr>
    </w:div>
    <w:div w:id="863594876">
      <w:marLeft w:val="0"/>
      <w:marRight w:val="0"/>
      <w:marTop w:val="180"/>
      <w:marBottom w:val="100"/>
      <w:divBdr>
        <w:top w:val="none" w:sz="0" w:space="0" w:color="auto"/>
        <w:left w:val="none" w:sz="0" w:space="0" w:color="auto"/>
        <w:bottom w:val="none" w:sz="0" w:space="0" w:color="auto"/>
        <w:right w:val="none" w:sz="0" w:space="0" w:color="auto"/>
      </w:divBdr>
    </w:div>
    <w:div w:id="864056260">
      <w:marLeft w:val="0"/>
      <w:marRight w:val="0"/>
      <w:marTop w:val="180"/>
      <w:marBottom w:val="0"/>
      <w:divBdr>
        <w:top w:val="none" w:sz="0" w:space="0" w:color="auto"/>
        <w:left w:val="none" w:sz="0" w:space="0" w:color="auto"/>
        <w:bottom w:val="none" w:sz="0" w:space="0" w:color="auto"/>
        <w:right w:val="none" w:sz="0" w:space="0" w:color="auto"/>
      </w:divBdr>
    </w:div>
    <w:div w:id="866138596">
      <w:marLeft w:val="0"/>
      <w:marRight w:val="0"/>
      <w:marTop w:val="100"/>
      <w:marBottom w:val="0"/>
      <w:divBdr>
        <w:top w:val="none" w:sz="0" w:space="0" w:color="auto"/>
        <w:left w:val="none" w:sz="0" w:space="0" w:color="auto"/>
        <w:bottom w:val="none" w:sz="0" w:space="0" w:color="auto"/>
        <w:right w:val="none" w:sz="0" w:space="0" w:color="auto"/>
      </w:divBdr>
    </w:div>
    <w:div w:id="866407003">
      <w:marLeft w:val="0"/>
      <w:marRight w:val="0"/>
      <w:marTop w:val="180"/>
      <w:marBottom w:val="100"/>
      <w:divBdr>
        <w:top w:val="none" w:sz="0" w:space="0" w:color="auto"/>
        <w:left w:val="none" w:sz="0" w:space="0" w:color="auto"/>
        <w:bottom w:val="none" w:sz="0" w:space="0" w:color="auto"/>
        <w:right w:val="none" w:sz="0" w:space="0" w:color="auto"/>
      </w:divBdr>
    </w:div>
    <w:div w:id="866522497">
      <w:marLeft w:val="0"/>
      <w:marRight w:val="0"/>
      <w:marTop w:val="100"/>
      <w:marBottom w:val="100"/>
      <w:divBdr>
        <w:top w:val="none" w:sz="0" w:space="0" w:color="auto"/>
        <w:left w:val="none" w:sz="0" w:space="0" w:color="auto"/>
        <w:bottom w:val="none" w:sz="0" w:space="0" w:color="auto"/>
        <w:right w:val="none" w:sz="0" w:space="0" w:color="auto"/>
      </w:divBdr>
    </w:div>
    <w:div w:id="867061980">
      <w:marLeft w:val="0"/>
      <w:marRight w:val="0"/>
      <w:marTop w:val="0"/>
      <w:marBottom w:val="100"/>
      <w:divBdr>
        <w:top w:val="none" w:sz="0" w:space="0" w:color="auto"/>
        <w:left w:val="none" w:sz="0" w:space="0" w:color="auto"/>
        <w:bottom w:val="none" w:sz="0" w:space="0" w:color="auto"/>
        <w:right w:val="none" w:sz="0" w:space="0" w:color="auto"/>
      </w:divBdr>
    </w:div>
    <w:div w:id="867914566">
      <w:marLeft w:val="0"/>
      <w:marRight w:val="0"/>
      <w:marTop w:val="0"/>
      <w:marBottom w:val="100"/>
      <w:divBdr>
        <w:top w:val="none" w:sz="0" w:space="0" w:color="auto"/>
        <w:left w:val="none" w:sz="0" w:space="0" w:color="auto"/>
        <w:bottom w:val="none" w:sz="0" w:space="0" w:color="auto"/>
        <w:right w:val="none" w:sz="0" w:space="0" w:color="auto"/>
      </w:divBdr>
    </w:div>
    <w:div w:id="868181890">
      <w:marLeft w:val="0"/>
      <w:marRight w:val="0"/>
      <w:marTop w:val="0"/>
      <w:marBottom w:val="0"/>
      <w:divBdr>
        <w:top w:val="none" w:sz="0" w:space="0" w:color="auto"/>
        <w:left w:val="none" w:sz="0" w:space="0" w:color="auto"/>
        <w:bottom w:val="none" w:sz="0" w:space="0" w:color="auto"/>
        <w:right w:val="none" w:sz="0" w:space="0" w:color="auto"/>
      </w:divBdr>
      <w:divsChild>
        <w:div w:id="835926688">
          <w:marLeft w:val="0"/>
          <w:marRight w:val="0"/>
          <w:marTop w:val="0"/>
          <w:marBottom w:val="0"/>
          <w:divBdr>
            <w:top w:val="none" w:sz="0" w:space="0" w:color="auto"/>
            <w:left w:val="none" w:sz="0" w:space="0" w:color="auto"/>
            <w:bottom w:val="none" w:sz="0" w:space="0" w:color="auto"/>
            <w:right w:val="none" w:sz="0" w:space="0" w:color="auto"/>
          </w:divBdr>
          <w:divsChild>
            <w:div w:id="40927908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69146033">
      <w:marLeft w:val="0"/>
      <w:marRight w:val="0"/>
      <w:marTop w:val="0"/>
      <w:marBottom w:val="100"/>
      <w:divBdr>
        <w:top w:val="none" w:sz="0" w:space="0" w:color="auto"/>
        <w:left w:val="none" w:sz="0" w:space="0" w:color="auto"/>
        <w:bottom w:val="none" w:sz="0" w:space="0" w:color="auto"/>
        <w:right w:val="none" w:sz="0" w:space="0" w:color="auto"/>
      </w:divBdr>
    </w:div>
    <w:div w:id="869337098">
      <w:marLeft w:val="0"/>
      <w:marRight w:val="0"/>
      <w:marTop w:val="0"/>
      <w:marBottom w:val="0"/>
      <w:divBdr>
        <w:top w:val="none" w:sz="0" w:space="0" w:color="auto"/>
        <w:left w:val="none" w:sz="0" w:space="0" w:color="auto"/>
        <w:bottom w:val="none" w:sz="0" w:space="0" w:color="auto"/>
        <w:right w:val="none" w:sz="0" w:space="0" w:color="auto"/>
      </w:divBdr>
      <w:divsChild>
        <w:div w:id="2032758987">
          <w:marLeft w:val="0"/>
          <w:marRight w:val="0"/>
          <w:marTop w:val="0"/>
          <w:marBottom w:val="100"/>
          <w:divBdr>
            <w:top w:val="none" w:sz="0" w:space="0" w:color="auto"/>
            <w:left w:val="none" w:sz="0" w:space="0" w:color="auto"/>
            <w:bottom w:val="none" w:sz="0" w:space="0" w:color="auto"/>
            <w:right w:val="none" w:sz="0" w:space="0" w:color="auto"/>
          </w:divBdr>
        </w:div>
      </w:divsChild>
    </w:div>
    <w:div w:id="871723173">
      <w:marLeft w:val="0"/>
      <w:marRight w:val="0"/>
      <w:marTop w:val="0"/>
      <w:marBottom w:val="100"/>
      <w:divBdr>
        <w:top w:val="none" w:sz="0" w:space="0" w:color="auto"/>
        <w:left w:val="none" w:sz="0" w:space="0" w:color="auto"/>
        <w:bottom w:val="none" w:sz="0" w:space="0" w:color="auto"/>
        <w:right w:val="none" w:sz="0" w:space="0" w:color="auto"/>
      </w:divBdr>
    </w:div>
    <w:div w:id="873228433">
      <w:marLeft w:val="0"/>
      <w:marRight w:val="0"/>
      <w:marTop w:val="180"/>
      <w:marBottom w:val="100"/>
      <w:divBdr>
        <w:top w:val="none" w:sz="0" w:space="0" w:color="auto"/>
        <w:left w:val="none" w:sz="0" w:space="0" w:color="auto"/>
        <w:bottom w:val="none" w:sz="0" w:space="0" w:color="auto"/>
        <w:right w:val="none" w:sz="0" w:space="0" w:color="auto"/>
      </w:divBdr>
    </w:div>
    <w:div w:id="875193326">
      <w:marLeft w:val="0"/>
      <w:marRight w:val="0"/>
      <w:marTop w:val="0"/>
      <w:marBottom w:val="0"/>
      <w:divBdr>
        <w:top w:val="none" w:sz="0" w:space="0" w:color="auto"/>
        <w:left w:val="none" w:sz="0" w:space="0" w:color="auto"/>
        <w:bottom w:val="none" w:sz="0" w:space="0" w:color="auto"/>
        <w:right w:val="none" w:sz="0" w:space="0" w:color="auto"/>
      </w:divBdr>
    </w:div>
    <w:div w:id="875308832">
      <w:marLeft w:val="0"/>
      <w:marRight w:val="0"/>
      <w:marTop w:val="100"/>
      <w:marBottom w:val="100"/>
      <w:divBdr>
        <w:top w:val="none" w:sz="0" w:space="0" w:color="auto"/>
        <w:left w:val="none" w:sz="0" w:space="0" w:color="auto"/>
        <w:bottom w:val="none" w:sz="0" w:space="0" w:color="auto"/>
        <w:right w:val="none" w:sz="0" w:space="0" w:color="auto"/>
      </w:divBdr>
    </w:div>
    <w:div w:id="875778355">
      <w:marLeft w:val="0"/>
      <w:marRight w:val="0"/>
      <w:marTop w:val="0"/>
      <w:marBottom w:val="100"/>
      <w:divBdr>
        <w:top w:val="none" w:sz="0" w:space="0" w:color="auto"/>
        <w:left w:val="none" w:sz="0" w:space="0" w:color="auto"/>
        <w:bottom w:val="none" w:sz="0" w:space="0" w:color="auto"/>
        <w:right w:val="none" w:sz="0" w:space="0" w:color="auto"/>
      </w:divBdr>
    </w:div>
    <w:div w:id="876283731">
      <w:marLeft w:val="0"/>
      <w:marRight w:val="0"/>
      <w:marTop w:val="0"/>
      <w:marBottom w:val="0"/>
      <w:divBdr>
        <w:top w:val="none" w:sz="0" w:space="0" w:color="auto"/>
        <w:left w:val="none" w:sz="0" w:space="0" w:color="auto"/>
        <w:bottom w:val="none" w:sz="0" w:space="0" w:color="auto"/>
        <w:right w:val="none" w:sz="0" w:space="0" w:color="auto"/>
      </w:divBdr>
      <w:divsChild>
        <w:div w:id="2140683813">
          <w:marLeft w:val="0"/>
          <w:marRight w:val="0"/>
          <w:marTop w:val="0"/>
          <w:marBottom w:val="100"/>
          <w:divBdr>
            <w:top w:val="none" w:sz="0" w:space="0" w:color="auto"/>
            <w:left w:val="none" w:sz="0" w:space="0" w:color="auto"/>
            <w:bottom w:val="none" w:sz="0" w:space="0" w:color="auto"/>
            <w:right w:val="none" w:sz="0" w:space="0" w:color="auto"/>
          </w:divBdr>
        </w:div>
      </w:divsChild>
    </w:div>
    <w:div w:id="876702813">
      <w:marLeft w:val="0"/>
      <w:marRight w:val="0"/>
      <w:marTop w:val="180"/>
      <w:marBottom w:val="0"/>
      <w:divBdr>
        <w:top w:val="none" w:sz="0" w:space="0" w:color="auto"/>
        <w:left w:val="none" w:sz="0" w:space="0" w:color="auto"/>
        <w:bottom w:val="none" w:sz="0" w:space="0" w:color="auto"/>
        <w:right w:val="none" w:sz="0" w:space="0" w:color="auto"/>
      </w:divBdr>
    </w:div>
    <w:div w:id="876745232">
      <w:marLeft w:val="0"/>
      <w:marRight w:val="0"/>
      <w:marTop w:val="100"/>
      <w:marBottom w:val="100"/>
      <w:divBdr>
        <w:top w:val="none" w:sz="0" w:space="0" w:color="auto"/>
        <w:left w:val="none" w:sz="0" w:space="0" w:color="auto"/>
        <w:bottom w:val="none" w:sz="0" w:space="0" w:color="auto"/>
        <w:right w:val="none" w:sz="0" w:space="0" w:color="auto"/>
      </w:divBdr>
    </w:div>
    <w:div w:id="876813790">
      <w:marLeft w:val="0"/>
      <w:marRight w:val="0"/>
      <w:marTop w:val="0"/>
      <w:marBottom w:val="0"/>
      <w:divBdr>
        <w:top w:val="none" w:sz="0" w:space="0" w:color="auto"/>
        <w:left w:val="none" w:sz="0" w:space="0" w:color="auto"/>
        <w:bottom w:val="none" w:sz="0" w:space="0" w:color="auto"/>
        <w:right w:val="none" w:sz="0" w:space="0" w:color="auto"/>
      </w:divBdr>
    </w:div>
    <w:div w:id="877085494">
      <w:marLeft w:val="0"/>
      <w:marRight w:val="0"/>
      <w:marTop w:val="100"/>
      <w:marBottom w:val="100"/>
      <w:divBdr>
        <w:top w:val="none" w:sz="0" w:space="0" w:color="auto"/>
        <w:left w:val="none" w:sz="0" w:space="0" w:color="auto"/>
        <w:bottom w:val="none" w:sz="0" w:space="0" w:color="auto"/>
        <w:right w:val="none" w:sz="0" w:space="0" w:color="auto"/>
      </w:divBdr>
    </w:div>
    <w:div w:id="878014382">
      <w:marLeft w:val="0"/>
      <w:marRight w:val="0"/>
      <w:marTop w:val="0"/>
      <w:marBottom w:val="0"/>
      <w:divBdr>
        <w:top w:val="none" w:sz="0" w:space="0" w:color="auto"/>
        <w:left w:val="none" w:sz="0" w:space="0" w:color="auto"/>
        <w:bottom w:val="none" w:sz="0" w:space="0" w:color="auto"/>
        <w:right w:val="none" w:sz="0" w:space="0" w:color="auto"/>
      </w:divBdr>
    </w:div>
    <w:div w:id="878781052">
      <w:marLeft w:val="0"/>
      <w:marRight w:val="0"/>
      <w:marTop w:val="0"/>
      <w:marBottom w:val="120"/>
      <w:divBdr>
        <w:top w:val="none" w:sz="0" w:space="0" w:color="auto"/>
        <w:left w:val="none" w:sz="0" w:space="0" w:color="auto"/>
        <w:bottom w:val="none" w:sz="0" w:space="0" w:color="auto"/>
        <w:right w:val="none" w:sz="0" w:space="0" w:color="auto"/>
      </w:divBdr>
    </w:div>
    <w:div w:id="879319528">
      <w:marLeft w:val="0"/>
      <w:marRight w:val="0"/>
      <w:marTop w:val="180"/>
      <w:marBottom w:val="0"/>
      <w:divBdr>
        <w:top w:val="none" w:sz="0" w:space="0" w:color="auto"/>
        <w:left w:val="none" w:sz="0" w:space="0" w:color="auto"/>
        <w:bottom w:val="none" w:sz="0" w:space="0" w:color="auto"/>
        <w:right w:val="none" w:sz="0" w:space="0" w:color="auto"/>
      </w:divBdr>
    </w:div>
    <w:div w:id="880745714">
      <w:marLeft w:val="0"/>
      <w:marRight w:val="0"/>
      <w:marTop w:val="100"/>
      <w:marBottom w:val="100"/>
      <w:divBdr>
        <w:top w:val="none" w:sz="0" w:space="0" w:color="auto"/>
        <w:left w:val="none" w:sz="0" w:space="0" w:color="auto"/>
        <w:bottom w:val="none" w:sz="0" w:space="0" w:color="auto"/>
        <w:right w:val="none" w:sz="0" w:space="0" w:color="auto"/>
      </w:divBdr>
    </w:div>
    <w:div w:id="882443502">
      <w:marLeft w:val="0"/>
      <w:marRight w:val="0"/>
      <w:marTop w:val="0"/>
      <w:marBottom w:val="0"/>
      <w:divBdr>
        <w:top w:val="none" w:sz="0" w:space="0" w:color="auto"/>
        <w:left w:val="none" w:sz="0" w:space="0" w:color="auto"/>
        <w:bottom w:val="none" w:sz="0" w:space="0" w:color="auto"/>
        <w:right w:val="none" w:sz="0" w:space="0" w:color="auto"/>
      </w:divBdr>
    </w:div>
    <w:div w:id="884951551">
      <w:marLeft w:val="0"/>
      <w:marRight w:val="0"/>
      <w:marTop w:val="100"/>
      <w:marBottom w:val="100"/>
      <w:divBdr>
        <w:top w:val="none" w:sz="0" w:space="0" w:color="auto"/>
        <w:left w:val="none" w:sz="0" w:space="0" w:color="auto"/>
        <w:bottom w:val="none" w:sz="0" w:space="0" w:color="auto"/>
        <w:right w:val="none" w:sz="0" w:space="0" w:color="auto"/>
      </w:divBdr>
    </w:div>
    <w:div w:id="886525865">
      <w:marLeft w:val="0"/>
      <w:marRight w:val="0"/>
      <w:marTop w:val="0"/>
      <w:marBottom w:val="0"/>
      <w:divBdr>
        <w:top w:val="none" w:sz="0" w:space="0" w:color="auto"/>
        <w:left w:val="none" w:sz="0" w:space="0" w:color="auto"/>
        <w:bottom w:val="none" w:sz="0" w:space="0" w:color="auto"/>
        <w:right w:val="none" w:sz="0" w:space="0" w:color="auto"/>
      </w:divBdr>
      <w:divsChild>
        <w:div w:id="1078668889">
          <w:marLeft w:val="0"/>
          <w:marRight w:val="0"/>
          <w:marTop w:val="0"/>
          <w:marBottom w:val="100"/>
          <w:divBdr>
            <w:top w:val="none" w:sz="0" w:space="0" w:color="auto"/>
            <w:left w:val="none" w:sz="0" w:space="0" w:color="auto"/>
            <w:bottom w:val="none" w:sz="0" w:space="0" w:color="auto"/>
            <w:right w:val="none" w:sz="0" w:space="0" w:color="auto"/>
          </w:divBdr>
        </w:div>
      </w:divsChild>
    </w:div>
    <w:div w:id="886987217">
      <w:marLeft w:val="0"/>
      <w:marRight w:val="0"/>
      <w:marTop w:val="80"/>
      <w:marBottom w:val="0"/>
      <w:divBdr>
        <w:top w:val="none" w:sz="0" w:space="0" w:color="auto"/>
        <w:left w:val="none" w:sz="0" w:space="0" w:color="auto"/>
        <w:bottom w:val="none" w:sz="0" w:space="0" w:color="auto"/>
        <w:right w:val="none" w:sz="0" w:space="0" w:color="auto"/>
      </w:divBdr>
    </w:div>
    <w:div w:id="887188287">
      <w:marLeft w:val="0"/>
      <w:marRight w:val="0"/>
      <w:marTop w:val="180"/>
      <w:marBottom w:val="0"/>
      <w:divBdr>
        <w:top w:val="none" w:sz="0" w:space="0" w:color="auto"/>
        <w:left w:val="none" w:sz="0" w:space="0" w:color="auto"/>
        <w:bottom w:val="none" w:sz="0" w:space="0" w:color="auto"/>
        <w:right w:val="none" w:sz="0" w:space="0" w:color="auto"/>
      </w:divBdr>
    </w:div>
    <w:div w:id="887570916">
      <w:marLeft w:val="0"/>
      <w:marRight w:val="0"/>
      <w:marTop w:val="180"/>
      <w:marBottom w:val="0"/>
      <w:divBdr>
        <w:top w:val="none" w:sz="0" w:space="0" w:color="auto"/>
        <w:left w:val="none" w:sz="0" w:space="0" w:color="auto"/>
        <w:bottom w:val="none" w:sz="0" w:space="0" w:color="auto"/>
        <w:right w:val="none" w:sz="0" w:space="0" w:color="auto"/>
      </w:divBdr>
    </w:div>
    <w:div w:id="889802334">
      <w:marLeft w:val="0"/>
      <w:marRight w:val="0"/>
      <w:marTop w:val="180"/>
      <w:marBottom w:val="0"/>
      <w:divBdr>
        <w:top w:val="none" w:sz="0" w:space="0" w:color="auto"/>
        <w:left w:val="none" w:sz="0" w:space="0" w:color="auto"/>
        <w:bottom w:val="none" w:sz="0" w:space="0" w:color="auto"/>
        <w:right w:val="none" w:sz="0" w:space="0" w:color="auto"/>
      </w:divBdr>
      <w:divsChild>
        <w:div w:id="68506200">
          <w:marLeft w:val="0"/>
          <w:marRight w:val="0"/>
          <w:marTop w:val="0"/>
          <w:marBottom w:val="0"/>
          <w:divBdr>
            <w:top w:val="none" w:sz="0" w:space="0" w:color="auto"/>
            <w:left w:val="none" w:sz="0" w:space="0" w:color="auto"/>
            <w:bottom w:val="none" w:sz="0" w:space="0" w:color="auto"/>
            <w:right w:val="none" w:sz="0" w:space="0" w:color="auto"/>
          </w:divBdr>
        </w:div>
        <w:div w:id="485903509">
          <w:marLeft w:val="0"/>
          <w:marRight w:val="0"/>
          <w:marTop w:val="0"/>
          <w:marBottom w:val="0"/>
          <w:divBdr>
            <w:top w:val="none" w:sz="0" w:space="0" w:color="auto"/>
            <w:left w:val="none" w:sz="0" w:space="0" w:color="auto"/>
            <w:bottom w:val="none" w:sz="0" w:space="0" w:color="auto"/>
            <w:right w:val="none" w:sz="0" w:space="0" w:color="auto"/>
          </w:divBdr>
        </w:div>
        <w:div w:id="497964989">
          <w:marLeft w:val="0"/>
          <w:marRight w:val="0"/>
          <w:marTop w:val="0"/>
          <w:marBottom w:val="0"/>
          <w:divBdr>
            <w:top w:val="none" w:sz="0" w:space="0" w:color="auto"/>
            <w:left w:val="none" w:sz="0" w:space="0" w:color="auto"/>
            <w:bottom w:val="none" w:sz="0" w:space="0" w:color="auto"/>
            <w:right w:val="none" w:sz="0" w:space="0" w:color="auto"/>
          </w:divBdr>
        </w:div>
        <w:div w:id="283122662">
          <w:marLeft w:val="0"/>
          <w:marRight w:val="0"/>
          <w:marTop w:val="0"/>
          <w:marBottom w:val="0"/>
          <w:divBdr>
            <w:top w:val="none" w:sz="0" w:space="0" w:color="auto"/>
            <w:left w:val="none" w:sz="0" w:space="0" w:color="auto"/>
            <w:bottom w:val="none" w:sz="0" w:space="0" w:color="auto"/>
            <w:right w:val="none" w:sz="0" w:space="0" w:color="auto"/>
          </w:divBdr>
        </w:div>
        <w:div w:id="1632132356">
          <w:marLeft w:val="0"/>
          <w:marRight w:val="0"/>
          <w:marTop w:val="0"/>
          <w:marBottom w:val="0"/>
          <w:divBdr>
            <w:top w:val="none" w:sz="0" w:space="0" w:color="auto"/>
            <w:left w:val="none" w:sz="0" w:space="0" w:color="auto"/>
            <w:bottom w:val="none" w:sz="0" w:space="0" w:color="auto"/>
            <w:right w:val="none" w:sz="0" w:space="0" w:color="auto"/>
          </w:divBdr>
        </w:div>
        <w:div w:id="22249090">
          <w:marLeft w:val="0"/>
          <w:marRight w:val="0"/>
          <w:marTop w:val="0"/>
          <w:marBottom w:val="0"/>
          <w:divBdr>
            <w:top w:val="none" w:sz="0" w:space="0" w:color="auto"/>
            <w:left w:val="none" w:sz="0" w:space="0" w:color="auto"/>
            <w:bottom w:val="none" w:sz="0" w:space="0" w:color="auto"/>
            <w:right w:val="none" w:sz="0" w:space="0" w:color="auto"/>
          </w:divBdr>
        </w:div>
        <w:div w:id="1683823334">
          <w:marLeft w:val="0"/>
          <w:marRight w:val="0"/>
          <w:marTop w:val="0"/>
          <w:marBottom w:val="0"/>
          <w:divBdr>
            <w:top w:val="none" w:sz="0" w:space="0" w:color="auto"/>
            <w:left w:val="none" w:sz="0" w:space="0" w:color="auto"/>
            <w:bottom w:val="none" w:sz="0" w:space="0" w:color="auto"/>
            <w:right w:val="none" w:sz="0" w:space="0" w:color="auto"/>
          </w:divBdr>
        </w:div>
        <w:div w:id="1916015739">
          <w:marLeft w:val="0"/>
          <w:marRight w:val="0"/>
          <w:marTop w:val="0"/>
          <w:marBottom w:val="0"/>
          <w:divBdr>
            <w:top w:val="none" w:sz="0" w:space="0" w:color="auto"/>
            <w:left w:val="none" w:sz="0" w:space="0" w:color="auto"/>
            <w:bottom w:val="none" w:sz="0" w:space="0" w:color="auto"/>
            <w:right w:val="none" w:sz="0" w:space="0" w:color="auto"/>
          </w:divBdr>
        </w:div>
        <w:div w:id="1026252222">
          <w:marLeft w:val="0"/>
          <w:marRight w:val="0"/>
          <w:marTop w:val="0"/>
          <w:marBottom w:val="0"/>
          <w:divBdr>
            <w:top w:val="none" w:sz="0" w:space="0" w:color="auto"/>
            <w:left w:val="none" w:sz="0" w:space="0" w:color="auto"/>
            <w:bottom w:val="none" w:sz="0" w:space="0" w:color="auto"/>
            <w:right w:val="none" w:sz="0" w:space="0" w:color="auto"/>
          </w:divBdr>
        </w:div>
      </w:divsChild>
    </w:div>
    <w:div w:id="891885971">
      <w:marLeft w:val="0"/>
      <w:marRight w:val="0"/>
      <w:marTop w:val="0"/>
      <w:marBottom w:val="0"/>
      <w:divBdr>
        <w:top w:val="none" w:sz="0" w:space="0" w:color="auto"/>
        <w:left w:val="none" w:sz="0" w:space="0" w:color="auto"/>
        <w:bottom w:val="none" w:sz="0" w:space="0" w:color="auto"/>
        <w:right w:val="none" w:sz="0" w:space="0" w:color="auto"/>
      </w:divBdr>
    </w:div>
    <w:div w:id="892422691">
      <w:marLeft w:val="0"/>
      <w:marRight w:val="0"/>
      <w:marTop w:val="0"/>
      <w:marBottom w:val="0"/>
      <w:divBdr>
        <w:top w:val="none" w:sz="0" w:space="0" w:color="auto"/>
        <w:left w:val="none" w:sz="0" w:space="0" w:color="auto"/>
        <w:bottom w:val="none" w:sz="0" w:space="0" w:color="auto"/>
        <w:right w:val="none" w:sz="0" w:space="0" w:color="auto"/>
      </w:divBdr>
      <w:divsChild>
        <w:div w:id="1811819377">
          <w:marLeft w:val="0"/>
          <w:marRight w:val="0"/>
          <w:marTop w:val="0"/>
          <w:marBottom w:val="0"/>
          <w:divBdr>
            <w:top w:val="none" w:sz="0" w:space="0" w:color="auto"/>
            <w:left w:val="none" w:sz="0" w:space="0" w:color="auto"/>
            <w:bottom w:val="none" w:sz="0" w:space="0" w:color="auto"/>
            <w:right w:val="none" w:sz="0" w:space="0" w:color="auto"/>
          </w:divBdr>
          <w:divsChild>
            <w:div w:id="29166783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93976978">
      <w:marLeft w:val="0"/>
      <w:marRight w:val="0"/>
      <w:marTop w:val="180"/>
      <w:marBottom w:val="100"/>
      <w:divBdr>
        <w:top w:val="none" w:sz="0" w:space="0" w:color="auto"/>
        <w:left w:val="none" w:sz="0" w:space="0" w:color="auto"/>
        <w:bottom w:val="none" w:sz="0" w:space="0" w:color="auto"/>
        <w:right w:val="none" w:sz="0" w:space="0" w:color="auto"/>
      </w:divBdr>
    </w:div>
    <w:div w:id="894705621">
      <w:marLeft w:val="0"/>
      <w:marRight w:val="0"/>
      <w:marTop w:val="180"/>
      <w:marBottom w:val="0"/>
      <w:divBdr>
        <w:top w:val="none" w:sz="0" w:space="0" w:color="auto"/>
        <w:left w:val="none" w:sz="0" w:space="0" w:color="auto"/>
        <w:bottom w:val="none" w:sz="0" w:space="0" w:color="auto"/>
        <w:right w:val="none" w:sz="0" w:space="0" w:color="auto"/>
      </w:divBdr>
    </w:div>
    <w:div w:id="895316497">
      <w:marLeft w:val="0"/>
      <w:marRight w:val="0"/>
      <w:marTop w:val="0"/>
      <w:marBottom w:val="0"/>
      <w:divBdr>
        <w:top w:val="none" w:sz="0" w:space="0" w:color="auto"/>
        <w:left w:val="none" w:sz="0" w:space="0" w:color="auto"/>
        <w:bottom w:val="none" w:sz="0" w:space="0" w:color="auto"/>
        <w:right w:val="none" w:sz="0" w:space="0" w:color="auto"/>
      </w:divBdr>
      <w:divsChild>
        <w:div w:id="1502576543">
          <w:marLeft w:val="0"/>
          <w:marRight w:val="0"/>
          <w:marTop w:val="0"/>
          <w:marBottom w:val="0"/>
          <w:divBdr>
            <w:top w:val="none" w:sz="0" w:space="0" w:color="auto"/>
            <w:left w:val="none" w:sz="0" w:space="0" w:color="auto"/>
            <w:bottom w:val="none" w:sz="0" w:space="0" w:color="auto"/>
            <w:right w:val="none" w:sz="0" w:space="0" w:color="auto"/>
          </w:divBdr>
          <w:divsChild>
            <w:div w:id="50051364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95773631">
      <w:marLeft w:val="0"/>
      <w:marRight w:val="0"/>
      <w:marTop w:val="0"/>
      <w:marBottom w:val="0"/>
      <w:divBdr>
        <w:top w:val="none" w:sz="0" w:space="0" w:color="auto"/>
        <w:left w:val="none" w:sz="0" w:space="0" w:color="auto"/>
        <w:bottom w:val="none" w:sz="0" w:space="0" w:color="auto"/>
        <w:right w:val="none" w:sz="0" w:space="0" w:color="auto"/>
      </w:divBdr>
    </w:div>
    <w:div w:id="895891261">
      <w:marLeft w:val="0"/>
      <w:marRight w:val="0"/>
      <w:marTop w:val="100"/>
      <w:marBottom w:val="0"/>
      <w:divBdr>
        <w:top w:val="none" w:sz="0" w:space="0" w:color="auto"/>
        <w:left w:val="none" w:sz="0" w:space="0" w:color="auto"/>
        <w:bottom w:val="none" w:sz="0" w:space="0" w:color="auto"/>
        <w:right w:val="none" w:sz="0" w:space="0" w:color="auto"/>
      </w:divBdr>
    </w:div>
    <w:div w:id="897131533">
      <w:marLeft w:val="0"/>
      <w:marRight w:val="0"/>
      <w:marTop w:val="0"/>
      <w:marBottom w:val="0"/>
      <w:divBdr>
        <w:top w:val="none" w:sz="0" w:space="0" w:color="auto"/>
        <w:left w:val="none" w:sz="0" w:space="0" w:color="auto"/>
        <w:bottom w:val="none" w:sz="0" w:space="0" w:color="auto"/>
        <w:right w:val="none" w:sz="0" w:space="0" w:color="auto"/>
      </w:divBdr>
    </w:div>
    <w:div w:id="897479591">
      <w:marLeft w:val="0"/>
      <w:marRight w:val="0"/>
      <w:marTop w:val="180"/>
      <w:marBottom w:val="0"/>
      <w:divBdr>
        <w:top w:val="none" w:sz="0" w:space="0" w:color="auto"/>
        <w:left w:val="none" w:sz="0" w:space="0" w:color="auto"/>
        <w:bottom w:val="none" w:sz="0" w:space="0" w:color="auto"/>
        <w:right w:val="none" w:sz="0" w:space="0" w:color="auto"/>
      </w:divBdr>
    </w:div>
    <w:div w:id="900865653">
      <w:marLeft w:val="0"/>
      <w:marRight w:val="0"/>
      <w:marTop w:val="0"/>
      <w:marBottom w:val="100"/>
      <w:divBdr>
        <w:top w:val="none" w:sz="0" w:space="0" w:color="auto"/>
        <w:left w:val="none" w:sz="0" w:space="0" w:color="auto"/>
        <w:bottom w:val="none" w:sz="0" w:space="0" w:color="auto"/>
        <w:right w:val="none" w:sz="0" w:space="0" w:color="auto"/>
      </w:divBdr>
    </w:div>
    <w:div w:id="902642845">
      <w:marLeft w:val="0"/>
      <w:marRight w:val="0"/>
      <w:marTop w:val="0"/>
      <w:marBottom w:val="0"/>
      <w:divBdr>
        <w:top w:val="none" w:sz="0" w:space="0" w:color="auto"/>
        <w:left w:val="none" w:sz="0" w:space="0" w:color="auto"/>
        <w:bottom w:val="none" w:sz="0" w:space="0" w:color="auto"/>
        <w:right w:val="none" w:sz="0" w:space="0" w:color="auto"/>
      </w:divBdr>
    </w:div>
    <w:div w:id="903176820">
      <w:marLeft w:val="0"/>
      <w:marRight w:val="0"/>
      <w:marTop w:val="0"/>
      <w:marBottom w:val="100"/>
      <w:divBdr>
        <w:top w:val="none" w:sz="0" w:space="0" w:color="auto"/>
        <w:left w:val="none" w:sz="0" w:space="0" w:color="auto"/>
        <w:bottom w:val="none" w:sz="0" w:space="0" w:color="auto"/>
        <w:right w:val="none" w:sz="0" w:space="0" w:color="auto"/>
      </w:divBdr>
    </w:div>
    <w:div w:id="906376875">
      <w:marLeft w:val="0"/>
      <w:marRight w:val="0"/>
      <w:marTop w:val="0"/>
      <w:marBottom w:val="100"/>
      <w:divBdr>
        <w:top w:val="none" w:sz="0" w:space="0" w:color="auto"/>
        <w:left w:val="none" w:sz="0" w:space="0" w:color="auto"/>
        <w:bottom w:val="none" w:sz="0" w:space="0" w:color="auto"/>
        <w:right w:val="none" w:sz="0" w:space="0" w:color="auto"/>
      </w:divBdr>
    </w:div>
    <w:div w:id="906764910">
      <w:marLeft w:val="0"/>
      <w:marRight w:val="0"/>
      <w:marTop w:val="180"/>
      <w:marBottom w:val="0"/>
      <w:divBdr>
        <w:top w:val="none" w:sz="0" w:space="0" w:color="auto"/>
        <w:left w:val="none" w:sz="0" w:space="0" w:color="auto"/>
        <w:bottom w:val="none" w:sz="0" w:space="0" w:color="auto"/>
        <w:right w:val="none" w:sz="0" w:space="0" w:color="auto"/>
      </w:divBdr>
    </w:div>
    <w:div w:id="908268227">
      <w:marLeft w:val="0"/>
      <w:marRight w:val="0"/>
      <w:marTop w:val="100"/>
      <w:marBottom w:val="100"/>
      <w:divBdr>
        <w:top w:val="none" w:sz="0" w:space="0" w:color="auto"/>
        <w:left w:val="none" w:sz="0" w:space="0" w:color="auto"/>
        <w:bottom w:val="none" w:sz="0" w:space="0" w:color="auto"/>
        <w:right w:val="none" w:sz="0" w:space="0" w:color="auto"/>
      </w:divBdr>
    </w:div>
    <w:div w:id="908461178">
      <w:marLeft w:val="0"/>
      <w:marRight w:val="0"/>
      <w:marTop w:val="0"/>
      <w:marBottom w:val="0"/>
      <w:divBdr>
        <w:top w:val="none" w:sz="0" w:space="0" w:color="auto"/>
        <w:left w:val="none" w:sz="0" w:space="0" w:color="auto"/>
        <w:bottom w:val="none" w:sz="0" w:space="0" w:color="auto"/>
        <w:right w:val="none" w:sz="0" w:space="0" w:color="auto"/>
      </w:divBdr>
    </w:div>
    <w:div w:id="909533526">
      <w:marLeft w:val="0"/>
      <w:marRight w:val="0"/>
      <w:marTop w:val="0"/>
      <w:marBottom w:val="100"/>
      <w:divBdr>
        <w:top w:val="none" w:sz="0" w:space="0" w:color="auto"/>
        <w:left w:val="none" w:sz="0" w:space="0" w:color="auto"/>
        <w:bottom w:val="none" w:sz="0" w:space="0" w:color="auto"/>
        <w:right w:val="none" w:sz="0" w:space="0" w:color="auto"/>
      </w:divBdr>
    </w:div>
    <w:div w:id="912470648">
      <w:marLeft w:val="0"/>
      <w:marRight w:val="0"/>
      <w:marTop w:val="0"/>
      <w:marBottom w:val="0"/>
      <w:divBdr>
        <w:top w:val="none" w:sz="0" w:space="0" w:color="auto"/>
        <w:left w:val="none" w:sz="0" w:space="0" w:color="auto"/>
        <w:bottom w:val="none" w:sz="0" w:space="0" w:color="auto"/>
        <w:right w:val="none" w:sz="0" w:space="0" w:color="auto"/>
      </w:divBdr>
      <w:divsChild>
        <w:div w:id="370497800">
          <w:marLeft w:val="0"/>
          <w:marRight w:val="0"/>
          <w:marTop w:val="0"/>
          <w:marBottom w:val="100"/>
          <w:divBdr>
            <w:top w:val="none" w:sz="0" w:space="0" w:color="auto"/>
            <w:left w:val="none" w:sz="0" w:space="0" w:color="auto"/>
            <w:bottom w:val="none" w:sz="0" w:space="0" w:color="auto"/>
            <w:right w:val="none" w:sz="0" w:space="0" w:color="auto"/>
          </w:divBdr>
        </w:div>
      </w:divsChild>
    </w:div>
    <w:div w:id="913005659">
      <w:marLeft w:val="0"/>
      <w:marRight w:val="0"/>
      <w:marTop w:val="100"/>
      <w:marBottom w:val="100"/>
      <w:divBdr>
        <w:top w:val="none" w:sz="0" w:space="0" w:color="auto"/>
        <w:left w:val="none" w:sz="0" w:space="0" w:color="auto"/>
        <w:bottom w:val="none" w:sz="0" w:space="0" w:color="auto"/>
        <w:right w:val="none" w:sz="0" w:space="0" w:color="auto"/>
      </w:divBdr>
    </w:div>
    <w:div w:id="913316473">
      <w:marLeft w:val="0"/>
      <w:marRight w:val="0"/>
      <w:marTop w:val="0"/>
      <w:marBottom w:val="0"/>
      <w:divBdr>
        <w:top w:val="none" w:sz="0" w:space="0" w:color="auto"/>
        <w:left w:val="none" w:sz="0" w:space="0" w:color="auto"/>
        <w:bottom w:val="none" w:sz="0" w:space="0" w:color="auto"/>
        <w:right w:val="none" w:sz="0" w:space="0" w:color="auto"/>
      </w:divBdr>
    </w:div>
    <w:div w:id="913973587">
      <w:marLeft w:val="0"/>
      <w:marRight w:val="0"/>
      <w:marTop w:val="0"/>
      <w:marBottom w:val="0"/>
      <w:divBdr>
        <w:top w:val="none" w:sz="0" w:space="0" w:color="auto"/>
        <w:left w:val="none" w:sz="0" w:space="0" w:color="auto"/>
        <w:bottom w:val="none" w:sz="0" w:space="0" w:color="auto"/>
        <w:right w:val="none" w:sz="0" w:space="0" w:color="auto"/>
      </w:divBdr>
    </w:div>
    <w:div w:id="915092518">
      <w:marLeft w:val="0"/>
      <w:marRight w:val="0"/>
      <w:marTop w:val="0"/>
      <w:marBottom w:val="0"/>
      <w:divBdr>
        <w:top w:val="none" w:sz="0" w:space="0" w:color="auto"/>
        <w:left w:val="none" w:sz="0" w:space="0" w:color="auto"/>
        <w:bottom w:val="none" w:sz="0" w:space="0" w:color="auto"/>
        <w:right w:val="none" w:sz="0" w:space="0" w:color="auto"/>
      </w:divBdr>
      <w:divsChild>
        <w:div w:id="742526918">
          <w:marLeft w:val="0"/>
          <w:marRight w:val="0"/>
          <w:marTop w:val="0"/>
          <w:marBottom w:val="0"/>
          <w:divBdr>
            <w:top w:val="none" w:sz="0" w:space="0" w:color="auto"/>
            <w:left w:val="none" w:sz="0" w:space="0" w:color="auto"/>
            <w:bottom w:val="none" w:sz="0" w:space="0" w:color="auto"/>
            <w:right w:val="none" w:sz="0" w:space="0" w:color="auto"/>
          </w:divBdr>
          <w:divsChild>
            <w:div w:id="84575132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15167249">
      <w:marLeft w:val="0"/>
      <w:marRight w:val="0"/>
      <w:marTop w:val="0"/>
      <w:marBottom w:val="0"/>
      <w:divBdr>
        <w:top w:val="none" w:sz="0" w:space="0" w:color="auto"/>
        <w:left w:val="none" w:sz="0" w:space="0" w:color="auto"/>
        <w:bottom w:val="none" w:sz="0" w:space="0" w:color="auto"/>
        <w:right w:val="none" w:sz="0" w:space="0" w:color="auto"/>
      </w:divBdr>
    </w:div>
    <w:div w:id="915744162">
      <w:marLeft w:val="0"/>
      <w:marRight w:val="0"/>
      <w:marTop w:val="180"/>
      <w:marBottom w:val="0"/>
      <w:divBdr>
        <w:top w:val="none" w:sz="0" w:space="0" w:color="auto"/>
        <w:left w:val="none" w:sz="0" w:space="0" w:color="auto"/>
        <w:bottom w:val="none" w:sz="0" w:space="0" w:color="auto"/>
        <w:right w:val="none" w:sz="0" w:space="0" w:color="auto"/>
      </w:divBdr>
      <w:divsChild>
        <w:div w:id="847865383">
          <w:marLeft w:val="0"/>
          <w:marRight w:val="0"/>
          <w:marTop w:val="0"/>
          <w:marBottom w:val="0"/>
          <w:divBdr>
            <w:top w:val="none" w:sz="0" w:space="0" w:color="auto"/>
            <w:left w:val="none" w:sz="0" w:space="0" w:color="auto"/>
            <w:bottom w:val="none" w:sz="0" w:space="0" w:color="auto"/>
            <w:right w:val="none" w:sz="0" w:space="0" w:color="auto"/>
          </w:divBdr>
        </w:div>
        <w:div w:id="414977225">
          <w:marLeft w:val="0"/>
          <w:marRight w:val="0"/>
          <w:marTop w:val="0"/>
          <w:marBottom w:val="0"/>
          <w:divBdr>
            <w:top w:val="none" w:sz="0" w:space="0" w:color="auto"/>
            <w:left w:val="none" w:sz="0" w:space="0" w:color="auto"/>
            <w:bottom w:val="none" w:sz="0" w:space="0" w:color="auto"/>
            <w:right w:val="none" w:sz="0" w:space="0" w:color="auto"/>
          </w:divBdr>
        </w:div>
        <w:div w:id="59137946">
          <w:marLeft w:val="0"/>
          <w:marRight w:val="0"/>
          <w:marTop w:val="0"/>
          <w:marBottom w:val="0"/>
          <w:divBdr>
            <w:top w:val="none" w:sz="0" w:space="0" w:color="auto"/>
            <w:left w:val="none" w:sz="0" w:space="0" w:color="auto"/>
            <w:bottom w:val="none" w:sz="0" w:space="0" w:color="auto"/>
            <w:right w:val="none" w:sz="0" w:space="0" w:color="auto"/>
          </w:divBdr>
        </w:div>
      </w:divsChild>
    </w:div>
    <w:div w:id="915817971">
      <w:marLeft w:val="0"/>
      <w:marRight w:val="0"/>
      <w:marTop w:val="0"/>
      <w:marBottom w:val="0"/>
      <w:divBdr>
        <w:top w:val="none" w:sz="0" w:space="0" w:color="auto"/>
        <w:left w:val="none" w:sz="0" w:space="0" w:color="auto"/>
        <w:bottom w:val="none" w:sz="0" w:space="0" w:color="auto"/>
        <w:right w:val="none" w:sz="0" w:space="0" w:color="auto"/>
      </w:divBdr>
    </w:div>
    <w:div w:id="916014672">
      <w:marLeft w:val="0"/>
      <w:marRight w:val="0"/>
      <w:marTop w:val="0"/>
      <w:marBottom w:val="100"/>
      <w:divBdr>
        <w:top w:val="none" w:sz="0" w:space="0" w:color="auto"/>
        <w:left w:val="none" w:sz="0" w:space="0" w:color="auto"/>
        <w:bottom w:val="none" w:sz="0" w:space="0" w:color="auto"/>
        <w:right w:val="none" w:sz="0" w:space="0" w:color="auto"/>
      </w:divBdr>
    </w:div>
    <w:div w:id="916209641">
      <w:marLeft w:val="0"/>
      <w:marRight w:val="0"/>
      <w:marTop w:val="100"/>
      <w:marBottom w:val="0"/>
      <w:divBdr>
        <w:top w:val="none" w:sz="0" w:space="0" w:color="auto"/>
        <w:left w:val="none" w:sz="0" w:space="0" w:color="auto"/>
        <w:bottom w:val="none" w:sz="0" w:space="0" w:color="auto"/>
        <w:right w:val="none" w:sz="0" w:space="0" w:color="auto"/>
      </w:divBdr>
    </w:div>
    <w:div w:id="916792189">
      <w:marLeft w:val="0"/>
      <w:marRight w:val="0"/>
      <w:marTop w:val="100"/>
      <w:marBottom w:val="100"/>
      <w:divBdr>
        <w:top w:val="none" w:sz="0" w:space="0" w:color="auto"/>
        <w:left w:val="none" w:sz="0" w:space="0" w:color="auto"/>
        <w:bottom w:val="none" w:sz="0" w:space="0" w:color="auto"/>
        <w:right w:val="none" w:sz="0" w:space="0" w:color="auto"/>
      </w:divBdr>
    </w:div>
    <w:div w:id="918056727">
      <w:marLeft w:val="0"/>
      <w:marRight w:val="0"/>
      <w:marTop w:val="100"/>
      <w:marBottom w:val="0"/>
      <w:divBdr>
        <w:top w:val="none" w:sz="0" w:space="0" w:color="auto"/>
        <w:left w:val="none" w:sz="0" w:space="0" w:color="auto"/>
        <w:bottom w:val="none" w:sz="0" w:space="0" w:color="auto"/>
        <w:right w:val="none" w:sz="0" w:space="0" w:color="auto"/>
      </w:divBdr>
    </w:div>
    <w:div w:id="919824614">
      <w:marLeft w:val="0"/>
      <w:marRight w:val="0"/>
      <w:marTop w:val="180"/>
      <w:marBottom w:val="100"/>
      <w:divBdr>
        <w:top w:val="none" w:sz="0" w:space="0" w:color="auto"/>
        <w:left w:val="none" w:sz="0" w:space="0" w:color="auto"/>
        <w:bottom w:val="none" w:sz="0" w:space="0" w:color="auto"/>
        <w:right w:val="none" w:sz="0" w:space="0" w:color="auto"/>
      </w:divBdr>
    </w:div>
    <w:div w:id="920338139">
      <w:marLeft w:val="0"/>
      <w:marRight w:val="0"/>
      <w:marTop w:val="180"/>
      <w:marBottom w:val="100"/>
      <w:divBdr>
        <w:top w:val="none" w:sz="0" w:space="0" w:color="auto"/>
        <w:left w:val="none" w:sz="0" w:space="0" w:color="auto"/>
        <w:bottom w:val="none" w:sz="0" w:space="0" w:color="auto"/>
        <w:right w:val="none" w:sz="0" w:space="0" w:color="auto"/>
      </w:divBdr>
    </w:div>
    <w:div w:id="920409892">
      <w:marLeft w:val="0"/>
      <w:marRight w:val="0"/>
      <w:marTop w:val="0"/>
      <w:marBottom w:val="0"/>
      <w:divBdr>
        <w:top w:val="none" w:sz="0" w:space="0" w:color="auto"/>
        <w:left w:val="none" w:sz="0" w:space="0" w:color="auto"/>
        <w:bottom w:val="none" w:sz="0" w:space="0" w:color="auto"/>
        <w:right w:val="none" w:sz="0" w:space="0" w:color="auto"/>
      </w:divBdr>
    </w:div>
    <w:div w:id="922028737">
      <w:marLeft w:val="0"/>
      <w:marRight w:val="0"/>
      <w:marTop w:val="180"/>
      <w:marBottom w:val="100"/>
      <w:divBdr>
        <w:top w:val="none" w:sz="0" w:space="0" w:color="auto"/>
        <w:left w:val="none" w:sz="0" w:space="0" w:color="auto"/>
        <w:bottom w:val="none" w:sz="0" w:space="0" w:color="auto"/>
        <w:right w:val="none" w:sz="0" w:space="0" w:color="auto"/>
      </w:divBdr>
    </w:div>
    <w:div w:id="925110864">
      <w:marLeft w:val="0"/>
      <w:marRight w:val="0"/>
      <w:marTop w:val="0"/>
      <w:marBottom w:val="0"/>
      <w:divBdr>
        <w:top w:val="none" w:sz="0" w:space="0" w:color="auto"/>
        <w:left w:val="none" w:sz="0" w:space="0" w:color="auto"/>
        <w:bottom w:val="none" w:sz="0" w:space="0" w:color="auto"/>
        <w:right w:val="none" w:sz="0" w:space="0" w:color="auto"/>
      </w:divBdr>
    </w:div>
    <w:div w:id="926767254">
      <w:marLeft w:val="0"/>
      <w:marRight w:val="0"/>
      <w:marTop w:val="0"/>
      <w:marBottom w:val="0"/>
      <w:divBdr>
        <w:top w:val="none" w:sz="0" w:space="0" w:color="auto"/>
        <w:left w:val="none" w:sz="0" w:space="0" w:color="auto"/>
        <w:bottom w:val="none" w:sz="0" w:space="0" w:color="auto"/>
        <w:right w:val="none" w:sz="0" w:space="0" w:color="auto"/>
      </w:divBdr>
      <w:divsChild>
        <w:div w:id="1976134441">
          <w:marLeft w:val="0"/>
          <w:marRight w:val="0"/>
          <w:marTop w:val="0"/>
          <w:marBottom w:val="0"/>
          <w:divBdr>
            <w:top w:val="none" w:sz="0" w:space="0" w:color="auto"/>
            <w:left w:val="none" w:sz="0" w:space="0" w:color="auto"/>
            <w:bottom w:val="none" w:sz="0" w:space="0" w:color="auto"/>
            <w:right w:val="none" w:sz="0" w:space="0" w:color="auto"/>
          </w:divBdr>
          <w:divsChild>
            <w:div w:id="179027796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27470925">
      <w:marLeft w:val="0"/>
      <w:marRight w:val="0"/>
      <w:marTop w:val="100"/>
      <w:marBottom w:val="100"/>
      <w:divBdr>
        <w:top w:val="none" w:sz="0" w:space="0" w:color="auto"/>
        <w:left w:val="none" w:sz="0" w:space="0" w:color="auto"/>
        <w:bottom w:val="none" w:sz="0" w:space="0" w:color="auto"/>
        <w:right w:val="none" w:sz="0" w:space="0" w:color="auto"/>
      </w:divBdr>
    </w:div>
    <w:div w:id="927617470">
      <w:marLeft w:val="0"/>
      <w:marRight w:val="0"/>
      <w:marTop w:val="100"/>
      <w:marBottom w:val="100"/>
      <w:divBdr>
        <w:top w:val="none" w:sz="0" w:space="0" w:color="auto"/>
        <w:left w:val="none" w:sz="0" w:space="0" w:color="auto"/>
        <w:bottom w:val="none" w:sz="0" w:space="0" w:color="auto"/>
        <w:right w:val="none" w:sz="0" w:space="0" w:color="auto"/>
      </w:divBdr>
    </w:div>
    <w:div w:id="927885659">
      <w:marLeft w:val="0"/>
      <w:marRight w:val="0"/>
      <w:marTop w:val="0"/>
      <w:marBottom w:val="0"/>
      <w:divBdr>
        <w:top w:val="none" w:sz="0" w:space="0" w:color="auto"/>
        <w:left w:val="none" w:sz="0" w:space="0" w:color="auto"/>
        <w:bottom w:val="none" w:sz="0" w:space="0" w:color="auto"/>
        <w:right w:val="none" w:sz="0" w:space="0" w:color="auto"/>
      </w:divBdr>
      <w:divsChild>
        <w:div w:id="1149321746">
          <w:marLeft w:val="0"/>
          <w:marRight w:val="0"/>
          <w:marTop w:val="0"/>
          <w:marBottom w:val="0"/>
          <w:divBdr>
            <w:top w:val="none" w:sz="0" w:space="0" w:color="auto"/>
            <w:left w:val="none" w:sz="0" w:space="0" w:color="auto"/>
            <w:bottom w:val="none" w:sz="0" w:space="0" w:color="auto"/>
            <w:right w:val="none" w:sz="0" w:space="0" w:color="auto"/>
          </w:divBdr>
          <w:divsChild>
            <w:div w:id="10875312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27928722">
      <w:marLeft w:val="0"/>
      <w:marRight w:val="0"/>
      <w:marTop w:val="0"/>
      <w:marBottom w:val="0"/>
      <w:divBdr>
        <w:top w:val="none" w:sz="0" w:space="0" w:color="auto"/>
        <w:left w:val="none" w:sz="0" w:space="0" w:color="auto"/>
        <w:bottom w:val="none" w:sz="0" w:space="0" w:color="auto"/>
        <w:right w:val="none" w:sz="0" w:space="0" w:color="auto"/>
      </w:divBdr>
    </w:div>
    <w:div w:id="930310387">
      <w:marLeft w:val="0"/>
      <w:marRight w:val="0"/>
      <w:marTop w:val="60"/>
      <w:marBottom w:val="60"/>
      <w:divBdr>
        <w:top w:val="none" w:sz="0" w:space="0" w:color="auto"/>
        <w:left w:val="none" w:sz="0" w:space="0" w:color="auto"/>
        <w:bottom w:val="none" w:sz="0" w:space="0" w:color="auto"/>
        <w:right w:val="none" w:sz="0" w:space="0" w:color="auto"/>
      </w:divBdr>
    </w:div>
    <w:div w:id="931938725">
      <w:marLeft w:val="0"/>
      <w:marRight w:val="0"/>
      <w:marTop w:val="0"/>
      <w:marBottom w:val="100"/>
      <w:divBdr>
        <w:top w:val="none" w:sz="0" w:space="0" w:color="auto"/>
        <w:left w:val="none" w:sz="0" w:space="0" w:color="auto"/>
        <w:bottom w:val="none" w:sz="0" w:space="0" w:color="auto"/>
        <w:right w:val="none" w:sz="0" w:space="0" w:color="auto"/>
      </w:divBdr>
    </w:div>
    <w:div w:id="932937205">
      <w:marLeft w:val="0"/>
      <w:marRight w:val="0"/>
      <w:marTop w:val="100"/>
      <w:marBottom w:val="100"/>
      <w:divBdr>
        <w:top w:val="none" w:sz="0" w:space="0" w:color="auto"/>
        <w:left w:val="none" w:sz="0" w:space="0" w:color="auto"/>
        <w:bottom w:val="none" w:sz="0" w:space="0" w:color="auto"/>
        <w:right w:val="none" w:sz="0" w:space="0" w:color="auto"/>
      </w:divBdr>
    </w:div>
    <w:div w:id="933587820">
      <w:marLeft w:val="0"/>
      <w:marRight w:val="0"/>
      <w:marTop w:val="0"/>
      <w:marBottom w:val="0"/>
      <w:divBdr>
        <w:top w:val="none" w:sz="0" w:space="0" w:color="auto"/>
        <w:left w:val="none" w:sz="0" w:space="0" w:color="auto"/>
        <w:bottom w:val="none" w:sz="0" w:space="0" w:color="auto"/>
        <w:right w:val="none" w:sz="0" w:space="0" w:color="auto"/>
      </w:divBdr>
      <w:divsChild>
        <w:div w:id="1940408153">
          <w:marLeft w:val="0"/>
          <w:marRight w:val="0"/>
          <w:marTop w:val="0"/>
          <w:marBottom w:val="0"/>
          <w:divBdr>
            <w:top w:val="none" w:sz="0" w:space="0" w:color="auto"/>
            <w:left w:val="none" w:sz="0" w:space="0" w:color="auto"/>
            <w:bottom w:val="none" w:sz="0" w:space="0" w:color="auto"/>
            <w:right w:val="none" w:sz="0" w:space="0" w:color="auto"/>
          </w:divBdr>
          <w:divsChild>
            <w:div w:id="183167700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34478375">
      <w:marLeft w:val="0"/>
      <w:marRight w:val="0"/>
      <w:marTop w:val="100"/>
      <w:marBottom w:val="100"/>
      <w:divBdr>
        <w:top w:val="none" w:sz="0" w:space="0" w:color="auto"/>
        <w:left w:val="none" w:sz="0" w:space="0" w:color="auto"/>
        <w:bottom w:val="none" w:sz="0" w:space="0" w:color="auto"/>
        <w:right w:val="none" w:sz="0" w:space="0" w:color="auto"/>
      </w:divBdr>
    </w:div>
    <w:div w:id="935331517">
      <w:marLeft w:val="0"/>
      <w:marRight w:val="0"/>
      <w:marTop w:val="0"/>
      <w:marBottom w:val="100"/>
      <w:divBdr>
        <w:top w:val="none" w:sz="0" w:space="0" w:color="auto"/>
        <w:left w:val="none" w:sz="0" w:space="0" w:color="auto"/>
        <w:bottom w:val="none" w:sz="0" w:space="0" w:color="auto"/>
        <w:right w:val="none" w:sz="0" w:space="0" w:color="auto"/>
      </w:divBdr>
    </w:div>
    <w:div w:id="936642219">
      <w:marLeft w:val="0"/>
      <w:marRight w:val="0"/>
      <w:marTop w:val="180"/>
      <w:marBottom w:val="0"/>
      <w:divBdr>
        <w:top w:val="none" w:sz="0" w:space="0" w:color="auto"/>
        <w:left w:val="none" w:sz="0" w:space="0" w:color="auto"/>
        <w:bottom w:val="none" w:sz="0" w:space="0" w:color="auto"/>
        <w:right w:val="none" w:sz="0" w:space="0" w:color="auto"/>
      </w:divBdr>
    </w:div>
    <w:div w:id="937057903">
      <w:marLeft w:val="0"/>
      <w:marRight w:val="0"/>
      <w:marTop w:val="0"/>
      <w:marBottom w:val="0"/>
      <w:divBdr>
        <w:top w:val="none" w:sz="0" w:space="0" w:color="auto"/>
        <w:left w:val="none" w:sz="0" w:space="0" w:color="auto"/>
        <w:bottom w:val="none" w:sz="0" w:space="0" w:color="auto"/>
        <w:right w:val="none" w:sz="0" w:space="0" w:color="auto"/>
      </w:divBdr>
    </w:div>
    <w:div w:id="938220518">
      <w:marLeft w:val="0"/>
      <w:marRight w:val="0"/>
      <w:marTop w:val="0"/>
      <w:marBottom w:val="100"/>
      <w:divBdr>
        <w:top w:val="none" w:sz="0" w:space="0" w:color="auto"/>
        <w:left w:val="none" w:sz="0" w:space="0" w:color="auto"/>
        <w:bottom w:val="none" w:sz="0" w:space="0" w:color="auto"/>
        <w:right w:val="none" w:sz="0" w:space="0" w:color="auto"/>
      </w:divBdr>
    </w:div>
    <w:div w:id="939721792">
      <w:marLeft w:val="0"/>
      <w:marRight w:val="0"/>
      <w:marTop w:val="0"/>
      <w:marBottom w:val="100"/>
      <w:divBdr>
        <w:top w:val="none" w:sz="0" w:space="0" w:color="auto"/>
        <w:left w:val="none" w:sz="0" w:space="0" w:color="auto"/>
        <w:bottom w:val="none" w:sz="0" w:space="0" w:color="auto"/>
        <w:right w:val="none" w:sz="0" w:space="0" w:color="auto"/>
      </w:divBdr>
      <w:divsChild>
        <w:div w:id="812792610">
          <w:marLeft w:val="0"/>
          <w:marRight w:val="0"/>
          <w:marTop w:val="0"/>
          <w:marBottom w:val="120"/>
          <w:divBdr>
            <w:top w:val="none" w:sz="0" w:space="0" w:color="auto"/>
            <w:left w:val="none" w:sz="0" w:space="0" w:color="auto"/>
            <w:bottom w:val="none" w:sz="0" w:space="0" w:color="auto"/>
            <w:right w:val="none" w:sz="0" w:space="0" w:color="auto"/>
          </w:divBdr>
        </w:div>
        <w:div w:id="444926131">
          <w:marLeft w:val="0"/>
          <w:marRight w:val="0"/>
          <w:marTop w:val="0"/>
          <w:marBottom w:val="120"/>
          <w:divBdr>
            <w:top w:val="none" w:sz="0" w:space="0" w:color="auto"/>
            <w:left w:val="none" w:sz="0" w:space="0" w:color="auto"/>
            <w:bottom w:val="none" w:sz="0" w:space="0" w:color="auto"/>
            <w:right w:val="none" w:sz="0" w:space="0" w:color="auto"/>
          </w:divBdr>
        </w:div>
      </w:divsChild>
    </w:div>
    <w:div w:id="940188282">
      <w:marLeft w:val="0"/>
      <w:marRight w:val="0"/>
      <w:marTop w:val="100"/>
      <w:marBottom w:val="100"/>
      <w:divBdr>
        <w:top w:val="none" w:sz="0" w:space="0" w:color="auto"/>
        <w:left w:val="none" w:sz="0" w:space="0" w:color="auto"/>
        <w:bottom w:val="none" w:sz="0" w:space="0" w:color="auto"/>
        <w:right w:val="none" w:sz="0" w:space="0" w:color="auto"/>
      </w:divBdr>
    </w:div>
    <w:div w:id="940600996">
      <w:marLeft w:val="0"/>
      <w:marRight w:val="0"/>
      <w:marTop w:val="0"/>
      <w:marBottom w:val="0"/>
      <w:divBdr>
        <w:top w:val="none" w:sz="0" w:space="0" w:color="auto"/>
        <w:left w:val="none" w:sz="0" w:space="0" w:color="auto"/>
        <w:bottom w:val="none" w:sz="0" w:space="0" w:color="auto"/>
        <w:right w:val="none" w:sz="0" w:space="0" w:color="auto"/>
      </w:divBdr>
    </w:div>
    <w:div w:id="940651069">
      <w:marLeft w:val="0"/>
      <w:marRight w:val="0"/>
      <w:marTop w:val="100"/>
      <w:marBottom w:val="100"/>
      <w:divBdr>
        <w:top w:val="none" w:sz="0" w:space="0" w:color="auto"/>
        <w:left w:val="none" w:sz="0" w:space="0" w:color="auto"/>
        <w:bottom w:val="none" w:sz="0" w:space="0" w:color="auto"/>
        <w:right w:val="none" w:sz="0" w:space="0" w:color="auto"/>
      </w:divBdr>
    </w:div>
    <w:div w:id="944970306">
      <w:marLeft w:val="0"/>
      <w:marRight w:val="0"/>
      <w:marTop w:val="180"/>
      <w:marBottom w:val="0"/>
      <w:divBdr>
        <w:top w:val="none" w:sz="0" w:space="0" w:color="auto"/>
        <w:left w:val="none" w:sz="0" w:space="0" w:color="auto"/>
        <w:bottom w:val="none" w:sz="0" w:space="0" w:color="auto"/>
        <w:right w:val="none" w:sz="0" w:space="0" w:color="auto"/>
      </w:divBdr>
    </w:div>
    <w:div w:id="945426385">
      <w:marLeft w:val="0"/>
      <w:marRight w:val="0"/>
      <w:marTop w:val="0"/>
      <w:marBottom w:val="0"/>
      <w:divBdr>
        <w:top w:val="none" w:sz="0" w:space="0" w:color="auto"/>
        <w:left w:val="none" w:sz="0" w:space="0" w:color="auto"/>
        <w:bottom w:val="none" w:sz="0" w:space="0" w:color="auto"/>
        <w:right w:val="none" w:sz="0" w:space="0" w:color="auto"/>
      </w:divBdr>
    </w:div>
    <w:div w:id="947195856">
      <w:marLeft w:val="0"/>
      <w:marRight w:val="0"/>
      <w:marTop w:val="100"/>
      <w:marBottom w:val="100"/>
      <w:divBdr>
        <w:top w:val="none" w:sz="0" w:space="0" w:color="auto"/>
        <w:left w:val="none" w:sz="0" w:space="0" w:color="auto"/>
        <w:bottom w:val="none" w:sz="0" w:space="0" w:color="auto"/>
        <w:right w:val="none" w:sz="0" w:space="0" w:color="auto"/>
      </w:divBdr>
    </w:div>
    <w:div w:id="947548539">
      <w:marLeft w:val="0"/>
      <w:marRight w:val="0"/>
      <w:marTop w:val="180"/>
      <w:marBottom w:val="0"/>
      <w:divBdr>
        <w:top w:val="none" w:sz="0" w:space="0" w:color="auto"/>
        <w:left w:val="none" w:sz="0" w:space="0" w:color="auto"/>
        <w:bottom w:val="none" w:sz="0" w:space="0" w:color="auto"/>
        <w:right w:val="none" w:sz="0" w:space="0" w:color="auto"/>
      </w:divBdr>
    </w:div>
    <w:div w:id="954946131">
      <w:marLeft w:val="0"/>
      <w:marRight w:val="0"/>
      <w:marTop w:val="0"/>
      <w:marBottom w:val="0"/>
      <w:divBdr>
        <w:top w:val="none" w:sz="0" w:space="0" w:color="auto"/>
        <w:left w:val="none" w:sz="0" w:space="0" w:color="auto"/>
        <w:bottom w:val="none" w:sz="0" w:space="0" w:color="auto"/>
        <w:right w:val="none" w:sz="0" w:space="0" w:color="auto"/>
      </w:divBdr>
    </w:div>
    <w:div w:id="955910834">
      <w:marLeft w:val="0"/>
      <w:marRight w:val="0"/>
      <w:marTop w:val="100"/>
      <w:marBottom w:val="100"/>
      <w:divBdr>
        <w:top w:val="none" w:sz="0" w:space="0" w:color="auto"/>
        <w:left w:val="none" w:sz="0" w:space="0" w:color="auto"/>
        <w:bottom w:val="none" w:sz="0" w:space="0" w:color="auto"/>
        <w:right w:val="none" w:sz="0" w:space="0" w:color="auto"/>
      </w:divBdr>
    </w:div>
    <w:div w:id="956063289">
      <w:marLeft w:val="0"/>
      <w:marRight w:val="0"/>
      <w:marTop w:val="100"/>
      <w:marBottom w:val="100"/>
      <w:divBdr>
        <w:top w:val="none" w:sz="0" w:space="0" w:color="auto"/>
        <w:left w:val="none" w:sz="0" w:space="0" w:color="auto"/>
        <w:bottom w:val="none" w:sz="0" w:space="0" w:color="auto"/>
        <w:right w:val="none" w:sz="0" w:space="0" w:color="auto"/>
      </w:divBdr>
    </w:div>
    <w:div w:id="956064383">
      <w:marLeft w:val="0"/>
      <w:marRight w:val="0"/>
      <w:marTop w:val="0"/>
      <w:marBottom w:val="0"/>
      <w:divBdr>
        <w:top w:val="none" w:sz="0" w:space="0" w:color="auto"/>
        <w:left w:val="none" w:sz="0" w:space="0" w:color="auto"/>
        <w:bottom w:val="none" w:sz="0" w:space="0" w:color="auto"/>
        <w:right w:val="none" w:sz="0" w:space="0" w:color="auto"/>
      </w:divBdr>
    </w:div>
    <w:div w:id="956714443">
      <w:marLeft w:val="0"/>
      <w:marRight w:val="0"/>
      <w:marTop w:val="100"/>
      <w:marBottom w:val="0"/>
      <w:divBdr>
        <w:top w:val="none" w:sz="0" w:space="0" w:color="auto"/>
        <w:left w:val="none" w:sz="0" w:space="0" w:color="auto"/>
        <w:bottom w:val="none" w:sz="0" w:space="0" w:color="auto"/>
        <w:right w:val="none" w:sz="0" w:space="0" w:color="auto"/>
      </w:divBdr>
    </w:div>
    <w:div w:id="957417674">
      <w:marLeft w:val="0"/>
      <w:marRight w:val="0"/>
      <w:marTop w:val="180"/>
      <w:marBottom w:val="0"/>
      <w:divBdr>
        <w:top w:val="none" w:sz="0" w:space="0" w:color="auto"/>
        <w:left w:val="none" w:sz="0" w:space="0" w:color="auto"/>
        <w:bottom w:val="none" w:sz="0" w:space="0" w:color="auto"/>
        <w:right w:val="none" w:sz="0" w:space="0" w:color="auto"/>
      </w:divBdr>
    </w:div>
    <w:div w:id="958681479">
      <w:marLeft w:val="0"/>
      <w:marRight w:val="0"/>
      <w:marTop w:val="100"/>
      <w:marBottom w:val="100"/>
      <w:divBdr>
        <w:top w:val="none" w:sz="0" w:space="0" w:color="auto"/>
        <w:left w:val="none" w:sz="0" w:space="0" w:color="auto"/>
        <w:bottom w:val="none" w:sz="0" w:space="0" w:color="auto"/>
        <w:right w:val="none" w:sz="0" w:space="0" w:color="auto"/>
      </w:divBdr>
    </w:div>
    <w:div w:id="959266027">
      <w:marLeft w:val="0"/>
      <w:marRight w:val="0"/>
      <w:marTop w:val="0"/>
      <w:marBottom w:val="0"/>
      <w:divBdr>
        <w:top w:val="none" w:sz="0" w:space="0" w:color="auto"/>
        <w:left w:val="none" w:sz="0" w:space="0" w:color="auto"/>
        <w:bottom w:val="none" w:sz="0" w:space="0" w:color="auto"/>
        <w:right w:val="none" w:sz="0" w:space="0" w:color="auto"/>
      </w:divBdr>
      <w:divsChild>
        <w:div w:id="2114082827">
          <w:marLeft w:val="0"/>
          <w:marRight w:val="0"/>
          <w:marTop w:val="0"/>
          <w:marBottom w:val="0"/>
          <w:divBdr>
            <w:top w:val="none" w:sz="0" w:space="0" w:color="auto"/>
            <w:left w:val="none" w:sz="0" w:space="0" w:color="auto"/>
            <w:bottom w:val="none" w:sz="0" w:space="0" w:color="auto"/>
            <w:right w:val="none" w:sz="0" w:space="0" w:color="auto"/>
          </w:divBdr>
          <w:divsChild>
            <w:div w:id="36819189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59647331">
      <w:marLeft w:val="0"/>
      <w:marRight w:val="0"/>
      <w:marTop w:val="180"/>
      <w:marBottom w:val="100"/>
      <w:divBdr>
        <w:top w:val="none" w:sz="0" w:space="0" w:color="auto"/>
        <w:left w:val="none" w:sz="0" w:space="0" w:color="auto"/>
        <w:bottom w:val="none" w:sz="0" w:space="0" w:color="auto"/>
        <w:right w:val="none" w:sz="0" w:space="0" w:color="auto"/>
      </w:divBdr>
    </w:div>
    <w:div w:id="959917767">
      <w:marLeft w:val="0"/>
      <w:marRight w:val="0"/>
      <w:marTop w:val="0"/>
      <w:marBottom w:val="0"/>
      <w:divBdr>
        <w:top w:val="none" w:sz="0" w:space="0" w:color="auto"/>
        <w:left w:val="none" w:sz="0" w:space="0" w:color="auto"/>
        <w:bottom w:val="none" w:sz="0" w:space="0" w:color="auto"/>
        <w:right w:val="none" w:sz="0" w:space="0" w:color="auto"/>
      </w:divBdr>
    </w:div>
    <w:div w:id="959997900">
      <w:marLeft w:val="0"/>
      <w:marRight w:val="0"/>
      <w:marTop w:val="100"/>
      <w:marBottom w:val="100"/>
      <w:divBdr>
        <w:top w:val="none" w:sz="0" w:space="0" w:color="auto"/>
        <w:left w:val="none" w:sz="0" w:space="0" w:color="auto"/>
        <w:bottom w:val="none" w:sz="0" w:space="0" w:color="auto"/>
        <w:right w:val="none" w:sz="0" w:space="0" w:color="auto"/>
      </w:divBdr>
      <w:divsChild>
        <w:div w:id="2006127325">
          <w:marLeft w:val="0"/>
          <w:marRight w:val="0"/>
          <w:marTop w:val="0"/>
          <w:marBottom w:val="0"/>
          <w:divBdr>
            <w:top w:val="none" w:sz="0" w:space="0" w:color="auto"/>
            <w:left w:val="none" w:sz="0" w:space="0" w:color="auto"/>
            <w:bottom w:val="none" w:sz="0" w:space="0" w:color="auto"/>
            <w:right w:val="none" w:sz="0" w:space="0" w:color="auto"/>
          </w:divBdr>
        </w:div>
        <w:div w:id="745958304">
          <w:marLeft w:val="0"/>
          <w:marRight w:val="0"/>
          <w:marTop w:val="0"/>
          <w:marBottom w:val="0"/>
          <w:divBdr>
            <w:top w:val="none" w:sz="0" w:space="0" w:color="auto"/>
            <w:left w:val="none" w:sz="0" w:space="0" w:color="auto"/>
            <w:bottom w:val="none" w:sz="0" w:space="0" w:color="auto"/>
            <w:right w:val="none" w:sz="0" w:space="0" w:color="auto"/>
          </w:divBdr>
        </w:div>
        <w:div w:id="23602490">
          <w:marLeft w:val="0"/>
          <w:marRight w:val="0"/>
          <w:marTop w:val="0"/>
          <w:marBottom w:val="0"/>
          <w:divBdr>
            <w:top w:val="none" w:sz="0" w:space="0" w:color="auto"/>
            <w:left w:val="none" w:sz="0" w:space="0" w:color="auto"/>
            <w:bottom w:val="none" w:sz="0" w:space="0" w:color="auto"/>
            <w:right w:val="none" w:sz="0" w:space="0" w:color="auto"/>
          </w:divBdr>
        </w:div>
        <w:div w:id="616451437">
          <w:marLeft w:val="0"/>
          <w:marRight w:val="0"/>
          <w:marTop w:val="0"/>
          <w:marBottom w:val="0"/>
          <w:divBdr>
            <w:top w:val="none" w:sz="0" w:space="0" w:color="auto"/>
            <w:left w:val="none" w:sz="0" w:space="0" w:color="auto"/>
            <w:bottom w:val="none" w:sz="0" w:space="0" w:color="auto"/>
            <w:right w:val="none" w:sz="0" w:space="0" w:color="auto"/>
          </w:divBdr>
        </w:div>
        <w:div w:id="1636717147">
          <w:marLeft w:val="0"/>
          <w:marRight w:val="0"/>
          <w:marTop w:val="0"/>
          <w:marBottom w:val="0"/>
          <w:divBdr>
            <w:top w:val="none" w:sz="0" w:space="0" w:color="auto"/>
            <w:left w:val="none" w:sz="0" w:space="0" w:color="auto"/>
            <w:bottom w:val="none" w:sz="0" w:space="0" w:color="auto"/>
            <w:right w:val="none" w:sz="0" w:space="0" w:color="auto"/>
          </w:divBdr>
        </w:div>
        <w:div w:id="316617665">
          <w:marLeft w:val="0"/>
          <w:marRight w:val="0"/>
          <w:marTop w:val="0"/>
          <w:marBottom w:val="0"/>
          <w:divBdr>
            <w:top w:val="none" w:sz="0" w:space="0" w:color="auto"/>
            <w:left w:val="none" w:sz="0" w:space="0" w:color="auto"/>
            <w:bottom w:val="none" w:sz="0" w:space="0" w:color="auto"/>
            <w:right w:val="none" w:sz="0" w:space="0" w:color="auto"/>
          </w:divBdr>
        </w:div>
        <w:div w:id="327680816">
          <w:marLeft w:val="0"/>
          <w:marRight w:val="0"/>
          <w:marTop w:val="0"/>
          <w:marBottom w:val="0"/>
          <w:divBdr>
            <w:top w:val="none" w:sz="0" w:space="0" w:color="auto"/>
            <w:left w:val="none" w:sz="0" w:space="0" w:color="auto"/>
            <w:bottom w:val="none" w:sz="0" w:space="0" w:color="auto"/>
            <w:right w:val="none" w:sz="0" w:space="0" w:color="auto"/>
          </w:divBdr>
        </w:div>
        <w:div w:id="1455253305">
          <w:marLeft w:val="0"/>
          <w:marRight w:val="0"/>
          <w:marTop w:val="0"/>
          <w:marBottom w:val="0"/>
          <w:divBdr>
            <w:top w:val="none" w:sz="0" w:space="0" w:color="auto"/>
            <w:left w:val="none" w:sz="0" w:space="0" w:color="auto"/>
            <w:bottom w:val="none" w:sz="0" w:space="0" w:color="auto"/>
            <w:right w:val="none" w:sz="0" w:space="0" w:color="auto"/>
          </w:divBdr>
        </w:div>
        <w:div w:id="496118276">
          <w:marLeft w:val="0"/>
          <w:marRight w:val="0"/>
          <w:marTop w:val="0"/>
          <w:marBottom w:val="0"/>
          <w:divBdr>
            <w:top w:val="none" w:sz="0" w:space="0" w:color="auto"/>
            <w:left w:val="none" w:sz="0" w:space="0" w:color="auto"/>
            <w:bottom w:val="none" w:sz="0" w:space="0" w:color="auto"/>
            <w:right w:val="none" w:sz="0" w:space="0" w:color="auto"/>
          </w:divBdr>
        </w:div>
        <w:div w:id="1867059841">
          <w:marLeft w:val="0"/>
          <w:marRight w:val="0"/>
          <w:marTop w:val="0"/>
          <w:marBottom w:val="0"/>
          <w:divBdr>
            <w:top w:val="none" w:sz="0" w:space="0" w:color="auto"/>
            <w:left w:val="none" w:sz="0" w:space="0" w:color="auto"/>
            <w:bottom w:val="none" w:sz="0" w:space="0" w:color="auto"/>
            <w:right w:val="none" w:sz="0" w:space="0" w:color="auto"/>
          </w:divBdr>
        </w:div>
        <w:div w:id="1910581094">
          <w:marLeft w:val="0"/>
          <w:marRight w:val="0"/>
          <w:marTop w:val="0"/>
          <w:marBottom w:val="0"/>
          <w:divBdr>
            <w:top w:val="none" w:sz="0" w:space="0" w:color="auto"/>
            <w:left w:val="none" w:sz="0" w:space="0" w:color="auto"/>
            <w:bottom w:val="none" w:sz="0" w:space="0" w:color="auto"/>
            <w:right w:val="none" w:sz="0" w:space="0" w:color="auto"/>
          </w:divBdr>
        </w:div>
        <w:div w:id="422991007">
          <w:marLeft w:val="0"/>
          <w:marRight w:val="0"/>
          <w:marTop w:val="0"/>
          <w:marBottom w:val="0"/>
          <w:divBdr>
            <w:top w:val="none" w:sz="0" w:space="0" w:color="auto"/>
            <w:left w:val="none" w:sz="0" w:space="0" w:color="auto"/>
            <w:bottom w:val="none" w:sz="0" w:space="0" w:color="auto"/>
            <w:right w:val="none" w:sz="0" w:space="0" w:color="auto"/>
          </w:divBdr>
        </w:div>
        <w:div w:id="1849128726">
          <w:marLeft w:val="0"/>
          <w:marRight w:val="0"/>
          <w:marTop w:val="0"/>
          <w:marBottom w:val="0"/>
          <w:divBdr>
            <w:top w:val="none" w:sz="0" w:space="0" w:color="auto"/>
            <w:left w:val="none" w:sz="0" w:space="0" w:color="auto"/>
            <w:bottom w:val="none" w:sz="0" w:space="0" w:color="auto"/>
            <w:right w:val="none" w:sz="0" w:space="0" w:color="auto"/>
          </w:divBdr>
        </w:div>
        <w:div w:id="608004009">
          <w:marLeft w:val="0"/>
          <w:marRight w:val="0"/>
          <w:marTop w:val="0"/>
          <w:marBottom w:val="0"/>
          <w:divBdr>
            <w:top w:val="none" w:sz="0" w:space="0" w:color="auto"/>
            <w:left w:val="none" w:sz="0" w:space="0" w:color="auto"/>
            <w:bottom w:val="none" w:sz="0" w:space="0" w:color="auto"/>
            <w:right w:val="none" w:sz="0" w:space="0" w:color="auto"/>
          </w:divBdr>
        </w:div>
        <w:div w:id="1618835474">
          <w:marLeft w:val="0"/>
          <w:marRight w:val="0"/>
          <w:marTop w:val="0"/>
          <w:marBottom w:val="0"/>
          <w:divBdr>
            <w:top w:val="none" w:sz="0" w:space="0" w:color="auto"/>
            <w:left w:val="none" w:sz="0" w:space="0" w:color="auto"/>
            <w:bottom w:val="none" w:sz="0" w:space="0" w:color="auto"/>
            <w:right w:val="none" w:sz="0" w:space="0" w:color="auto"/>
          </w:divBdr>
        </w:div>
        <w:div w:id="1908026870">
          <w:marLeft w:val="0"/>
          <w:marRight w:val="0"/>
          <w:marTop w:val="0"/>
          <w:marBottom w:val="0"/>
          <w:divBdr>
            <w:top w:val="none" w:sz="0" w:space="0" w:color="auto"/>
            <w:left w:val="none" w:sz="0" w:space="0" w:color="auto"/>
            <w:bottom w:val="none" w:sz="0" w:space="0" w:color="auto"/>
            <w:right w:val="none" w:sz="0" w:space="0" w:color="auto"/>
          </w:divBdr>
        </w:div>
      </w:divsChild>
    </w:div>
    <w:div w:id="960038919">
      <w:marLeft w:val="0"/>
      <w:marRight w:val="0"/>
      <w:marTop w:val="100"/>
      <w:marBottom w:val="100"/>
      <w:divBdr>
        <w:top w:val="none" w:sz="0" w:space="0" w:color="auto"/>
        <w:left w:val="none" w:sz="0" w:space="0" w:color="auto"/>
        <w:bottom w:val="none" w:sz="0" w:space="0" w:color="auto"/>
        <w:right w:val="none" w:sz="0" w:space="0" w:color="auto"/>
      </w:divBdr>
    </w:div>
    <w:div w:id="960455554">
      <w:marLeft w:val="0"/>
      <w:marRight w:val="0"/>
      <w:marTop w:val="0"/>
      <w:marBottom w:val="100"/>
      <w:divBdr>
        <w:top w:val="none" w:sz="0" w:space="0" w:color="auto"/>
        <w:left w:val="none" w:sz="0" w:space="0" w:color="auto"/>
        <w:bottom w:val="none" w:sz="0" w:space="0" w:color="auto"/>
        <w:right w:val="none" w:sz="0" w:space="0" w:color="auto"/>
      </w:divBdr>
    </w:div>
    <w:div w:id="962156485">
      <w:marLeft w:val="0"/>
      <w:marRight w:val="0"/>
      <w:marTop w:val="0"/>
      <w:marBottom w:val="0"/>
      <w:divBdr>
        <w:top w:val="none" w:sz="0" w:space="0" w:color="auto"/>
        <w:left w:val="none" w:sz="0" w:space="0" w:color="auto"/>
        <w:bottom w:val="none" w:sz="0" w:space="0" w:color="auto"/>
        <w:right w:val="none" w:sz="0" w:space="0" w:color="auto"/>
      </w:divBdr>
    </w:div>
    <w:div w:id="964240546">
      <w:marLeft w:val="0"/>
      <w:marRight w:val="0"/>
      <w:marTop w:val="0"/>
      <w:marBottom w:val="0"/>
      <w:divBdr>
        <w:top w:val="none" w:sz="0" w:space="0" w:color="auto"/>
        <w:left w:val="none" w:sz="0" w:space="0" w:color="auto"/>
        <w:bottom w:val="none" w:sz="0" w:space="0" w:color="auto"/>
        <w:right w:val="none" w:sz="0" w:space="0" w:color="auto"/>
      </w:divBdr>
      <w:divsChild>
        <w:div w:id="1256090366">
          <w:marLeft w:val="0"/>
          <w:marRight w:val="0"/>
          <w:marTop w:val="0"/>
          <w:marBottom w:val="100"/>
          <w:divBdr>
            <w:top w:val="none" w:sz="0" w:space="0" w:color="auto"/>
            <w:left w:val="none" w:sz="0" w:space="0" w:color="auto"/>
            <w:bottom w:val="none" w:sz="0" w:space="0" w:color="auto"/>
            <w:right w:val="none" w:sz="0" w:space="0" w:color="auto"/>
          </w:divBdr>
        </w:div>
      </w:divsChild>
    </w:div>
    <w:div w:id="968123982">
      <w:marLeft w:val="0"/>
      <w:marRight w:val="0"/>
      <w:marTop w:val="0"/>
      <w:marBottom w:val="100"/>
      <w:divBdr>
        <w:top w:val="none" w:sz="0" w:space="0" w:color="auto"/>
        <w:left w:val="none" w:sz="0" w:space="0" w:color="auto"/>
        <w:bottom w:val="none" w:sz="0" w:space="0" w:color="auto"/>
        <w:right w:val="none" w:sz="0" w:space="0" w:color="auto"/>
      </w:divBdr>
    </w:div>
    <w:div w:id="968588386">
      <w:marLeft w:val="0"/>
      <w:marRight w:val="0"/>
      <w:marTop w:val="0"/>
      <w:marBottom w:val="100"/>
      <w:divBdr>
        <w:top w:val="none" w:sz="0" w:space="0" w:color="auto"/>
        <w:left w:val="none" w:sz="0" w:space="0" w:color="auto"/>
        <w:bottom w:val="none" w:sz="0" w:space="0" w:color="auto"/>
        <w:right w:val="none" w:sz="0" w:space="0" w:color="auto"/>
      </w:divBdr>
    </w:div>
    <w:div w:id="968902030">
      <w:marLeft w:val="0"/>
      <w:marRight w:val="0"/>
      <w:marTop w:val="0"/>
      <w:marBottom w:val="0"/>
      <w:divBdr>
        <w:top w:val="none" w:sz="0" w:space="0" w:color="auto"/>
        <w:left w:val="none" w:sz="0" w:space="0" w:color="auto"/>
        <w:bottom w:val="none" w:sz="0" w:space="0" w:color="auto"/>
        <w:right w:val="none" w:sz="0" w:space="0" w:color="auto"/>
      </w:divBdr>
      <w:divsChild>
        <w:div w:id="201476563">
          <w:marLeft w:val="0"/>
          <w:marRight w:val="0"/>
          <w:marTop w:val="0"/>
          <w:marBottom w:val="0"/>
          <w:divBdr>
            <w:top w:val="none" w:sz="0" w:space="0" w:color="auto"/>
            <w:left w:val="none" w:sz="0" w:space="0" w:color="auto"/>
            <w:bottom w:val="none" w:sz="0" w:space="0" w:color="auto"/>
            <w:right w:val="none" w:sz="0" w:space="0" w:color="auto"/>
          </w:divBdr>
          <w:divsChild>
            <w:div w:id="50136000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69170370">
      <w:marLeft w:val="0"/>
      <w:marRight w:val="0"/>
      <w:marTop w:val="0"/>
      <w:marBottom w:val="100"/>
      <w:divBdr>
        <w:top w:val="none" w:sz="0" w:space="0" w:color="auto"/>
        <w:left w:val="none" w:sz="0" w:space="0" w:color="auto"/>
        <w:bottom w:val="none" w:sz="0" w:space="0" w:color="auto"/>
        <w:right w:val="none" w:sz="0" w:space="0" w:color="auto"/>
      </w:divBdr>
    </w:div>
    <w:div w:id="969433912">
      <w:marLeft w:val="0"/>
      <w:marRight w:val="0"/>
      <w:marTop w:val="180"/>
      <w:marBottom w:val="0"/>
      <w:divBdr>
        <w:top w:val="none" w:sz="0" w:space="0" w:color="auto"/>
        <w:left w:val="none" w:sz="0" w:space="0" w:color="auto"/>
        <w:bottom w:val="none" w:sz="0" w:space="0" w:color="auto"/>
        <w:right w:val="none" w:sz="0" w:space="0" w:color="auto"/>
      </w:divBdr>
    </w:div>
    <w:div w:id="971208828">
      <w:marLeft w:val="0"/>
      <w:marRight w:val="0"/>
      <w:marTop w:val="100"/>
      <w:marBottom w:val="100"/>
      <w:divBdr>
        <w:top w:val="none" w:sz="0" w:space="0" w:color="auto"/>
        <w:left w:val="none" w:sz="0" w:space="0" w:color="auto"/>
        <w:bottom w:val="none" w:sz="0" w:space="0" w:color="auto"/>
        <w:right w:val="none" w:sz="0" w:space="0" w:color="auto"/>
      </w:divBdr>
    </w:div>
    <w:div w:id="971864239">
      <w:marLeft w:val="0"/>
      <w:marRight w:val="0"/>
      <w:marTop w:val="0"/>
      <w:marBottom w:val="0"/>
      <w:divBdr>
        <w:top w:val="none" w:sz="0" w:space="0" w:color="auto"/>
        <w:left w:val="none" w:sz="0" w:space="0" w:color="auto"/>
        <w:bottom w:val="none" w:sz="0" w:space="0" w:color="auto"/>
        <w:right w:val="none" w:sz="0" w:space="0" w:color="auto"/>
      </w:divBdr>
    </w:div>
    <w:div w:id="972440633">
      <w:marLeft w:val="0"/>
      <w:marRight w:val="0"/>
      <w:marTop w:val="100"/>
      <w:marBottom w:val="100"/>
      <w:divBdr>
        <w:top w:val="none" w:sz="0" w:space="0" w:color="auto"/>
        <w:left w:val="none" w:sz="0" w:space="0" w:color="auto"/>
        <w:bottom w:val="none" w:sz="0" w:space="0" w:color="auto"/>
        <w:right w:val="none" w:sz="0" w:space="0" w:color="auto"/>
      </w:divBdr>
    </w:div>
    <w:div w:id="972716523">
      <w:marLeft w:val="0"/>
      <w:marRight w:val="0"/>
      <w:marTop w:val="0"/>
      <w:marBottom w:val="0"/>
      <w:divBdr>
        <w:top w:val="none" w:sz="0" w:space="0" w:color="auto"/>
        <w:left w:val="none" w:sz="0" w:space="0" w:color="auto"/>
        <w:bottom w:val="none" w:sz="0" w:space="0" w:color="auto"/>
        <w:right w:val="none" w:sz="0" w:space="0" w:color="auto"/>
      </w:divBdr>
    </w:div>
    <w:div w:id="973095525">
      <w:marLeft w:val="0"/>
      <w:marRight w:val="0"/>
      <w:marTop w:val="180"/>
      <w:marBottom w:val="0"/>
      <w:divBdr>
        <w:top w:val="none" w:sz="0" w:space="0" w:color="auto"/>
        <w:left w:val="none" w:sz="0" w:space="0" w:color="auto"/>
        <w:bottom w:val="none" w:sz="0" w:space="0" w:color="auto"/>
        <w:right w:val="none" w:sz="0" w:space="0" w:color="auto"/>
      </w:divBdr>
    </w:div>
    <w:div w:id="973606390">
      <w:marLeft w:val="0"/>
      <w:marRight w:val="0"/>
      <w:marTop w:val="100"/>
      <w:marBottom w:val="0"/>
      <w:divBdr>
        <w:top w:val="none" w:sz="0" w:space="0" w:color="auto"/>
        <w:left w:val="none" w:sz="0" w:space="0" w:color="auto"/>
        <w:bottom w:val="none" w:sz="0" w:space="0" w:color="auto"/>
        <w:right w:val="none" w:sz="0" w:space="0" w:color="auto"/>
      </w:divBdr>
    </w:div>
    <w:div w:id="974945681">
      <w:marLeft w:val="0"/>
      <w:marRight w:val="0"/>
      <w:marTop w:val="180"/>
      <w:marBottom w:val="0"/>
      <w:divBdr>
        <w:top w:val="none" w:sz="0" w:space="0" w:color="auto"/>
        <w:left w:val="none" w:sz="0" w:space="0" w:color="auto"/>
        <w:bottom w:val="none" w:sz="0" w:space="0" w:color="auto"/>
        <w:right w:val="none" w:sz="0" w:space="0" w:color="auto"/>
      </w:divBdr>
    </w:div>
    <w:div w:id="975376114">
      <w:marLeft w:val="0"/>
      <w:marRight w:val="0"/>
      <w:marTop w:val="0"/>
      <w:marBottom w:val="0"/>
      <w:divBdr>
        <w:top w:val="none" w:sz="0" w:space="0" w:color="auto"/>
        <w:left w:val="none" w:sz="0" w:space="0" w:color="auto"/>
        <w:bottom w:val="none" w:sz="0" w:space="0" w:color="auto"/>
        <w:right w:val="none" w:sz="0" w:space="0" w:color="auto"/>
      </w:divBdr>
    </w:div>
    <w:div w:id="979387519">
      <w:marLeft w:val="0"/>
      <w:marRight w:val="0"/>
      <w:marTop w:val="100"/>
      <w:marBottom w:val="100"/>
      <w:divBdr>
        <w:top w:val="none" w:sz="0" w:space="0" w:color="auto"/>
        <w:left w:val="none" w:sz="0" w:space="0" w:color="auto"/>
        <w:bottom w:val="none" w:sz="0" w:space="0" w:color="auto"/>
        <w:right w:val="none" w:sz="0" w:space="0" w:color="auto"/>
      </w:divBdr>
    </w:div>
    <w:div w:id="979771784">
      <w:marLeft w:val="0"/>
      <w:marRight w:val="0"/>
      <w:marTop w:val="0"/>
      <w:marBottom w:val="100"/>
      <w:divBdr>
        <w:top w:val="none" w:sz="0" w:space="0" w:color="auto"/>
        <w:left w:val="none" w:sz="0" w:space="0" w:color="auto"/>
        <w:bottom w:val="none" w:sz="0" w:space="0" w:color="auto"/>
        <w:right w:val="none" w:sz="0" w:space="0" w:color="auto"/>
      </w:divBdr>
    </w:div>
    <w:div w:id="981688619">
      <w:marLeft w:val="0"/>
      <w:marRight w:val="0"/>
      <w:marTop w:val="180"/>
      <w:marBottom w:val="100"/>
      <w:divBdr>
        <w:top w:val="none" w:sz="0" w:space="0" w:color="auto"/>
        <w:left w:val="none" w:sz="0" w:space="0" w:color="auto"/>
        <w:bottom w:val="none" w:sz="0" w:space="0" w:color="auto"/>
        <w:right w:val="none" w:sz="0" w:space="0" w:color="auto"/>
      </w:divBdr>
    </w:div>
    <w:div w:id="982389769">
      <w:marLeft w:val="0"/>
      <w:marRight w:val="0"/>
      <w:marTop w:val="0"/>
      <w:marBottom w:val="0"/>
      <w:divBdr>
        <w:top w:val="none" w:sz="0" w:space="0" w:color="auto"/>
        <w:left w:val="none" w:sz="0" w:space="0" w:color="auto"/>
        <w:bottom w:val="none" w:sz="0" w:space="0" w:color="auto"/>
        <w:right w:val="none" w:sz="0" w:space="0" w:color="auto"/>
      </w:divBdr>
    </w:div>
    <w:div w:id="982781009">
      <w:marLeft w:val="0"/>
      <w:marRight w:val="0"/>
      <w:marTop w:val="0"/>
      <w:marBottom w:val="100"/>
      <w:divBdr>
        <w:top w:val="none" w:sz="0" w:space="0" w:color="auto"/>
        <w:left w:val="none" w:sz="0" w:space="0" w:color="auto"/>
        <w:bottom w:val="none" w:sz="0" w:space="0" w:color="auto"/>
        <w:right w:val="none" w:sz="0" w:space="0" w:color="auto"/>
      </w:divBdr>
    </w:div>
    <w:div w:id="986864246">
      <w:marLeft w:val="0"/>
      <w:marRight w:val="0"/>
      <w:marTop w:val="0"/>
      <w:marBottom w:val="0"/>
      <w:divBdr>
        <w:top w:val="none" w:sz="0" w:space="0" w:color="auto"/>
        <w:left w:val="none" w:sz="0" w:space="0" w:color="auto"/>
        <w:bottom w:val="none" w:sz="0" w:space="0" w:color="auto"/>
        <w:right w:val="none" w:sz="0" w:space="0" w:color="auto"/>
      </w:divBdr>
    </w:div>
    <w:div w:id="989987310">
      <w:marLeft w:val="0"/>
      <w:marRight w:val="0"/>
      <w:marTop w:val="0"/>
      <w:marBottom w:val="0"/>
      <w:divBdr>
        <w:top w:val="none" w:sz="0" w:space="0" w:color="auto"/>
        <w:left w:val="none" w:sz="0" w:space="0" w:color="auto"/>
        <w:bottom w:val="none" w:sz="0" w:space="0" w:color="auto"/>
        <w:right w:val="none" w:sz="0" w:space="0" w:color="auto"/>
      </w:divBdr>
    </w:div>
    <w:div w:id="990255835">
      <w:marLeft w:val="0"/>
      <w:marRight w:val="0"/>
      <w:marTop w:val="0"/>
      <w:marBottom w:val="100"/>
      <w:divBdr>
        <w:top w:val="none" w:sz="0" w:space="0" w:color="auto"/>
        <w:left w:val="none" w:sz="0" w:space="0" w:color="auto"/>
        <w:bottom w:val="none" w:sz="0" w:space="0" w:color="auto"/>
        <w:right w:val="none" w:sz="0" w:space="0" w:color="auto"/>
      </w:divBdr>
    </w:div>
    <w:div w:id="990989676">
      <w:marLeft w:val="0"/>
      <w:marRight w:val="0"/>
      <w:marTop w:val="0"/>
      <w:marBottom w:val="0"/>
      <w:divBdr>
        <w:top w:val="none" w:sz="0" w:space="0" w:color="auto"/>
        <w:left w:val="none" w:sz="0" w:space="0" w:color="auto"/>
        <w:bottom w:val="none" w:sz="0" w:space="0" w:color="auto"/>
        <w:right w:val="none" w:sz="0" w:space="0" w:color="auto"/>
      </w:divBdr>
    </w:div>
    <w:div w:id="991256371">
      <w:marLeft w:val="0"/>
      <w:marRight w:val="0"/>
      <w:marTop w:val="0"/>
      <w:marBottom w:val="0"/>
      <w:divBdr>
        <w:top w:val="none" w:sz="0" w:space="0" w:color="auto"/>
        <w:left w:val="none" w:sz="0" w:space="0" w:color="auto"/>
        <w:bottom w:val="none" w:sz="0" w:space="0" w:color="auto"/>
        <w:right w:val="none" w:sz="0" w:space="0" w:color="auto"/>
      </w:divBdr>
    </w:div>
    <w:div w:id="992101868">
      <w:marLeft w:val="0"/>
      <w:marRight w:val="0"/>
      <w:marTop w:val="0"/>
      <w:marBottom w:val="100"/>
      <w:divBdr>
        <w:top w:val="none" w:sz="0" w:space="0" w:color="auto"/>
        <w:left w:val="none" w:sz="0" w:space="0" w:color="auto"/>
        <w:bottom w:val="none" w:sz="0" w:space="0" w:color="auto"/>
        <w:right w:val="none" w:sz="0" w:space="0" w:color="auto"/>
      </w:divBdr>
    </w:div>
    <w:div w:id="997726736">
      <w:marLeft w:val="0"/>
      <w:marRight w:val="0"/>
      <w:marTop w:val="180"/>
      <w:marBottom w:val="100"/>
      <w:divBdr>
        <w:top w:val="none" w:sz="0" w:space="0" w:color="auto"/>
        <w:left w:val="none" w:sz="0" w:space="0" w:color="auto"/>
        <w:bottom w:val="none" w:sz="0" w:space="0" w:color="auto"/>
        <w:right w:val="none" w:sz="0" w:space="0" w:color="auto"/>
      </w:divBdr>
    </w:div>
    <w:div w:id="998078623">
      <w:marLeft w:val="0"/>
      <w:marRight w:val="0"/>
      <w:marTop w:val="0"/>
      <w:marBottom w:val="100"/>
      <w:divBdr>
        <w:top w:val="none" w:sz="0" w:space="0" w:color="auto"/>
        <w:left w:val="none" w:sz="0" w:space="0" w:color="auto"/>
        <w:bottom w:val="none" w:sz="0" w:space="0" w:color="auto"/>
        <w:right w:val="none" w:sz="0" w:space="0" w:color="auto"/>
      </w:divBdr>
    </w:div>
    <w:div w:id="998466194">
      <w:marLeft w:val="0"/>
      <w:marRight w:val="0"/>
      <w:marTop w:val="0"/>
      <w:marBottom w:val="0"/>
      <w:divBdr>
        <w:top w:val="none" w:sz="0" w:space="0" w:color="auto"/>
        <w:left w:val="none" w:sz="0" w:space="0" w:color="auto"/>
        <w:bottom w:val="none" w:sz="0" w:space="0" w:color="auto"/>
        <w:right w:val="none" w:sz="0" w:space="0" w:color="auto"/>
      </w:divBdr>
    </w:div>
    <w:div w:id="998922490">
      <w:marLeft w:val="0"/>
      <w:marRight w:val="0"/>
      <w:marTop w:val="180"/>
      <w:marBottom w:val="0"/>
      <w:divBdr>
        <w:top w:val="none" w:sz="0" w:space="0" w:color="auto"/>
        <w:left w:val="none" w:sz="0" w:space="0" w:color="auto"/>
        <w:bottom w:val="none" w:sz="0" w:space="0" w:color="auto"/>
        <w:right w:val="none" w:sz="0" w:space="0" w:color="auto"/>
      </w:divBdr>
    </w:div>
    <w:div w:id="999308375">
      <w:marLeft w:val="0"/>
      <w:marRight w:val="0"/>
      <w:marTop w:val="100"/>
      <w:marBottom w:val="100"/>
      <w:divBdr>
        <w:top w:val="none" w:sz="0" w:space="0" w:color="auto"/>
        <w:left w:val="none" w:sz="0" w:space="0" w:color="auto"/>
        <w:bottom w:val="none" w:sz="0" w:space="0" w:color="auto"/>
        <w:right w:val="none" w:sz="0" w:space="0" w:color="auto"/>
      </w:divBdr>
    </w:div>
    <w:div w:id="999579965">
      <w:marLeft w:val="0"/>
      <w:marRight w:val="0"/>
      <w:marTop w:val="0"/>
      <w:marBottom w:val="0"/>
      <w:divBdr>
        <w:top w:val="none" w:sz="0" w:space="0" w:color="auto"/>
        <w:left w:val="none" w:sz="0" w:space="0" w:color="auto"/>
        <w:bottom w:val="none" w:sz="0" w:space="0" w:color="auto"/>
        <w:right w:val="none" w:sz="0" w:space="0" w:color="auto"/>
      </w:divBdr>
      <w:divsChild>
        <w:div w:id="1717971038">
          <w:marLeft w:val="0"/>
          <w:marRight w:val="0"/>
          <w:marTop w:val="0"/>
          <w:marBottom w:val="0"/>
          <w:divBdr>
            <w:top w:val="none" w:sz="0" w:space="0" w:color="auto"/>
            <w:left w:val="none" w:sz="0" w:space="0" w:color="auto"/>
            <w:bottom w:val="none" w:sz="0" w:space="0" w:color="auto"/>
            <w:right w:val="none" w:sz="0" w:space="0" w:color="auto"/>
          </w:divBdr>
          <w:divsChild>
            <w:div w:id="112835071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01153488">
      <w:marLeft w:val="0"/>
      <w:marRight w:val="0"/>
      <w:marTop w:val="180"/>
      <w:marBottom w:val="0"/>
      <w:divBdr>
        <w:top w:val="none" w:sz="0" w:space="0" w:color="auto"/>
        <w:left w:val="none" w:sz="0" w:space="0" w:color="auto"/>
        <w:bottom w:val="none" w:sz="0" w:space="0" w:color="auto"/>
        <w:right w:val="none" w:sz="0" w:space="0" w:color="auto"/>
      </w:divBdr>
    </w:div>
    <w:div w:id="1002127140">
      <w:marLeft w:val="0"/>
      <w:marRight w:val="0"/>
      <w:marTop w:val="100"/>
      <w:marBottom w:val="100"/>
      <w:divBdr>
        <w:top w:val="none" w:sz="0" w:space="0" w:color="auto"/>
        <w:left w:val="none" w:sz="0" w:space="0" w:color="auto"/>
        <w:bottom w:val="none" w:sz="0" w:space="0" w:color="auto"/>
        <w:right w:val="none" w:sz="0" w:space="0" w:color="auto"/>
      </w:divBdr>
    </w:div>
    <w:div w:id="1004628575">
      <w:marLeft w:val="0"/>
      <w:marRight w:val="0"/>
      <w:marTop w:val="180"/>
      <w:marBottom w:val="0"/>
      <w:divBdr>
        <w:top w:val="none" w:sz="0" w:space="0" w:color="auto"/>
        <w:left w:val="none" w:sz="0" w:space="0" w:color="auto"/>
        <w:bottom w:val="none" w:sz="0" w:space="0" w:color="auto"/>
        <w:right w:val="none" w:sz="0" w:space="0" w:color="auto"/>
      </w:divBdr>
    </w:div>
    <w:div w:id="1009065480">
      <w:marLeft w:val="0"/>
      <w:marRight w:val="0"/>
      <w:marTop w:val="0"/>
      <w:marBottom w:val="100"/>
      <w:divBdr>
        <w:top w:val="none" w:sz="0" w:space="0" w:color="auto"/>
        <w:left w:val="none" w:sz="0" w:space="0" w:color="auto"/>
        <w:bottom w:val="none" w:sz="0" w:space="0" w:color="auto"/>
        <w:right w:val="none" w:sz="0" w:space="0" w:color="auto"/>
      </w:divBdr>
    </w:div>
    <w:div w:id="1009602520">
      <w:marLeft w:val="0"/>
      <w:marRight w:val="0"/>
      <w:marTop w:val="80"/>
      <w:marBottom w:val="100"/>
      <w:divBdr>
        <w:top w:val="none" w:sz="0" w:space="0" w:color="auto"/>
        <w:left w:val="none" w:sz="0" w:space="0" w:color="auto"/>
        <w:bottom w:val="none" w:sz="0" w:space="0" w:color="auto"/>
        <w:right w:val="none" w:sz="0" w:space="0" w:color="auto"/>
      </w:divBdr>
    </w:div>
    <w:div w:id="1010570463">
      <w:marLeft w:val="0"/>
      <w:marRight w:val="0"/>
      <w:marTop w:val="0"/>
      <w:marBottom w:val="100"/>
      <w:divBdr>
        <w:top w:val="none" w:sz="0" w:space="0" w:color="auto"/>
        <w:left w:val="none" w:sz="0" w:space="0" w:color="auto"/>
        <w:bottom w:val="none" w:sz="0" w:space="0" w:color="auto"/>
        <w:right w:val="none" w:sz="0" w:space="0" w:color="auto"/>
      </w:divBdr>
    </w:div>
    <w:div w:id="1010840675">
      <w:marLeft w:val="0"/>
      <w:marRight w:val="0"/>
      <w:marTop w:val="0"/>
      <w:marBottom w:val="100"/>
      <w:divBdr>
        <w:top w:val="none" w:sz="0" w:space="0" w:color="auto"/>
        <w:left w:val="none" w:sz="0" w:space="0" w:color="auto"/>
        <w:bottom w:val="none" w:sz="0" w:space="0" w:color="auto"/>
        <w:right w:val="none" w:sz="0" w:space="0" w:color="auto"/>
      </w:divBdr>
    </w:div>
    <w:div w:id="1012143557">
      <w:marLeft w:val="0"/>
      <w:marRight w:val="0"/>
      <w:marTop w:val="100"/>
      <w:marBottom w:val="0"/>
      <w:divBdr>
        <w:top w:val="none" w:sz="0" w:space="0" w:color="auto"/>
        <w:left w:val="none" w:sz="0" w:space="0" w:color="auto"/>
        <w:bottom w:val="none" w:sz="0" w:space="0" w:color="auto"/>
        <w:right w:val="none" w:sz="0" w:space="0" w:color="auto"/>
      </w:divBdr>
    </w:div>
    <w:div w:id="1014069232">
      <w:marLeft w:val="0"/>
      <w:marRight w:val="0"/>
      <w:marTop w:val="100"/>
      <w:marBottom w:val="100"/>
      <w:divBdr>
        <w:top w:val="none" w:sz="0" w:space="0" w:color="auto"/>
        <w:left w:val="none" w:sz="0" w:space="0" w:color="auto"/>
        <w:bottom w:val="none" w:sz="0" w:space="0" w:color="auto"/>
        <w:right w:val="none" w:sz="0" w:space="0" w:color="auto"/>
      </w:divBdr>
    </w:div>
    <w:div w:id="1015302685">
      <w:marLeft w:val="0"/>
      <w:marRight w:val="0"/>
      <w:marTop w:val="0"/>
      <w:marBottom w:val="100"/>
      <w:divBdr>
        <w:top w:val="none" w:sz="0" w:space="0" w:color="auto"/>
        <w:left w:val="none" w:sz="0" w:space="0" w:color="auto"/>
        <w:bottom w:val="none" w:sz="0" w:space="0" w:color="auto"/>
        <w:right w:val="none" w:sz="0" w:space="0" w:color="auto"/>
      </w:divBdr>
    </w:div>
    <w:div w:id="1015421039">
      <w:marLeft w:val="0"/>
      <w:marRight w:val="0"/>
      <w:marTop w:val="0"/>
      <w:marBottom w:val="100"/>
      <w:divBdr>
        <w:top w:val="none" w:sz="0" w:space="0" w:color="auto"/>
        <w:left w:val="none" w:sz="0" w:space="0" w:color="auto"/>
        <w:bottom w:val="none" w:sz="0" w:space="0" w:color="auto"/>
        <w:right w:val="none" w:sz="0" w:space="0" w:color="auto"/>
      </w:divBdr>
    </w:div>
    <w:div w:id="1019282580">
      <w:marLeft w:val="0"/>
      <w:marRight w:val="0"/>
      <w:marTop w:val="0"/>
      <w:marBottom w:val="100"/>
      <w:divBdr>
        <w:top w:val="none" w:sz="0" w:space="0" w:color="auto"/>
        <w:left w:val="none" w:sz="0" w:space="0" w:color="auto"/>
        <w:bottom w:val="none" w:sz="0" w:space="0" w:color="auto"/>
        <w:right w:val="none" w:sz="0" w:space="0" w:color="auto"/>
      </w:divBdr>
    </w:div>
    <w:div w:id="1021203412">
      <w:marLeft w:val="0"/>
      <w:marRight w:val="0"/>
      <w:marTop w:val="100"/>
      <w:marBottom w:val="100"/>
      <w:divBdr>
        <w:top w:val="none" w:sz="0" w:space="0" w:color="auto"/>
        <w:left w:val="none" w:sz="0" w:space="0" w:color="auto"/>
        <w:bottom w:val="none" w:sz="0" w:space="0" w:color="auto"/>
        <w:right w:val="none" w:sz="0" w:space="0" w:color="auto"/>
      </w:divBdr>
    </w:div>
    <w:div w:id="1022901502">
      <w:marLeft w:val="0"/>
      <w:marRight w:val="0"/>
      <w:marTop w:val="180"/>
      <w:marBottom w:val="0"/>
      <w:divBdr>
        <w:top w:val="none" w:sz="0" w:space="0" w:color="auto"/>
        <w:left w:val="none" w:sz="0" w:space="0" w:color="auto"/>
        <w:bottom w:val="none" w:sz="0" w:space="0" w:color="auto"/>
        <w:right w:val="none" w:sz="0" w:space="0" w:color="auto"/>
      </w:divBdr>
    </w:div>
    <w:div w:id="1022974693">
      <w:marLeft w:val="0"/>
      <w:marRight w:val="0"/>
      <w:marTop w:val="180"/>
      <w:marBottom w:val="100"/>
      <w:divBdr>
        <w:top w:val="none" w:sz="0" w:space="0" w:color="auto"/>
        <w:left w:val="none" w:sz="0" w:space="0" w:color="auto"/>
        <w:bottom w:val="none" w:sz="0" w:space="0" w:color="auto"/>
        <w:right w:val="none" w:sz="0" w:space="0" w:color="auto"/>
      </w:divBdr>
    </w:div>
    <w:div w:id="1024209016">
      <w:marLeft w:val="0"/>
      <w:marRight w:val="0"/>
      <w:marTop w:val="0"/>
      <w:marBottom w:val="0"/>
      <w:divBdr>
        <w:top w:val="none" w:sz="0" w:space="0" w:color="auto"/>
        <w:left w:val="none" w:sz="0" w:space="0" w:color="auto"/>
        <w:bottom w:val="none" w:sz="0" w:space="0" w:color="auto"/>
        <w:right w:val="none" w:sz="0" w:space="0" w:color="auto"/>
      </w:divBdr>
    </w:div>
    <w:div w:id="1025254522">
      <w:marLeft w:val="0"/>
      <w:marRight w:val="0"/>
      <w:marTop w:val="0"/>
      <w:marBottom w:val="0"/>
      <w:divBdr>
        <w:top w:val="none" w:sz="0" w:space="0" w:color="auto"/>
        <w:left w:val="none" w:sz="0" w:space="0" w:color="auto"/>
        <w:bottom w:val="none" w:sz="0" w:space="0" w:color="auto"/>
        <w:right w:val="none" w:sz="0" w:space="0" w:color="auto"/>
      </w:divBdr>
      <w:divsChild>
        <w:div w:id="1048341717">
          <w:marLeft w:val="0"/>
          <w:marRight w:val="0"/>
          <w:marTop w:val="0"/>
          <w:marBottom w:val="100"/>
          <w:divBdr>
            <w:top w:val="none" w:sz="0" w:space="0" w:color="auto"/>
            <w:left w:val="none" w:sz="0" w:space="0" w:color="auto"/>
            <w:bottom w:val="none" w:sz="0" w:space="0" w:color="auto"/>
            <w:right w:val="none" w:sz="0" w:space="0" w:color="auto"/>
          </w:divBdr>
        </w:div>
      </w:divsChild>
    </w:div>
    <w:div w:id="1026373603">
      <w:marLeft w:val="0"/>
      <w:marRight w:val="0"/>
      <w:marTop w:val="100"/>
      <w:marBottom w:val="100"/>
      <w:divBdr>
        <w:top w:val="none" w:sz="0" w:space="0" w:color="auto"/>
        <w:left w:val="none" w:sz="0" w:space="0" w:color="auto"/>
        <w:bottom w:val="none" w:sz="0" w:space="0" w:color="auto"/>
        <w:right w:val="none" w:sz="0" w:space="0" w:color="auto"/>
      </w:divBdr>
    </w:div>
    <w:div w:id="1027751375">
      <w:marLeft w:val="0"/>
      <w:marRight w:val="0"/>
      <w:marTop w:val="0"/>
      <w:marBottom w:val="100"/>
      <w:divBdr>
        <w:top w:val="none" w:sz="0" w:space="0" w:color="auto"/>
        <w:left w:val="none" w:sz="0" w:space="0" w:color="auto"/>
        <w:bottom w:val="none" w:sz="0" w:space="0" w:color="auto"/>
        <w:right w:val="none" w:sz="0" w:space="0" w:color="auto"/>
      </w:divBdr>
    </w:div>
    <w:div w:id="1028335382">
      <w:marLeft w:val="0"/>
      <w:marRight w:val="0"/>
      <w:marTop w:val="0"/>
      <w:marBottom w:val="0"/>
      <w:divBdr>
        <w:top w:val="none" w:sz="0" w:space="0" w:color="auto"/>
        <w:left w:val="none" w:sz="0" w:space="0" w:color="auto"/>
        <w:bottom w:val="none" w:sz="0" w:space="0" w:color="auto"/>
        <w:right w:val="none" w:sz="0" w:space="0" w:color="auto"/>
      </w:divBdr>
    </w:div>
    <w:div w:id="1029530944">
      <w:marLeft w:val="0"/>
      <w:marRight w:val="0"/>
      <w:marTop w:val="100"/>
      <w:marBottom w:val="100"/>
      <w:divBdr>
        <w:top w:val="none" w:sz="0" w:space="0" w:color="auto"/>
        <w:left w:val="none" w:sz="0" w:space="0" w:color="auto"/>
        <w:bottom w:val="none" w:sz="0" w:space="0" w:color="auto"/>
        <w:right w:val="none" w:sz="0" w:space="0" w:color="auto"/>
      </w:divBdr>
    </w:div>
    <w:div w:id="1031372475">
      <w:marLeft w:val="0"/>
      <w:marRight w:val="0"/>
      <w:marTop w:val="0"/>
      <w:marBottom w:val="0"/>
      <w:divBdr>
        <w:top w:val="none" w:sz="0" w:space="0" w:color="auto"/>
        <w:left w:val="none" w:sz="0" w:space="0" w:color="auto"/>
        <w:bottom w:val="none" w:sz="0" w:space="0" w:color="auto"/>
        <w:right w:val="none" w:sz="0" w:space="0" w:color="auto"/>
      </w:divBdr>
    </w:div>
    <w:div w:id="1031418959">
      <w:marLeft w:val="0"/>
      <w:marRight w:val="0"/>
      <w:marTop w:val="100"/>
      <w:marBottom w:val="100"/>
      <w:divBdr>
        <w:top w:val="none" w:sz="0" w:space="0" w:color="auto"/>
        <w:left w:val="none" w:sz="0" w:space="0" w:color="auto"/>
        <w:bottom w:val="none" w:sz="0" w:space="0" w:color="auto"/>
        <w:right w:val="none" w:sz="0" w:space="0" w:color="auto"/>
      </w:divBdr>
    </w:div>
    <w:div w:id="1033652655">
      <w:marLeft w:val="0"/>
      <w:marRight w:val="0"/>
      <w:marTop w:val="180"/>
      <w:marBottom w:val="0"/>
      <w:divBdr>
        <w:top w:val="none" w:sz="0" w:space="0" w:color="auto"/>
        <w:left w:val="none" w:sz="0" w:space="0" w:color="auto"/>
        <w:bottom w:val="none" w:sz="0" w:space="0" w:color="auto"/>
        <w:right w:val="none" w:sz="0" w:space="0" w:color="auto"/>
      </w:divBdr>
    </w:div>
    <w:div w:id="1034160372">
      <w:marLeft w:val="0"/>
      <w:marRight w:val="0"/>
      <w:marTop w:val="100"/>
      <w:marBottom w:val="0"/>
      <w:divBdr>
        <w:top w:val="none" w:sz="0" w:space="0" w:color="auto"/>
        <w:left w:val="none" w:sz="0" w:space="0" w:color="auto"/>
        <w:bottom w:val="none" w:sz="0" w:space="0" w:color="auto"/>
        <w:right w:val="none" w:sz="0" w:space="0" w:color="auto"/>
      </w:divBdr>
    </w:div>
    <w:div w:id="1034423147">
      <w:marLeft w:val="0"/>
      <w:marRight w:val="0"/>
      <w:marTop w:val="0"/>
      <w:marBottom w:val="0"/>
      <w:divBdr>
        <w:top w:val="none" w:sz="0" w:space="0" w:color="auto"/>
        <w:left w:val="none" w:sz="0" w:space="0" w:color="auto"/>
        <w:bottom w:val="none" w:sz="0" w:space="0" w:color="auto"/>
        <w:right w:val="none" w:sz="0" w:space="0" w:color="auto"/>
      </w:divBdr>
    </w:div>
    <w:div w:id="1035427166">
      <w:marLeft w:val="0"/>
      <w:marRight w:val="0"/>
      <w:marTop w:val="100"/>
      <w:marBottom w:val="100"/>
      <w:divBdr>
        <w:top w:val="none" w:sz="0" w:space="0" w:color="auto"/>
        <w:left w:val="none" w:sz="0" w:space="0" w:color="auto"/>
        <w:bottom w:val="none" w:sz="0" w:space="0" w:color="auto"/>
        <w:right w:val="none" w:sz="0" w:space="0" w:color="auto"/>
      </w:divBdr>
    </w:div>
    <w:div w:id="1037001815">
      <w:marLeft w:val="0"/>
      <w:marRight w:val="0"/>
      <w:marTop w:val="0"/>
      <w:marBottom w:val="100"/>
      <w:divBdr>
        <w:top w:val="none" w:sz="0" w:space="0" w:color="auto"/>
        <w:left w:val="none" w:sz="0" w:space="0" w:color="auto"/>
        <w:bottom w:val="none" w:sz="0" w:space="0" w:color="auto"/>
        <w:right w:val="none" w:sz="0" w:space="0" w:color="auto"/>
      </w:divBdr>
    </w:div>
    <w:div w:id="1037505064">
      <w:marLeft w:val="0"/>
      <w:marRight w:val="0"/>
      <w:marTop w:val="0"/>
      <w:marBottom w:val="100"/>
      <w:divBdr>
        <w:top w:val="none" w:sz="0" w:space="0" w:color="auto"/>
        <w:left w:val="none" w:sz="0" w:space="0" w:color="auto"/>
        <w:bottom w:val="none" w:sz="0" w:space="0" w:color="auto"/>
        <w:right w:val="none" w:sz="0" w:space="0" w:color="auto"/>
      </w:divBdr>
    </w:div>
    <w:div w:id="1038167256">
      <w:marLeft w:val="0"/>
      <w:marRight w:val="0"/>
      <w:marTop w:val="0"/>
      <w:marBottom w:val="0"/>
      <w:divBdr>
        <w:top w:val="none" w:sz="0" w:space="0" w:color="auto"/>
        <w:left w:val="none" w:sz="0" w:space="0" w:color="auto"/>
        <w:bottom w:val="none" w:sz="0" w:space="0" w:color="auto"/>
        <w:right w:val="none" w:sz="0" w:space="0" w:color="auto"/>
      </w:divBdr>
    </w:div>
    <w:div w:id="1038551439">
      <w:marLeft w:val="0"/>
      <w:marRight w:val="0"/>
      <w:marTop w:val="0"/>
      <w:marBottom w:val="100"/>
      <w:divBdr>
        <w:top w:val="none" w:sz="0" w:space="0" w:color="auto"/>
        <w:left w:val="none" w:sz="0" w:space="0" w:color="auto"/>
        <w:bottom w:val="none" w:sz="0" w:space="0" w:color="auto"/>
        <w:right w:val="none" w:sz="0" w:space="0" w:color="auto"/>
      </w:divBdr>
    </w:div>
    <w:div w:id="1040057654">
      <w:marLeft w:val="0"/>
      <w:marRight w:val="0"/>
      <w:marTop w:val="0"/>
      <w:marBottom w:val="100"/>
      <w:divBdr>
        <w:top w:val="none" w:sz="0" w:space="0" w:color="auto"/>
        <w:left w:val="none" w:sz="0" w:space="0" w:color="auto"/>
        <w:bottom w:val="none" w:sz="0" w:space="0" w:color="auto"/>
        <w:right w:val="none" w:sz="0" w:space="0" w:color="auto"/>
      </w:divBdr>
    </w:div>
    <w:div w:id="1042510488">
      <w:marLeft w:val="0"/>
      <w:marRight w:val="0"/>
      <w:marTop w:val="80"/>
      <w:marBottom w:val="100"/>
      <w:divBdr>
        <w:top w:val="none" w:sz="0" w:space="0" w:color="auto"/>
        <w:left w:val="none" w:sz="0" w:space="0" w:color="auto"/>
        <w:bottom w:val="none" w:sz="0" w:space="0" w:color="auto"/>
        <w:right w:val="none" w:sz="0" w:space="0" w:color="auto"/>
      </w:divBdr>
    </w:div>
    <w:div w:id="1043141478">
      <w:marLeft w:val="0"/>
      <w:marRight w:val="0"/>
      <w:marTop w:val="100"/>
      <w:marBottom w:val="100"/>
      <w:divBdr>
        <w:top w:val="none" w:sz="0" w:space="0" w:color="auto"/>
        <w:left w:val="none" w:sz="0" w:space="0" w:color="auto"/>
        <w:bottom w:val="none" w:sz="0" w:space="0" w:color="auto"/>
        <w:right w:val="none" w:sz="0" w:space="0" w:color="auto"/>
      </w:divBdr>
    </w:div>
    <w:div w:id="1043677917">
      <w:marLeft w:val="0"/>
      <w:marRight w:val="0"/>
      <w:marTop w:val="100"/>
      <w:marBottom w:val="100"/>
      <w:divBdr>
        <w:top w:val="none" w:sz="0" w:space="0" w:color="auto"/>
        <w:left w:val="none" w:sz="0" w:space="0" w:color="auto"/>
        <w:bottom w:val="none" w:sz="0" w:space="0" w:color="auto"/>
        <w:right w:val="none" w:sz="0" w:space="0" w:color="auto"/>
      </w:divBdr>
    </w:div>
    <w:div w:id="1043866884">
      <w:marLeft w:val="0"/>
      <w:marRight w:val="0"/>
      <w:marTop w:val="0"/>
      <w:marBottom w:val="0"/>
      <w:divBdr>
        <w:top w:val="none" w:sz="0" w:space="0" w:color="auto"/>
        <w:left w:val="none" w:sz="0" w:space="0" w:color="auto"/>
        <w:bottom w:val="none" w:sz="0" w:space="0" w:color="auto"/>
        <w:right w:val="none" w:sz="0" w:space="0" w:color="auto"/>
      </w:divBdr>
    </w:div>
    <w:div w:id="1044522255">
      <w:marLeft w:val="0"/>
      <w:marRight w:val="0"/>
      <w:marTop w:val="180"/>
      <w:marBottom w:val="100"/>
      <w:divBdr>
        <w:top w:val="none" w:sz="0" w:space="0" w:color="auto"/>
        <w:left w:val="none" w:sz="0" w:space="0" w:color="auto"/>
        <w:bottom w:val="none" w:sz="0" w:space="0" w:color="auto"/>
        <w:right w:val="none" w:sz="0" w:space="0" w:color="auto"/>
      </w:divBdr>
    </w:div>
    <w:div w:id="1047949736">
      <w:marLeft w:val="0"/>
      <w:marRight w:val="0"/>
      <w:marTop w:val="0"/>
      <w:marBottom w:val="0"/>
      <w:divBdr>
        <w:top w:val="none" w:sz="0" w:space="0" w:color="auto"/>
        <w:left w:val="none" w:sz="0" w:space="0" w:color="auto"/>
        <w:bottom w:val="none" w:sz="0" w:space="0" w:color="auto"/>
        <w:right w:val="none" w:sz="0" w:space="0" w:color="auto"/>
      </w:divBdr>
      <w:divsChild>
        <w:div w:id="401565">
          <w:marLeft w:val="0"/>
          <w:marRight w:val="0"/>
          <w:marTop w:val="0"/>
          <w:marBottom w:val="0"/>
          <w:divBdr>
            <w:top w:val="none" w:sz="0" w:space="0" w:color="auto"/>
            <w:left w:val="none" w:sz="0" w:space="0" w:color="auto"/>
            <w:bottom w:val="none" w:sz="0" w:space="0" w:color="auto"/>
            <w:right w:val="none" w:sz="0" w:space="0" w:color="auto"/>
          </w:divBdr>
          <w:divsChild>
            <w:div w:id="103273027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48720715">
      <w:marLeft w:val="0"/>
      <w:marRight w:val="0"/>
      <w:marTop w:val="180"/>
      <w:marBottom w:val="0"/>
      <w:divBdr>
        <w:top w:val="none" w:sz="0" w:space="0" w:color="auto"/>
        <w:left w:val="none" w:sz="0" w:space="0" w:color="auto"/>
        <w:bottom w:val="none" w:sz="0" w:space="0" w:color="auto"/>
        <w:right w:val="none" w:sz="0" w:space="0" w:color="auto"/>
      </w:divBdr>
    </w:div>
    <w:div w:id="1051536106">
      <w:marLeft w:val="0"/>
      <w:marRight w:val="0"/>
      <w:marTop w:val="0"/>
      <w:marBottom w:val="0"/>
      <w:divBdr>
        <w:top w:val="none" w:sz="0" w:space="0" w:color="auto"/>
        <w:left w:val="none" w:sz="0" w:space="0" w:color="auto"/>
        <w:bottom w:val="none" w:sz="0" w:space="0" w:color="auto"/>
        <w:right w:val="none" w:sz="0" w:space="0" w:color="auto"/>
      </w:divBdr>
    </w:div>
    <w:div w:id="1053846200">
      <w:marLeft w:val="0"/>
      <w:marRight w:val="0"/>
      <w:marTop w:val="0"/>
      <w:marBottom w:val="0"/>
      <w:divBdr>
        <w:top w:val="none" w:sz="0" w:space="0" w:color="auto"/>
        <w:left w:val="none" w:sz="0" w:space="0" w:color="auto"/>
        <w:bottom w:val="none" w:sz="0" w:space="0" w:color="auto"/>
        <w:right w:val="none" w:sz="0" w:space="0" w:color="auto"/>
      </w:divBdr>
    </w:div>
    <w:div w:id="1054086511">
      <w:marLeft w:val="0"/>
      <w:marRight w:val="0"/>
      <w:marTop w:val="100"/>
      <w:marBottom w:val="100"/>
      <w:divBdr>
        <w:top w:val="none" w:sz="0" w:space="0" w:color="auto"/>
        <w:left w:val="none" w:sz="0" w:space="0" w:color="auto"/>
        <w:bottom w:val="none" w:sz="0" w:space="0" w:color="auto"/>
        <w:right w:val="none" w:sz="0" w:space="0" w:color="auto"/>
      </w:divBdr>
      <w:divsChild>
        <w:div w:id="1971008466">
          <w:marLeft w:val="0"/>
          <w:marRight w:val="0"/>
          <w:marTop w:val="0"/>
          <w:marBottom w:val="0"/>
          <w:divBdr>
            <w:top w:val="none" w:sz="0" w:space="0" w:color="auto"/>
            <w:left w:val="none" w:sz="0" w:space="0" w:color="auto"/>
            <w:bottom w:val="none" w:sz="0" w:space="0" w:color="auto"/>
            <w:right w:val="none" w:sz="0" w:space="0" w:color="auto"/>
          </w:divBdr>
        </w:div>
        <w:div w:id="543255919">
          <w:marLeft w:val="0"/>
          <w:marRight w:val="0"/>
          <w:marTop w:val="0"/>
          <w:marBottom w:val="0"/>
          <w:divBdr>
            <w:top w:val="none" w:sz="0" w:space="0" w:color="auto"/>
            <w:left w:val="none" w:sz="0" w:space="0" w:color="auto"/>
            <w:bottom w:val="none" w:sz="0" w:space="0" w:color="auto"/>
            <w:right w:val="none" w:sz="0" w:space="0" w:color="auto"/>
          </w:divBdr>
        </w:div>
        <w:div w:id="1849981812">
          <w:marLeft w:val="0"/>
          <w:marRight w:val="0"/>
          <w:marTop w:val="0"/>
          <w:marBottom w:val="0"/>
          <w:divBdr>
            <w:top w:val="none" w:sz="0" w:space="0" w:color="auto"/>
            <w:left w:val="none" w:sz="0" w:space="0" w:color="auto"/>
            <w:bottom w:val="none" w:sz="0" w:space="0" w:color="auto"/>
            <w:right w:val="none" w:sz="0" w:space="0" w:color="auto"/>
          </w:divBdr>
        </w:div>
        <w:div w:id="1275403621">
          <w:marLeft w:val="0"/>
          <w:marRight w:val="0"/>
          <w:marTop w:val="0"/>
          <w:marBottom w:val="0"/>
          <w:divBdr>
            <w:top w:val="none" w:sz="0" w:space="0" w:color="auto"/>
            <w:left w:val="none" w:sz="0" w:space="0" w:color="auto"/>
            <w:bottom w:val="none" w:sz="0" w:space="0" w:color="auto"/>
            <w:right w:val="none" w:sz="0" w:space="0" w:color="auto"/>
          </w:divBdr>
        </w:div>
        <w:div w:id="845747648">
          <w:marLeft w:val="0"/>
          <w:marRight w:val="0"/>
          <w:marTop w:val="0"/>
          <w:marBottom w:val="0"/>
          <w:divBdr>
            <w:top w:val="none" w:sz="0" w:space="0" w:color="auto"/>
            <w:left w:val="none" w:sz="0" w:space="0" w:color="auto"/>
            <w:bottom w:val="none" w:sz="0" w:space="0" w:color="auto"/>
            <w:right w:val="none" w:sz="0" w:space="0" w:color="auto"/>
          </w:divBdr>
        </w:div>
        <w:div w:id="1932274993">
          <w:marLeft w:val="0"/>
          <w:marRight w:val="0"/>
          <w:marTop w:val="0"/>
          <w:marBottom w:val="0"/>
          <w:divBdr>
            <w:top w:val="none" w:sz="0" w:space="0" w:color="auto"/>
            <w:left w:val="none" w:sz="0" w:space="0" w:color="auto"/>
            <w:bottom w:val="none" w:sz="0" w:space="0" w:color="auto"/>
            <w:right w:val="none" w:sz="0" w:space="0" w:color="auto"/>
          </w:divBdr>
        </w:div>
        <w:div w:id="1297488452">
          <w:marLeft w:val="0"/>
          <w:marRight w:val="0"/>
          <w:marTop w:val="0"/>
          <w:marBottom w:val="0"/>
          <w:divBdr>
            <w:top w:val="none" w:sz="0" w:space="0" w:color="auto"/>
            <w:left w:val="none" w:sz="0" w:space="0" w:color="auto"/>
            <w:bottom w:val="none" w:sz="0" w:space="0" w:color="auto"/>
            <w:right w:val="none" w:sz="0" w:space="0" w:color="auto"/>
          </w:divBdr>
        </w:div>
        <w:div w:id="818032689">
          <w:marLeft w:val="0"/>
          <w:marRight w:val="0"/>
          <w:marTop w:val="0"/>
          <w:marBottom w:val="0"/>
          <w:divBdr>
            <w:top w:val="none" w:sz="0" w:space="0" w:color="auto"/>
            <w:left w:val="none" w:sz="0" w:space="0" w:color="auto"/>
            <w:bottom w:val="none" w:sz="0" w:space="0" w:color="auto"/>
            <w:right w:val="none" w:sz="0" w:space="0" w:color="auto"/>
          </w:divBdr>
        </w:div>
        <w:div w:id="1278483671">
          <w:marLeft w:val="0"/>
          <w:marRight w:val="0"/>
          <w:marTop w:val="0"/>
          <w:marBottom w:val="0"/>
          <w:divBdr>
            <w:top w:val="none" w:sz="0" w:space="0" w:color="auto"/>
            <w:left w:val="none" w:sz="0" w:space="0" w:color="auto"/>
            <w:bottom w:val="none" w:sz="0" w:space="0" w:color="auto"/>
            <w:right w:val="none" w:sz="0" w:space="0" w:color="auto"/>
          </w:divBdr>
        </w:div>
      </w:divsChild>
    </w:div>
    <w:div w:id="1055079078">
      <w:marLeft w:val="0"/>
      <w:marRight w:val="0"/>
      <w:marTop w:val="80"/>
      <w:marBottom w:val="100"/>
      <w:divBdr>
        <w:top w:val="none" w:sz="0" w:space="0" w:color="auto"/>
        <w:left w:val="none" w:sz="0" w:space="0" w:color="auto"/>
        <w:bottom w:val="none" w:sz="0" w:space="0" w:color="auto"/>
        <w:right w:val="none" w:sz="0" w:space="0" w:color="auto"/>
      </w:divBdr>
    </w:div>
    <w:div w:id="1055929777">
      <w:marLeft w:val="0"/>
      <w:marRight w:val="0"/>
      <w:marTop w:val="180"/>
      <w:marBottom w:val="0"/>
      <w:divBdr>
        <w:top w:val="none" w:sz="0" w:space="0" w:color="auto"/>
        <w:left w:val="none" w:sz="0" w:space="0" w:color="auto"/>
        <w:bottom w:val="none" w:sz="0" w:space="0" w:color="auto"/>
        <w:right w:val="none" w:sz="0" w:space="0" w:color="auto"/>
      </w:divBdr>
    </w:div>
    <w:div w:id="1057633730">
      <w:marLeft w:val="0"/>
      <w:marRight w:val="0"/>
      <w:marTop w:val="0"/>
      <w:marBottom w:val="0"/>
      <w:divBdr>
        <w:top w:val="none" w:sz="0" w:space="0" w:color="auto"/>
        <w:left w:val="none" w:sz="0" w:space="0" w:color="auto"/>
        <w:bottom w:val="none" w:sz="0" w:space="0" w:color="auto"/>
        <w:right w:val="none" w:sz="0" w:space="0" w:color="auto"/>
      </w:divBdr>
    </w:div>
    <w:div w:id="1059205977">
      <w:marLeft w:val="0"/>
      <w:marRight w:val="0"/>
      <w:marTop w:val="180"/>
      <w:marBottom w:val="0"/>
      <w:divBdr>
        <w:top w:val="none" w:sz="0" w:space="0" w:color="auto"/>
        <w:left w:val="none" w:sz="0" w:space="0" w:color="auto"/>
        <w:bottom w:val="none" w:sz="0" w:space="0" w:color="auto"/>
        <w:right w:val="none" w:sz="0" w:space="0" w:color="auto"/>
      </w:divBdr>
    </w:div>
    <w:div w:id="1060447284">
      <w:marLeft w:val="0"/>
      <w:marRight w:val="0"/>
      <w:marTop w:val="0"/>
      <w:marBottom w:val="100"/>
      <w:divBdr>
        <w:top w:val="none" w:sz="0" w:space="0" w:color="auto"/>
        <w:left w:val="none" w:sz="0" w:space="0" w:color="auto"/>
        <w:bottom w:val="none" w:sz="0" w:space="0" w:color="auto"/>
        <w:right w:val="none" w:sz="0" w:space="0" w:color="auto"/>
      </w:divBdr>
    </w:div>
    <w:div w:id="1060977822">
      <w:marLeft w:val="0"/>
      <w:marRight w:val="0"/>
      <w:marTop w:val="180"/>
      <w:marBottom w:val="100"/>
      <w:divBdr>
        <w:top w:val="none" w:sz="0" w:space="0" w:color="auto"/>
        <w:left w:val="none" w:sz="0" w:space="0" w:color="auto"/>
        <w:bottom w:val="none" w:sz="0" w:space="0" w:color="auto"/>
        <w:right w:val="none" w:sz="0" w:space="0" w:color="auto"/>
      </w:divBdr>
    </w:div>
    <w:div w:id="1061175571">
      <w:marLeft w:val="0"/>
      <w:marRight w:val="0"/>
      <w:marTop w:val="0"/>
      <w:marBottom w:val="100"/>
      <w:divBdr>
        <w:top w:val="none" w:sz="0" w:space="0" w:color="auto"/>
        <w:left w:val="none" w:sz="0" w:space="0" w:color="auto"/>
        <w:bottom w:val="none" w:sz="0" w:space="0" w:color="auto"/>
        <w:right w:val="none" w:sz="0" w:space="0" w:color="auto"/>
      </w:divBdr>
    </w:div>
    <w:div w:id="1061290069">
      <w:marLeft w:val="0"/>
      <w:marRight w:val="0"/>
      <w:marTop w:val="100"/>
      <w:marBottom w:val="100"/>
      <w:divBdr>
        <w:top w:val="none" w:sz="0" w:space="0" w:color="auto"/>
        <w:left w:val="none" w:sz="0" w:space="0" w:color="auto"/>
        <w:bottom w:val="none" w:sz="0" w:space="0" w:color="auto"/>
        <w:right w:val="none" w:sz="0" w:space="0" w:color="auto"/>
      </w:divBdr>
    </w:div>
    <w:div w:id="1061826463">
      <w:marLeft w:val="0"/>
      <w:marRight w:val="0"/>
      <w:marTop w:val="0"/>
      <w:marBottom w:val="0"/>
      <w:divBdr>
        <w:top w:val="none" w:sz="0" w:space="0" w:color="auto"/>
        <w:left w:val="none" w:sz="0" w:space="0" w:color="auto"/>
        <w:bottom w:val="none" w:sz="0" w:space="0" w:color="auto"/>
        <w:right w:val="none" w:sz="0" w:space="0" w:color="auto"/>
      </w:divBdr>
    </w:div>
    <w:div w:id="1062170516">
      <w:marLeft w:val="0"/>
      <w:marRight w:val="0"/>
      <w:marTop w:val="0"/>
      <w:marBottom w:val="0"/>
      <w:divBdr>
        <w:top w:val="none" w:sz="0" w:space="0" w:color="auto"/>
        <w:left w:val="none" w:sz="0" w:space="0" w:color="auto"/>
        <w:bottom w:val="none" w:sz="0" w:space="0" w:color="auto"/>
        <w:right w:val="none" w:sz="0" w:space="0" w:color="auto"/>
      </w:divBdr>
      <w:divsChild>
        <w:div w:id="520513471">
          <w:marLeft w:val="0"/>
          <w:marRight w:val="0"/>
          <w:marTop w:val="0"/>
          <w:marBottom w:val="100"/>
          <w:divBdr>
            <w:top w:val="none" w:sz="0" w:space="0" w:color="auto"/>
            <w:left w:val="none" w:sz="0" w:space="0" w:color="auto"/>
            <w:bottom w:val="none" w:sz="0" w:space="0" w:color="auto"/>
            <w:right w:val="none" w:sz="0" w:space="0" w:color="auto"/>
          </w:divBdr>
        </w:div>
      </w:divsChild>
    </w:div>
    <w:div w:id="1063408111">
      <w:marLeft w:val="0"/>
      <w:marRight w:val="0"/>
      <w:marTop w:val="0"/>
      <w:marBottom w:val="0"/>
      <w:divBdr>
        <w:top w:val="none" w:sz="0" w:space="0" w:color="auto"/>
        <w:left w:val="none" w:sz="0" w:space="0" w:color="auto"/>
        <w:bottom w:val="none" w:sz="0" w:space="0" w:color="auto"/>
        <w:right w:val="none" w:sz="0" w:space="0" w:color="auto"/>
      </w:divBdr>
    </w:div>
    <w:div w:id="1063480947">
      <w:marLeft w:val="0"/>
      <w:marRight w:val="0"/>
      <w:marTop w:val="0"/>
      <w:marBottom w:val="0"/>
      <w:divBdr>
        <w:top w:val="none" w:sz="0" w:space="0" w:color="auto"/>
        <w:left w:val="none" w:sz="0" w:space="0" w:color="auto"/>
        <w:bottom w:val="none" w:sz="0" w:space="0" w:color="auto"/>
        <w:right w:val="none" w:sz="0" w:space="0" w:color="auto"/>
      </w:divBdr>
    </w:div>
    <w:div w:id="1066226132">
      <w:marLeft w:val="0"/>
      <w:marRight w:val="0"/>
      <w:marTop w:val="180"/>
      <w:marBottom w:val="100"/>
      <w:divBdr>
        <w:top w:val="none" w:sz="0" w:space="0" w:color="auto"/>
        <w:left w:val="none" w:sz="0" w:space="0" w:color="auto"/>
        <w:bottom w:val="none" w:sz="0" w:space="0" w:color="auto"/>
        <w:right w:val="none" w:sz="0" w:space="0" w:color="auto"/>
      </w:divBdr>
    </w:div>
    <w:div w:id="1066537579">
      <w:marLeft w:val="0"/>
      <w:marRight w:val="0"/>
      <w:marTop w:val="100"/>
      <w:marBottom w:val="100"/>
      <w:divBdr>
        <w:top w:val="none" w:sz="0" w:space="0" w:color="auto"/>
        <w:left w:val="none" w:sz="0" w:space="0" w:color="auto"/>
        <w:bottom w:val="none" w:sz="0" w:space="0" w:color="auto"/>
        <w:right w:val="none" w:sz="0" w:space="0" w:color="auto"/>
      </w:divBdr>
    </w:div>
    <w:div w:id="1067146961">
      <w:marLeft w:val="0"/>
      <w:marRight w:val="0"/>
      <w:marTop w:val="0"/>
      <w:marBottom w:val="0"/>
      <w:divBdr>
        <w:top w:val="none" w:sz="0" w:space="0" w:color="auto"/>
        <w:left w:val="none" w:sz="0" w:space="0" w:color="auto"/>
        <w:bottom w:val="none" w:sz="0" w:space="0" w:color="auto"/>
        <w:right w:val="none" w:sz="0" w:space="0" w:color="auto"/>
      </w:divBdr>
      <w:divsChild>
        <w:div w:id="985160905">
          <w:marLeft w:val="0"/>
          <w:marRight w:val="0"/>
          <w:marTop w:val="0"/>
          <w:marBottom w:val="0"/>
          <w:divBdr>
            <w:top w:val="none" w:sz="0" w:space="0" w:color="auto"/>
            <w:left w:val="none" w:sz="0" w:space="0" w:color="auto"/>
            <w:bottom w:val="none" w:sz="0" w:space="0" w:color="auto"/>
            <w:right w:val="none" w:sz="0" w:space="0" w:color="auto"/>
          </w:divBdr>
          <w:divsChild>
            <w:div w:id="128866499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70611923">
      <w:marLeft w:val="0"/>
      <w:marRight w:val="0"/>
      <w:marTop w:val="80"/>
      <w:marBottom w:val="100"/>
      <w:divBdr>
        <w:top w:val="none" w:sz="0" w:space="0" w:color="auto"/>
        <w:left w:val="none" w:sz="0" w:space="0" w:color="auto"/>
        <w:bottom w:val="none" w:sz="0" w:space="0" w:color="auto"/>
        <w:right w:val="none" w:sz="0" w:space="0" w:color="auto"/>
      </w:divBdr>
    </w:div>
    <w:div w:id="1071922977">
      <w:marLeft w:val="0"/>
      <w:marRight w:val="0"/>
      <w:marTop w:val="100"/>
      <w:marBottom w:val="100"/>
      <w:divBdr>
        <w:top w:val="none" w:sz="0" w:space="0" w:color="auto"/>
        <w:left w:val="none" w:sz="0" w:space="0" w:color="auto"/>
        <w:bottom w:val="none" w:sz="0" w:space="0" w:color="auto"/>
        <w:right w:val="none" w:sz="0" w:space="0" w:color="auto"/>
      </w:divBdr>
    </w:div>
    <w:div w:id="1072967952">
      <w:marLeft w:val="0"/>
      <w:marRight w:val="0"/>
      <w:marTop w:val="0"/>
      <w:marBottom w:val="0"/>
      <w:divBdr>
        <w:top w:val="none" w:sz="0" w:space="0" w:color="auto"/>
        <w:left w:val="none" w:sz="0" w:space="0" w:color="auto"/>
        <w:bottom w:val="none" w:sz="0" w:space="0" w:color="auto"/>
        <w:right w:val="none" w:sz="0" w:space="0" w:color="auto"/>
      </w:divBdr>
      <w:divsChild>
        <w:div w:id="1923875702">
          <w:marLeft w:val="0"/>
          <w:marRight w:val="0"/>
          <w:marTop w:val="0"/>
          <w:marBottom w:val="100"/>
          <w:divBdr>
            <w:top w:val="none" w:sz="0" w:space="0" w:color="auto"/>
            <w:left w:val="none" w:sz="0" w:space="0" w:color="auto"/>
            <w:bottom w:val="none" w:sz="0" w:space="0" w:color="auto"/>
            <w:right w:val="none" w:sz="0" w:space="0" w:color="auto"/>
          </w:divBdr>
        </w:div>
      </w:divsChild>
    </w:div>
    <w:div w:id="1073550912">
      <w:marLeft w:val="0"/>
      <w:marRight w:val="0"/>
      <w:marTop w:val="0"/>
      <w:marBottom w:val="0"/>
      <w:divBdr>
        <w:top w:val="none" w:sz="0" w:space="0" w:color="auto"/>
        <w:left w:val="none" w:sz="0" w:space="0" w:color="auto"/>
        <w:bottom w:val="none" w:sz="0" w:space="0" w:color="auto"/>
        <w:right w:val="none" w:sz="0" w:space="0" w:color="auto"/>
      </w:divBdr>
    </w:div>
    <w:div w:id="1073626384">
      <w:marLeft w:val="0"/>
      <w:marRight w:val="0"/>
      <w:marTop w:val="0"/>
      <w:marBottom w:val="0"/>
      <w:divBdr>
        <w:top w:val="none" w:sz="0" w:space="0" w:color="auto"/>
        <w:left w:val="none" w:sz="0" w:space="0" w:color="auto"/>
        <w:bottom w:val="none" w:sz="0" w:space="0" w:color="auto"/>
        <w:right w:val="none" w:sz="0" w:space="0" w:color="auto"/>
      </w:divBdr>
    </w:div>
    <w:div w:id="1075053335">
      <w:marLeft w:val="0"/>
      <w:marRight w:val="0"/>
      <w:marTop w:val="180"/>
      <w:marBottom w:val="0"/>
      <w:divBdr>
        <w:top w:val="none" w:sz="0" w:space="0" w:color="auto"/>
        <w:left w:val="none" w:sz="0" w:space="0" w:color="auto"/>
        <w:bottom w:val="none" w:sz="0" w:space="0" w:color="auto"/>
        <w:right w:val="none" w:sz="0" w:space="0" w:color="auto"/>
      </w:divBdr>
    </w:div>
    <w:div w:id="1075206781">
      <w:marLeft w:val="0"/>
      <w:marRight w:val="0"/>
      <w:marTop w:val="0"/>
      <w:marBottom w:val="0"/>
      <w:divBdr>
        <w:top w:val="none" w:sz="0" w:space="0" w:color="auto"/>
        <w:left w:val="none" w:sz="0" w:space="0" w:color="auto"/>
        <w:bottom w:val="none" w:sz="0" w:space="0" w:color="auto"/>
        <w:right w:val="none" w:sz="0" w:space="0" w:color="auto"/>
      </w:divBdr>
    </w:div>
    <w:div w:id="1076591306">
      <w:marLeft w:val="0"/>
      <w:marRight w:val="0"/>
      <w:marTop w:val="180"/>
      <w:marBottom w:val="0"/>
      <w:divBdr>
        <w:top w:val="none" w:sz="0" w:space="0" w:color="auto"/>
        <w:left w:val="none" w:sz="0" w:space="0" w:color="auto"/>
        <w:bottom w:val="none" w:sz="0" w:space="0" w:color="auto"/>
        <w:right w:val="none" w:sz="0" w:space="0" w:color="auto"/>
      </w:divBdr>
    </w:div>
    <w:div w:id="1077051095">
      <w:marLeft w:val="0"/>
      <w:marRight w:val="0"/>
      <w:marTop w:val="0"/>
      <w:marBottom w:val="0"/>
      <w:divBdr>
        <w:top w:val="none" w:sz="0" w:space="0" w:color="auto"/>
        <w:left w:val="none" w:sz="0" w:space="0" w:color="auto"/>
        <w:bottom w:val="none" w:sz="0" w:space="0" w:color="auto"/>
        <w:right w:val="none" w:sz="0" w:space="0" w:color="auto"/>
      </w:divBdr>
      <w:divsChild>
        <w:div w:id="1183667034">
          <w:marLeft w:val="0"/>
          <w:marRight w:val="0"/>
          <w:marTop w:val="0"/>
          <w:marBottom w:val="0"/>
          <w:divBdr>
            <w:top w:val="none" w:sz="0" w:space="0" w:color="auto"/>
            <w:left w:val="none" w:sz="0" w:space="0" w:color="auto"/>
            <w:bottom w:val="none" w:sz="0" w:space="0" w:color="auto"/>
            <w:right w:val="none" w:sz="0" w:space="0" w:color="auto"/>
          </w:divBdr>
          <w:divsChild>
            <w:div w:id="105561665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79518157">
      <w:marLeft w:val="0"/>
      <w:marRight w:val="0"/>
      <w:marTop w:val="0"/>
      <w:marBottom w:val="0"/>
      <w:divBdr>
        <w:top w:val="none" w:sz="0" w:space="0" w:color="auto"/>
        <w:left w:val="none" w:sz="0" w:space="0" w:color="auto"/>
        <w:bottom w:val="none" w:sz="0" w:space="0" w:color="auto"/>
        <w:right w:val="none" w:sz="0" w:space="0" w:color="auto"/>
      </w:divBdr>
      <w:divsChild>
        <w:div w:id="464541757">
          <w:marLeft w:val="0"/>
          <w:marRight w:val="0"/>
          <w:marTop w:val="0"/>
          <w:marBottom w:val="100"/>
          <w:divBdr>
            <w:top w:val="none" w:sz="0" w:space="0" w:color="auto"/>
            <w:left w:val="none" w:sz="0" w:space="0" w:color="auto"/>
            <w:bottom w:val="none" w:sz="0" w:space="0" w:color="auto"/>
            <w:right w:val="none" w:sz="0" w:space="0" w:color="auto"/>
          </w:divBdr>
        </w:div>
      </w:divsChild>
    </w:div>
    <w:div w:id="1080560246">
      <w:marLeft w:val="0"/>
      <w:marRight w:val="0"/>
      <w:marTop w:val="0"/>
      <w:marBottom w:val="100"/>
      <w:divBdr>
        <w:top w:val="none" w:sz="0" w:space="0" w:color="auto"/>
        <w:left w:val="none" w:sz="0" w:space="0" w:color="auto"/>
        <w:bottom w:val="none" w:sz="0" w:space="0" w:color="auto"/>
        <w:right w:val="none" w:sz="0" w:space="0" w:color="auto"/>
      </w:divBdr>
    </w:div>
    <w:div w:id="1081753954">
      <w:marLeft w:val="0"/>
      <w:marRight w:val="0"/>
      <w:marTop w:val="180"/>
      <w:marBottom w:val="100"/>
      <w:divBdr>
        <w:top w:val="none" w:sz="0" w:space="0" w:color="auto"/>
        <w:left w:val="none" w:sz="0" w:space="0" w:color="auto"/>
        <w:bottom w:val="none" w:sz="0" w:space="0" w:color="auto"/>
        <w:right w:val="none" w:sz="0" w:space="0" w:color="auto"/>
      </w:divBdr>
    </w:div>
    <w:div w:id="1084567102">
      <w:marLeft w:val="0"/>
      <w:marRight w:val="0"/>
      <w:marTop w:val="180"/>
      <w:marBottom w:val="100"/>
      <w:divBdr>
        <w:top w:val="none" w:sz="0" w:space="0" w:color="auto"/>
        <w:left w:val="none" w:sz="0" w:space="0" w:color="auto"/>
        <w:bottom w:val="none" w:sz="0" w:space="0" w:color="auto"/>
        <w:right w:val="none" w:sz="0" w:space="0" w:color="auto"/>
      </w:divBdr>
    </w:div>
    <w:div w:id="1084765922">
      <w:marLeft w:val="0"/>
      <w:marRight w:val="0"/>
      <w:marTop w:val="0"/>
      <w:marBottom w:val="100"/>
      <w:divBdr>
        <w:top w:val="none" w:sz="0" w:space="0" w:color="auto"/>
        <w:left w:val="none" w:sz="0" w:space="0" w:color="auto"/>
        <w:bottom w:val="none" w:sz="0" w:space="0" w:color="auto"/>
        <w:right w:val="none" w:sz="0" w:space="0" w:color="auto"/>
      </w:divBdr>
    </w:div>
    <w:div w:id="1086850223">
      <w:marLeft w:val="0"/>
      <w:marRight w:val="0"/>
      <w:marTop w:val="0"/>
      <w:marBottom w:val="0"/>
      <w:divBdr>
        <w:top w:val="none" w:sz="0" w:space="0" w:color="auto"/>
        <w:left w:val="none" w:sz="0" w:space="0" w:color="auto"/>
        <w:bottom w:val="none" w:sz="0" w:space="0" w:color="auto"/>
        <w:right w:val="none" w:sz="0" w:space="0" w:color="auto"/>
      </w:divBdr>
    </w:div>
    <w:div w:id="1088188551">
      <w:marLeft w:val="0"/>
      <w:marRight w:val="0"/>
      <w:marTop w:val="100"/>
      <w:marBottom w:val="100"/>
      <w:divBdr>
        <w:top w:val="none" w:sz="0" w:space="0" w:color="auto"/>
        <w:left w:val="none" w:sz="0" w:space="0" w:color="auto"/>
        <w:bottom w:val="none" w:sz="0" w:space="0" w:color="auto"/>
        <w:right w:val="none" w:sz="0" w:space="0" w:color="auto"/>
      </w:divBdr>
    </w:div>
    <w:div w:id="1088575284">
      <w:marLeft w:val="0"/>
      <w:marRight w:val="0"/>
      <w:marTop w:val="100"/>
      <w:marBottom w:val="0"/>
      <w:divBdr>
        <w:top w:val="none" w:sz="0" w:space="0" w:color="auto"/>
        <w:left w:val="none" w:sz="0" w:space="0" w:color="auto"/>
        <w:bottom w:val="none" w:sz="0" w:space="0" w:color="auto"/>
        <w:right w:val="none" w:sz="0" w:space="0" w:color="auto"/>
      </w:divBdr>
    </w:div>
    <w:div w:id="1088693983">
      <w:marLeft w:val="0"/>
      <w:marRight w:val="0"/>
      <w:marTop w:val="100"/>
      <w:marBottom w:val="100"/>
      <w:divBdr>
        <w:top w:val="none" w:sz="0" w:space="0" w:color="auto"/>
        <w:left w:val="none" w:sz="0" w:space="0" w:color="auto"/>
        <w:bottom w:val="none" w:sz="0" w:space="0" w:color="auto"/>
        <w:right w:val="none" w:sz="0" w:space="0" w:color="auto"/>
      </w:divBdr>
    </w:div>
    <w:div w:id="1089888476">
      <w:marLeft w:val="0"/>
      <w:marRight w:val="0"/>
      <w:marTop w:val="0"/>
      <w:marBottom w:val="0"/>
      <w:divBdr>
        <w:top w:val="none" w:sz="0" w:space="0" w:color="auto"/>
        <w:left w:val="none" w:sz="0" w:space="0" w:color="auto"/>
        <w:bottom w:val="none" w:sz="0" w:space="0" w:color="auto"/>
        <w:right w:val="none" w:sz="0" w:space="0" w:color="auto"/>
      </w:divBdr>
    </w:div>
    <w:div w:id="1094208246">
      <w:marLeft w:val="0"/>
      <w:marRight w:val="0"/>
      <w:marTop w:val="0"/>
      <w:marBottom w:val="0"/>
      <w:divBdr>
        <w:top w:val="none" w:sz="0" w:space="0" w:color="auto"/>
        <w:left w:val="none" w:sz="0" w:space="0" w:color="auto"/>
        <w:bottom w:val="none" w:sz="0" w:space="0" w:color="auto"/>
        <w:right w:val="none" w:sz="0" w:space="0" w:color="auto"/>
      </w:divBdr>
      <w:divsChild>
        <w:div w:id="497885061">
          <w:marLeft w:val="0"/>
          <w:marRight w:val="0"/>
          <w:marTop w:val="0"/>
          <w:marBottom w:val="100"/>
          <w:divBdr>
            <w:top w:val="none" w:sz="0" w:space="0" w:color="auto"/>
            <w:left w:val="none" w:sz="0" w:space="0" w:color="auto"/>
            <w:bottom w:val="none" w:sz="0" w:space="0" w:color="auto"/>
            <w:right w:val="none" w:sz="0" w:space="0" w:color="auto"/>
          </w:divBdr>
        </w:div>
      </w:divsChild>
    </w:div>
    <w:div w:id="1096749301">
      <w:marLeft w:val="0"/>
      <w:marRight w:val="0"/>
      <w:marTop w:val="0"/>
      <w:marBottom w:val="0"/>
      <w:divBdr>
        <w:top w:val="none" w:sz="0" w:space="0" w:color="auto"/>
        <w:left w:val="none" w:sz="0" w:space="0" w:color="auto"/>
        <w:bottom w:val="none" w:sz="0" w:space="0" w:color="auto"/>
        <w:right w:val="none" w:sz="0" w:space="0" w:color="auto"/>
      </w:divBdr>
      <w:divsChild>
        <w:div w:id="1280642644">
          <w:marLeft w:val="0"/>
          <w:marRight w:val="0"/>
          <w:marTop w:val="0"/>
          <w:marBottom w:val="100"/>
          <w:divBdr>
            <w:top w:val="none" w:sz="0" w:space="0" w:color="auto"/>
            <w:left w:val="none" w:sz="0" w:space="0" w:color="auto"/>
            <w:bottom w:val="none" w:sz="0" w:space="0" w:color="auto"/>
            <w:right w:val="none" w:sz="0" w:space="0" w:color="auto"/>
          </w:divBdr>
        </w:div>
      </w:divsChild>
    </w:div>
    <w:div w:id="1100489412">
      <w:marLeft w:val="0"/>
      <w:marRight w:val="0"/>
      <w:marTop w:val="180"/>
      <w:marBottom w:val="0"/>
      <w:divBdr>
        <w:top w:val="none" w:sz="0" w:space="0" w:color="auto"/>
        <w:left w:val="none" w:sz="0" w:space="0" w:color="auto"/>
        <w:bottom w:val="none" w:sz="0" w:space="0" w:color="auto"/>
        <w:right w:val="none" w:sz="0" w:space="0" w:color="auto"/>
      </w:divBdr>
    </w:div>
    <w:div w:id="1101334314">
      <w:marLeft w:val="0"/>
      <w:marRight w:val="0"/>
      <w:marTop w:val="100"/>
      <w:marBottom w:val="100"/>
      <w:divBdr>
        <w:top w:val="none" w:sz="0" w:space="0" w:color="auto"/>
        <w:left w:val="none" w:sz="0" w:space="0" w:color="auto"/>
        <w:bottom w:val="none" w:sz="0" w:space="0" w:color="auto"/>
        <w:right w:val="none" w:sz="0" w:space="0" w:color="auto"/>
      </w:divBdr>
    </w:div>
    <w:div w:id="1104035814">
      <w:marLeft w:val="0"/>
      <w:marRight w:val="0"/>
      <w:marTop w:val="100"/>
      <w:marBottom w:val="100"/>
      <w:divBdr>
        <w:top w:val="none" w:sz="0" w:space="0" w:color="auto"/>
        <w:left w:val="none" w:sz="0" w:space="0" w:color="auto"/>
        <w:bottom w:val="none" w:sz="0" w:space="0" w:color="auto"/>
        <w:right w:val="none" w:sz="0" w:space="0" w:color="auto"/>
      </w:divBdr>
    </w:div>
    <w:div w:id="1105274277">
      <w:marLeft w:val="0"/>
      <w:marRight w:val="0"/>
      <w:marTop w:val="0"/>
      <w:marBottom w:val="100"/>
      <w:divBdr>
        <w:top w:val="none" w:sz="0" w:space="0" w:color="auto"/>
        <w:left w:val="none" w:sz="0" w:space="0" w:color="auto"/>
        <w:bottom w:val="none" w:sz="0" w:space="0" w:color="auto"/>
        <w:right w:val="none" w:sz="0" w:space="0" w:color="auto"/>
      </w:divBdr>
    </w:div>
    <w:div w:id="1107585140">
      <w:marLeft w:val="0"/>
      <w:marRight w:val="0"/>
      <w:marTop w:val="0"/>
      <w:marBottom w:val="0"/>
      <w:divBdr>
        <w:top w:val="none" w:sz="0" w:space="0" w:color="auto"/>
        <w:left w:val="none" w:sz="0" w:space="0" w:color="auto"/>
        <w:bottom w:val="none" w:sz="0" w:space="0" w:color="auto"/>
        <w:right w:val="none" w:sz="0" w:space="0" w:color="auto"/>
      </w:divBdr>
      <w:divsChild>
        <w:div w:id="2009824940">
          <w:marLeft w:val="0"/>
          <w:marRight w:val="0"/>
          <w:marTop w:val="0"/>
          <w:marBottom w:val="100"/>
          <w:divBdr>
            <w:top w:val="none" w:sz="0" w:space="0" w:color="auto"/>
            <w:left w:val="none" w:sz="0" w:space="0" w:color="auto"/>
            <w:bottom w:val="none" w:sz="0" w:space="0" w:color="auto"/>
            <w:right w:val="none" w:sz="0" w:space="0" w:color="auto"/>
          </w:divBdr>
        </w:div>
      </w:divsChild>
    </w:div>
    <w:div w:id="1107894271">
      <w:marLeft w:val="0"/>
      <w:marRight w:val="0"/>
      <w:marTop w:val="0"/>
      <w:marBottom w:val="0"/>
      <w:divBdr>
        <w:top w:val="none" w:sz="0" w:space="0" w:color="auto"/>
        <w:left w:val="none" w:sz="0" w:space="0" w:color="auto"/>
        <w:bottom w:val="none" w:sz="0" w:space="0" w:color="auto"/>
        <w:right w:val="none" w:sz="0" w:space="0" w:color="auto"/>
      </w:divBdr>
    </w:div>
    <w:div w:id="1108089170">
      <w:marLeft w:val="0"/>
      <w:marRight w:val="0"/>
      <w:marTop w:val="100"/>
      <w:marBottom w:val="100"/>
      <w:divBdr>
        <w:top w:val="none" w:sz="0" w:space="0" w:color="auto"/>
        <w:left w:val="none" w:sz="0" w:space="0" w:color="auto"/>
        <w:bottom w:val="none" w:sz="0" w:space="0" w:color="auto"/>
        <w:right w:val="none" w:sz="0" w:space="0" w:color="auto"/>
      </w:divBdr>
    </w:div>
    <w:div w:id="1108812537">
      <w:marLeft w:val="0"/>
      <w:marRight w:val="0"/>
      <w:marTop w:val="180"/>
      <w:marBottom w:val="0"/>
      <w:divBdr>
        <w:top w:val="none" w:sz="0" w:space="0" w:color="auto"/>
        <w:left w:val="none" w:sz="0" w:space="0" w:color="auto"/>
        <w:bottom w:val="none" w:sz="0" w:space="0" w:color="auto"/>
        <w:right w:val="none" w:sz="0" w:space="0" w:color="auto"/>
      </w:divBdr>
    </w:div>
    <w:div w:id="1111320624">
      <w:marLeft w:val="0"/>
      <w:marRight w:val="0"/>
      <w:marTop w:val="180"/>
      <w:marBottom w:val="0"/>
      <w:divBdr>
        <w:top w:val="none" w:sz="0" w:space="0" w:color="auto"/>
        <w:left w:val="none" w:sz="0" w:space="0" w:color="auto"/>
        <w:bottom w:val="none" w:sz="0" w:space="0" w:color="auto"/>
        <w:right w:val="none" w:sz="0" w:space="0" w:color="auto"/>
      </w:divBdr>
    </w:div>
    <w:div w:id="1112242771">
      <w:marLeft w:val="0"/>
      <w:marRight w:val="0"/>
      <w:marTop w:val="0"/>
      <w:marBottom w:val="100"/>
      <w:divBdr>
        <w:top w:val="none" w:sz="0" w:space="0" w:color="auto"/>
        <w:left w:val="none" w:sz="0" w:space="0" w:color="auto"/>
        <w:bottom w:val="none" w:sz="0" w:space="0" w:color="auto"/>
        <w:right w:val="none" w:sz="0" w:space="0" w:color="auto"/>
      </w:divBdr>
    </w:div>
    <w:div w:id="1112699601">
      <w:marLeft w:val="0"/>
      <w:marRight w:val="0"/>
      <w:marTop w:val="180"/>
      <w:marBottom w:val="100"/>
      <w:divBdr>
        <w:top w:val="none" w:sz="0" w:space="0" w:color="auto"/>
        <w:left w:val="none" w:sz="0" w:space="0" w:color="auto"/>
        <w:bottom w:val="none" w:sz="0" w:space="0" w:color="auto"/>
        <w:right w:val="none" w:sz="0" w:space="0" w:color="auto"/>
      </w:divBdr>
    </w:div>
    <w:div w:id="1114636337">
      <w:marLeft w:val="0"/>
      <w:marRight w:val="0"/>
      <w:marTop w:val="0"/>
      <w:marBottom w:val="0"/>
      <w:divBdr>
        <w:top w:val="none" w:sz="0" w:space="0" w:color="auto"/>
        <w:left w:val="none" w:sz="0" w:space="0" w:color="auto"/>
        <w:bottom w:val="none" w:sz="0" w:space="0" w:color="auto"/>
        <w:right w:val="none" w:sz="0" w:space="0" w:color="auto"/>
      </w:divBdr>
    </w:div>
    <w:div w:id="1116145199">
      <w:marLeft w:val="0"/>
      <w:marRight w:val="0"/>
      <w:marTop w:val="0"/>
      <w:marBottom w:val="100"/>
      <w:divBdr>
        <w:top w:val="none" w:sz="0" w:space="0" w:color="auto"/>
        <w:left w:val="none" w:sz="0" w:space="0" w:color="auto"/>
        <w:bottom w:val="none" w:sz="0" w:space="0" w:color="auto"/>
        <w:right w:val="none" w:sz="0" w:space="0" w:color="auto"/>
      </w:divBdr>
    </w:div>
    <w:div w:id="1116875058">
      <w:marLeft w:val="0"/>
      <w:marRight w:val="0"/>
      <w:marTop w:val="0"/>
      <w:marBottom w:val="0"/>
      <w:divBdr>
        <w:top w:val="none" w:sz="0" w:space="0" w:color="auto"/>
        <w:left w:val="none" w:sz="0" w:space="0" w:color="auto"/>
        <w:bottom w:val="none" w:sz="0" w:space="0" w:color="auto"/>
        <w:right w:val="none" w:sz="0" w:space="0" w:color="auto"/>
      </w:divBdr>
    </w:div>
    <w:div w:id="1117026085">
      <w:marLeft w:val="0"/>
      <w:marRight w:val="0"/>
      <w:marTop w:val="0"/>
      <w:marBottom w:val="100"/>
      <w:divBdr>
        <w:top w:val="none" w:sz="0" w:space="0" w:color="auto"/>
        <w:left w:val="none" w:sz="0" w:space="0" w:color="auto"/>
        <w:bottom w:val="none" w:sz="0" w:space="0" w:color="auto"/>
        <w:right w:val="none" w:sz="0" w:space="0" w:color="auto"/>
      </w:divBdr>
    </w:div>
    <w:div w:id="1118333684">
      <w:marLeft w:val="0"/>
      <w:marRight w:val="0"/>
      <w:marTop w:val="0"/>
      <w:marBottom w:val="0"/>
      <w:divBdr>
        <w:top w:val="none" w:sz="0" w:space="0" w:color="auto"/>
        <w:left w:val="none" w:sz="0" w:space="0" w:color="auto"/>
        <w:bottom w:val="none" w:sz="0" w:space="0" w:color="auto"/>
        <w:right w:val="none" w:sz="0" w:space="0" w:color="auto"/>
      </w:divBdr>
    </w:div>
    <w:div w:id="1118646165">
      <w:marLeft w:val="0"/>
      <w:marRight w:val="0"/>
      <w:marTop w:val="100"/>
      <w:marBottom w:val="100"/>
      <w:divBdr>
        <w:top w:val="none" w:sz="0" w:space="0" w:color="auto"/>
        <w:left w:val="none" w:sz="0" w:space="0" w:color="auto"/>
        <w:bottom w:val="none" w:sz="0" w:space="0" w:color="auto"/>
        <w:right w:val="none" w:sz="0" w:space="0" w:color="auto"/>
      </w:divBdr>
    </w:div>
    <w:div w:id="1119103749">
      <w:marLeft w:val="0"/>
      <w:marRight w:val="0"/>
      <w:marTop w:val="100"/>
      <w:marBottom w:val="100"/>
      <w:divBdr>
        <w:top w:val="none" w:sz="0" w:space="0" w:color="auto"/>
        <w:left w:val="none" w:sz="0" w:space="0" w:color="auto"/>
        <w:bottom w:val="none" w:sz="0" w:space="0" w:color="auto"/>
        <w:right w:val="none" w:sz="0" w:space="0" w:color="auto"/>
      </w:divBdr>
    </w:div>
    <w:div w:id="1119110188">
      <w:marLeft w:val="0"/>
      <w:marRight w:val="0"/>
      <w:marTop w:val="180"/>
      <w:marBottom w:val="100"/>
      <w:divBdr>
        <w:top w:val="none" w:sz="0" w:space="0" w:color="auto"/>
        <w:left w:val="none" w:sz="0" w:space="0" w:color="auto"/>
        <w:bottom w:val="none" w:sz="0" w:space="0" w:color="auto"/>
        <w:right w:val="none" w:sz="0" w:space="0" w:color="auto"/>
      </w:divBdr>
    </w:div>
    <w:div w:id="1120102160">
      <w:marLeft w:val="0"/>
      <w:marRight w:val="0"/>
      <w:marTop w:val="100"/>
      <w:marBottom w:val="100"/>
      <w:divBdr>
        <w:top w:val="none" w:sz="0" w:space="0" w:color="auto"/>
        <w:left w:val="none" w:sz="0" w:space="0" w:color="auto"/>
        <w:bottom w:val="none" w:sz="0" w:space="0" w:color="auto"/>
        <w:right w:val="none" w:sz="0" w:space="0" w:color="auto"/>
      </w:divBdr>
    </w:div>
    <w:div w:id="1124690040">
      <w:marLeft w:val="0"/>
      <w:marRight w:val="0"/>
      <w:marTop w:val="0"/>
      <w:marBottom w:val="100"/>
      <w:divBdr>
        <w:top w:val="none" w:sz="0" w:space="0" w:color="auto"/>
        <w:left w:val="none" w:sz="0" w:space="0" w:color="auto"/>
        <w:bottom w:val="none" w:sz="0" w:space="0" w:color="auto"/>
        <w:right w:val="none" w:sz="0" w:space="0" w:color="auto"/>
      </w:divBdr>
    </w:div>
    <w:div w:id="1124737976">
      <w:marLeft w:val="0"/>
      <w:marRight w:val="0"/>
      <w:marTop w:val="180"/>
      <w:marBottom w:val="0"/>
      <w:divBdr>
        <w:top w:val="none" w:sz="0" w:space="0" w:color="auto"/>
        <w:left w:val="none" w:sz="0" w:space="0" w:color="auto"/>
        <w:bottom w:val="none" w:sz="0" w:space="0" w:color="auto"/>
        <w:right w:val="none" w:sz="0" w:space="0" w:color="auto"/>
      </w:divBdr>
    </w:div>
    <w:div w:id="1125732426">
      <w:marLeft w:val="0"/>
      <w:marRight w:val="0"/>
      <w:marTop w:val="0"/>
      <w:marBottom w:val="0"/>
      <w:divBdr>
        <w:top w:val="none" w:sz="0" w:space="0" w:color="auto"/>
        <w:left w:val="none" w:sz="0" w:space="0" w:color="auto"/>
        <w:bottom w:val="none" w:sz="0" w:space="0" w:color="auto"/>
        <w:right w:val="none" w:sz="0" w:space="0" w:color="auto"/>
      </w:divBdr>
      <w:divsChild>
        <w:div w:id="116460717">
          <w:marLeft w:val="0"/>
          <w:marRight w:val="0"/>
          <w:marTop w:val="0"/>
          <w:marBottom w:val="0"/>
          <w:divBdr>
            <w:top w:val="none" w:sz="0" w:space="0" w:color="auto"/>
            <w:left w:val="none" w:sz="0" w:space="0" w:color="auto"/>
            <w:bottom w:val="none" w:sz="0" w:space="0" w:color="auto"/>
            <w:right w:val="none" w:sz="0" w:space="0" w:color="auto"/>
          </w:divBdr>
          <w:divsChild>
            <w:div w:id="96530880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26239685">
      <w:marLeft w:val="0"/>
      <w:marRight w:val="0"/>
      <w:marTop w:val="90"/>
      <w:marBottom w:val="90"/>
      <w:divBdr>
        <w:top w:val="none" w:sz="0" w:space="0" w:color="auto"/>
        <w:left w:val="none" w:sz="0" w:space="0" w:color="auto"/>
        <w:bottom w:val="none" w:sz="0" w:space="0" w:color="auto"/>
        <w:right w:val="none" w:sz="0" w:space="0" w:color="auto"/>
      </w:divBdr>
    </w:div>
    <w:div w:id="1131242547">
      <w:marLeft w:val="0"/>
      <w:marRight w:val="0"/>
      <w:marTop w:val="0"/>
      <w:marBottom w:val="100"/>
      <w:divBdr>
        <w:top w:val="none" w:sz="0" w:space="0" w:color="auto"/>
        <w:left w:val="none" w:sz="0" w:space="0" w:color="auto"/>
        <w:bottom w:val="none" w:sz="0" w:space="0" w:color="auto"/>
        <w:right w:val="none" w:sz="0" w:space="0" w:color="auto"/>
      </w:divBdr>
    </w:div>
    <w:div w:id="1133065079">
      <w:marLeft w:val="0"/>
      <w:marRight w:val="0"/>
      <w:marTop w:val="0"/>
      <w:marBottom w:val="0"/>
      <w:divBdr>
        <w:top w:val="none" w:sz="0" w:space="0" w:color="auto"/>
        <w:left w:val="none" w:sz="0" w:space="0" w:color="auto"/>
        <w:bottom w:val="none" w:sz="0" w:space="0" w:color="auto"/>
        <w:right w:val="none" w:sz="0" w:space="0" w:color="auto"/>
      </w:divBdr>
      <w:divsChild>
        <w:div w:id="1709799679">
          <w:marLeft w:val="0"/>
          <w:marRight w:val="0"/>
          <w:marTop w:val="0"/>
          <w:marBottom w:val="100"/>
          <w:divBdr>
            <w:top w:val="none" w:sz="0" w:space="0" w:color="auto"/>
            <w:left w:val="none" w:sz="0" w:space="0" w:color="auto"/>
            <w:bottom w:val="none" w:sz="0" w:space="0" w:color="auto"/>
            <w:right w:val="none" w:sz="0" w:space="0" w:color="auto"/>
          </w:divBdr>
        </w:div>
        <w:div w:id="110711592">
          <w:marLeft w:val="0"/>
          <w:marRight w:val="0"/>
          <w:marTop w:val="0"/>
          <w:marBottom w:val="100"/>
          <w:divBdr>
            <w:top w:val="none" w:sz="0" w:space="0" w:color="auto"/>
            <w:left w:val="none" w:sz="0" w:space="0" w:color="auto"/>
            <w:bottom w:val="none" w:sz="0" w:space="0" w:color="auto"/>
            <w:right w:val="none" w:sz="0" w:space="0" w:color="auto"/>
          </w:divBdr>
        </w:div>
        <w:div w:id="1478105241">
          <w:marLeft w:val="0"/>
          <w:marRight w:val="0"/>
          <w:marTop w:val="0"/>
          <w:marBottom w:val="100"/>
          <w:divBdr>
            <w:top w:val="none" w:sz="0" w:space="0" w:color="auto"/>
            <w:left w:val="none" w:sz="0" w:space="0" w:color="auto"/>
            <w:bottom w:val="none" w:sz="0" w:space="0" w:color="auto"/>
            <w:right w:val="none" w:sz="0" w:space="0" w:color="auto"/>
          </w:divBdr>
        </w:div>
      </w:divsChild>
    </w:div>
    <w:div w:id="1133447719">
      <w:marLeft w:val="0"/>
      <w:marRight w:val="0"/>
      <w:marTop w:val="180"/>
      <w:marBottom w:val="100"/>
      <w:divBdr>
        <w:top w:val="none" w:sz="0" w:space="0" w:color="auto"/>
        <w:left w:val="none" w:sz="0" w:space="0" w:color="auto"/>
        <w:bottom w:val="none" w:sz="0" w:space="0" w:color="auto"/>
        <w:right w:val="none" w:sz="0" w:space="0" w:color="auto"/>
      </w:divBdr>
    </w:div>
    <w:div w:id="1134448924">
      <w:marLeft w:val="0"/>
      <w:marRight w:val="0"/>
      <w:marTop w:val="180"/>
      <w:marBottom w:val="0"/>
      <w:divBdr>
        <w:top w:val="none" w:sz="0" w:space="0" w:color="auto"/>
        <w:left w:val="none" w:sz="0" w:space="0" w:color="auto"/>
        <w:bottom w:val="none" w:sz="0" w:space="0" w:color="auto"/>
        <w:right w:val="none" w:sz="0" w:space="0" w:color="auto"/>
      </w:divBdr>
    </w:div>
    <w:div w:id="1134563663">
      <w:marLeft w:val="0"/>
      <w:marRight w:val="0"/>
      <w:marTop w:val="0"/>
      <w:marBottom w:val="100"/>
      <w:divBdr>
        <w:top w:val="none" w:sz="0" w:space="0" w:color="auto"/>
        <w:left w:val="none" w:sz="0" w:space="0" w:color="auto"/>
        <w:bottom w:val="none" w:sz="0" w:space="0" w:color="auto"/>
        <w:right w:val="none" w:sz="0" w:space="0" w:color="auto"/>
      </w:divBdr>
    </w:div>
    <w:div w:id="1135411564">
      <w:marLeft w:val="0"/>
      <w:marRight w:val="0"/>
      <w:marTop w:val="0"/>
      <w:marBottom w:val="0"/>
      <w:divBdr>
        <w:top w:val="none" w:sz="0" w:space="0" w:color="auto"/>
        <w:left w:val="none" w:sz="0" w:space="0" w:color="auto"/>
        <w:bottom w:val="none" w:sz="0" w:space="0" w:color="auto"/>
        <w:right w:val="none" w:sz="0" w:space="0" w:color="auto"/>
      </w:divBdr>
      <w:divsChild>
        <w:div w:id="450704903">
          <w:marLeft w:val="0"/>
          <w:marRight w:val="0"/>
          <w:marTop w:val="0"/>
          <w:marBottom w:val="100"/>
          <w:divBdr>
            <w:top w:val="none" w:sz="0" w:space="0" w:color="auto"/>
            <w:left w:val="none" w:sz="0" w:space="0" w:color="auto"/>
            <w:bottom w:val="none" w:sz="0" w:space="0" w:color="auto"/>
            <w:right w:val="none" w:sz="0" w:space="0" w:color="auto"/>
          </w:divBdr>
        </w:div>
      </w:divsChild>
    </w:div>
    <w:div w:id="1135413723">
      <w:marLeft w:val="0"/>
      <w:marRight w:val="0"/>
      <w:marTop w:val="0"/>
      <w:marBottom w:val="100"/>
      <w:divBdr>
        <w:top w:val="none" w:sz="0" w:space="0" w:color="auto"/>
        <w:left w:val="none" w:sz="0" w:space="0" w:color="auto"/>
        <w:bottom w:val="none" w:sz="0" w:space="0" w:color="auto"/>
        <w:right w:val="none" w:sz="0" w:space="0" w:color="auto"/>
      </w:divBdr>
    </w:div>
    <w:div w:id="1135758534">
      <w:marLeft w:val="0"/>
      <w:marRight w:val="0"/>
      <w:marTop w:val="100"/>
      <w:marBottom w:val="100"/>
      <w:divBdr>
        <w:top w:val="none" w:sz="0" w:space="0" w:color="auto"/>
        <w:left w:val="none" w:sz="0" w:space="0" w:color="auto"/>
        <w:bottom w:val="none" w:sz="0" w:space="0" w:color="auto"/>
        <w:right w:val="none" w:sz="0" w:space="0" w:color="auto"/>
      </w:divBdr>
    </w:div>
    <w:div w:id="1139542268">
      <w:marLeft w:val="0"/>
      <w:marRight w:val="0"/>
      <w:marTop w:val="80"/>
      <w:marBottom w:val="0"/>
      <w:divBdr>
        <w:top w:val="none" w:sz="0" w:space="0" w:color="auto"/>
        <w:left w:val="none" w:sz="0" w:space="0" w:color="auto"/>
        <w:bottom w:val="none" w:sz="0" w:space="0" w:color="auto"/>
        <w:right w:val="none" w:sz="0" w:space="0" w:color="auto"/>
      </w:divBdr>
    </w:div>
    <w:div w:id="1139609387">
      <w:marLeft w:val="0"/>
      <w:marRight w:val="0"/>
      <w:marTop w:val="0"/>
      <w:marBottom w:val="0"/>
      <w:divBdr>
        <w:top w:val="none" w:sz="0" w:space="0" w:color="auto"/>
        <w:left w:val="none" w:sz="0" w:space="0" w:color="auto"/>
        <w:bottom w:val="none" w:sz="0" w:space="0" w:color="auto"/>
        <w:right w:val="none" w:sz="0" w:space="0" w:color="auto"/>
      </w:divBdr>
    </w:div>
    <w:div w:id="1140226439">
      <w:marLeft w:val="0"/>
      <w:marRight w:val="0"/>
      <w:marTop w:val="100"/>
      <w:marBottom w:val="100"/>
      <w:divBdr>
        <w:top w:val="none" w:sz="0" w:space="0" w:color="auto"/>
        <w:left w:val="none" w:sz="0" w:space="0" w:color="auto"/>
        <w:bottom w:val="none" w:sz="0" w:space="0" w:color="auto"/>
        <w:right w:val="none" w:sz="0" w:space="0" w:color="auto"/>
      </w:divBdr>
    </w:div>
    <w:div w:id="1140877211">
      <w:marLeft w:val="0"/>
      <w:marRight w:val="0"/>
      <w:marTop w:val="0"/>
      <w:marBottom w:val="0"/>
      <w:divBdr>
        <w:top w:val="none" w:sz="0" w:space="0" w:color="auto"/>
        <w:left w:val="none" w:sz="0" w:space="0" w:color="auto"/>
        <w:bottom w:val="none" w:sz="0" w:space="0" w:color="auto"/>
        <w:right w:val="none" w:sz="0" w:space="0" w:color="auto"/>
      </w:divBdr>
      <w:divsChild>
        <w:div w:id="1795244735">
          <w:marLeft w:val="0"/>
          <w:marRight w:val="0"/>
          <w:marTop w:val="0"/>
          <w:marBottom w:val="100"/>
          <w:divBdr>
            <w:top w:val="none" w:sz="0" w:space="0" w:color="auto"/>
            <w:left w:val="none" w:sz="0" w:space="0" w:color="auto"/>
            <w:bottom w:val="none" w:sz="0" w:space="0" w:color="auto"/>
            <w:right w:val="none" w:sz="0" w:space="0" w:color="auto"/>
          </w:divBdr>
        </w:div>
      </w:divsChild>
    </w:div>
    <w:div w:id="1141269792">
      <w:marLeft w:val="0"/>
      <w:marRight w:val="0"/>
      <w:marTop w:val="0"/>
      <w:marBottom w:val="100"/>
      <w:divBdr>
        <w:top w:val="none" w:sz="0" w:space="0" w:color="auto"/>
        <w:left w:val="none" w:sz="0" w:space="0" w:color="auto"/>
        <w:bottom w:val="none" w:sz="0" w:space="0" w:color="auto"/>
        <w:right w:val="none" w:sz="0" w:space="0" w:color="auto"/>
      </w:divBdr>
    </w:div>
    <w:div w:id="1142306409">
      <w:marLeft w:val="0"/>
      <w:marRight w:val="0"/>
      <w:marTop w:val="100"/>
      <w:marBottom w:val="0"/>
      <w:divBdr>
        <w:top w:val="none" w:sz="0" w:space="0" w:color="auto"/>
        <w:left w:val="none" w:sz="0" w:space="0" w:color="auto"/>
        <w:bottom w:val="none" w:sz="0" w:space="0" w:color="auto"/>
        <w:right w:val="none" w:sz="0" w:space="0" w:color="auto"/>
      </w:divBdr>
    </w:div>
    <w:div w:id="1143276643">
      <w:marLeft w:val="0"/>
      <w:marRight w:val="0"/>
      <w:marTop w:val="0"/>
      <w:marBottom w:val="0"/>
      <w:divBdr>
        <w:top w:val="none" w:sz="0" w:space="0" w:color="auto"/>
        <w:left w:val="none" w:sz="0" w:space="0" w:color="auto"/>
        <w:bottom w:val="none" w:sz="0" w:space="0" w:color="auto"/>
        <w:right w:val="none" w:sz="0" w:space="0" w:color="auto"/>
      </w:divBdr>
      <w:divsChild>
        <w:div w:id="1356997559">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43617992">
      <w:marLeft w:val="0"/>
      <w:marRight w:val="0"/>
      <w:marTop w:val="100"/>
      <w:marBottom w:val="100"/>
      <w:divBdr>
        <w:top w:val="none" w:sz="0" w:space="0" w:color="auto"/>
        <w:left w:val="none" w:sz="0" w:space="0" w:color="auto"/>
        <w:bottom w:val="none" w:sz="0" w:space="0" w:color="auto"/>
        <w:right w:val="none" w:sz="0" w:space="0" w:color="auto"/>
      </w:divBdr>
    </w:div>
    <w:div w:id="1144618091">
      <w:marLeft w:val="0"/>
      <w:marRight w:val="0"/>
      <w:marTop w:val="0"/>
      <w:marBottom w:val="100"/>
      <w:divBdr>
        <w:top w:val="none" w:sz="0" w:space="0" w:color="auto"/>
        <w:left w:val="none" w:sz="0" w:space="0" w:color="auto"/>
        <w:bottom w:val="none" w:sz="0" w:space="0" w:color="auto"/>
        <w:right w:val="none" w:sz="0" w:space="0" w:color="auto"/>
      </w:divBdr>
    </w:div>
    <w:div w:id="1146975656">
      <w:marLeft w:val="0"/>
      <w:marRight w:val="0"/>
      <w:marTop w:val="180"/>
      <w:marBottom w:val="0"/>
      <w:divBdr>
        <w:top w:val="none" w:sz="0" w:space="0" w:color="auto"/>
        <w:left w:val="none" w:sz="0" w:space="0" w:color="auto"/>
        <w:bottom w:val="none" w:sz="0" w:space="0" w:color="auto"/>
        <w:right w:val="none" w:sz="0" w:space="0" w:color="auto"/>
      </w:divBdr>
    </w:div>
    <w:div w:id="1147673739">
      <w:marLeft w:val="0"/>
      <w:marRight w:val="0"/>
      <w:marTop w:val="0"/>
      <w:marBottom w:val="100"/>
      <w:divBdr>
        <w:top w:val="none" w:sz="0" w:space="0" w:color="auto"/>
        <w:left w:val="none" w:sz="0" w:space="0" w:color="auto"/>
        <w:bottom w:val="none" w:sz="0" w:space="0" w:color="auto"/>
        <w:right w:val="none" w:sz="0" w:space="0" w:color="auto"/>
      </w:divBdr>
    </w:div>
    <w:div w:id="1148205781">
      <w:marLeft w:val="0"/>
      <w:marRight w:val="0"/>
      <w:marTop w:val="0"/>
      <w:marBottom w:val="0"/>
      <w:divBdr>
        <w:top w:val="none" w:sz="0" w:space="0" w:color="auto"/>
        <w:left w:val="none" w:sz="0" w:space="0" w:color="auto"/>
        <w:bottom w:val="none" w:sz="0" w:space="0" w:color="auto"/>
        <w:right w:val="none" w:sz="0" w:space="0" w:color="auto"/>
      </w:divBdr>
      <w:divsChild>
        <w:div w:id="524056072">
          <w:marLeft w:val="0"/>
          <w:marRight w:val="0"/>
          <w:marTop w:val="0"/>
          <w:marBottom w:val="0"/>
          <w:divBdr>
            <w:top w:val="none" w:sz="0" w:space="0" w:color="auto"/>
            <w:left w:val="none" w:sz="0" w:space="0" w:color="auto"/>
            <w:bottom w:val="none" w:sz="0" w:space="0" w:color="auto"/>
            <w:right w:val="none" w:sz="0" w:space="0" w:color="auto"/>
          </w:divBdr>
          <w:divsChild>
            <w:div w:id="83757707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49058990">
      <w:marLeft w:val="0"/>
      <w:marRight w:val="0"/>
      <w:marTop w:val="100"/>
      <w:marBottom w:val="100"/>
      <w:divBdr>
        <w:top w:val="none" w:sz="0" w:space="0" w:color="auto"/>
        <w:left w:val="none" w:sz="0" w:space="0" w:color="auto"/>
        <w:bottom w:val="none" w:sz="0" w:space="0" w:color="auto"/>
        <w:right w:val="none" w:sz="0" w:space="0" w:color="auto"/>
      </w:divBdr>
    </w:div>
    <w:div w:id="1150295277">
      <w:marLeft w:val="0"/>
      <w:marRight w:val="0"/>
      <w:marTop w:val="180"/>
      <w:marBottom w:val="0"/>
      <w:divBdr>
        <w:top w:val="none" w:sz="0" w:space="0" w:color="auto"/>
        <w:left w:val="none" w:sz="0" w:space="0" w:color="auto"/>
        <w:bottom w:val="none" w:sz="0" w:space="0" w:color="auto"/>
        <w:right w:val="none" w:sz="0" w:space="0" w:color="auto"/>
      </w:divBdr>
    </w:div>
    <w:div w:id="1151629802">
      <w:marLeft w:val="0"/>
      <w:marRight w:val="0"/>
      <w:marTop w:val="0"/>
      <w:marBottom w:val="100"/>
      <w:divBdr>
        <w:top w:val="none" w:sz="0" w:space="0" w:color="auto"/>
        <w:left w:val="none" w:sz="0" w:space="0" w:color="auto"/>
        <w:bottom w:val="none" w:sz="0" w:space="0" w:color="auto"/>
        <w:right w:val="none" w:sz="0" w:space="0" w:color="auto"/>
      </w:divBdr>
    </w:div>
    <w:div w:id="1154839499">
      <w:marLeft w:val="0"/>
      <w:marRight w:val="0"/>
      <w:marTop w:val="0"/>
      <w:marBottom w:val="0"/>
      <w:divBdr>
        <w:top w:val="none" w:sz="0" w:space="0" w:color="auto"/>
        <w:left w:val="none" w:sz="0" w:space="0" w:color="auto"/>
        <w:bottom w:val="none" w:sz="0" w:space="0" w:color="auto"/>
        <w:right w:val="none" w:sz="0" w:space="0" w:color="auto"/>
      </w:divBdr>
      <w:divsChild>
        <w:div w:id="1979069055">
          <w:marLeft w:val="0"/>
          <w:marRight w:val="0"/>
          <w:marTop w:val="0"/>
          <w:marBottom w:val="100"/>
          <w:divBdr>
            <w:top w:val="none" w:sz="0" w:space="0" w:color="auto"/>
            <w:left w:val="none" w:sz="0" w:space="0" w:color="auto"/>
            <w:bottom w:val="none" w:sz="0" w:space="0" w:color="auto"/>
            <w:right w:val="none" w:sz="0" w:space="0" w:color="auto"/>
          </w:divBdr>
        </w:div>
      </w:divsChild>
    </w:div>
    <w:div w:id="1155491847">
      <w:marLeft w:val="0"/>
      <w:marRight w:val="0"/>
      <w:marTop w:val="100"/>
      <w:marBottom w:val="100"/>
      <w:divBdr>
        <w:top w:val="none" w:sz="0" w:space="0" w:color="auto"/>
        <w:left w:val="none" w:sz="0" w:space="0" w:color="auto"/>
        <w:bottom w:val="none" w:sz="0" w:space="0" w:color="auto"/>
        <w:right w:val="none" w:sz="0" w:space="0" w:color="auto"/>
      </w:divBdr>
    </w:div>
    <w:div w:id="1157182720">
      <w:marLeft w:val="0"/>
      <w:marRight w:val="0"/>
      <w:marTop w:val="180"/>
      <w:marBottom w:val="100"/>
      <w:divBdr>
        <w:top w:val="none" w:sz="0" w:space="0" w:color="auto"/>
        <w:left w:val="none" w:sz="0" w:space="0" w:color="auto"/>
        <w:bottom w:val="none" w:sz="0" w:space="0" w:color="auto"/>
        <w:right w:val="none" w:sz="0" w:space="0" w:color="auto"/>
      </w:divBdr>
    </w:div>
    <w:div w:id="1157721988">
      <w:marLeft w:val="0"/>
      <w:marRight w:val="0"/>
      <w:marTop w:val="0"/>
      <w:marBottom w:val="100"/>
      <w:divBdr>
        <w:top w:val="none" w:sz="0" w:space="0" w:color="auto"/>
        <w:left w:val="none" w:sz="0" w:space="0" w:color="auto"/>
        <w:bottom w:val="none" w:sz="0" w:space="0" w:color="auto"/>
        <w:right w:val="none" w:sz="0" w:space="0" w:color="auto"/>
      </w:divBdr>
    </w:div>
    <w:div w:id="1159886156">
      <w:marLeft w:val="0"/>
      <w:marRight w:val="0"/>
      <w:marTop w:val="0"/>
      <w:marBottom w:val="0"/>
      <w:divBdr>
        <w:top w:val="none" w:sz="0" w:space="0" w:color="auto"/>
        <w:left w:val="none" w:sz="0" w:space="0" w:color="auto"/>
        <w:bottom w:val="none" w:sz="0" w:space="0" w:color="auto"/>
        <w:right w:val="none" w:sz="0" w:space="0" w:color="auto"/>
      </w:divBdr>
      <w:divsChild>
        <w:div w:id="1200629714">
          <w:marLeft w:val="0"/>
          <w:marRight w:val="0"/>
          <w:marTop w:val="0"/>
          <w:marBottom w:val="0"/>
          <w:divBdr>
            <w:top w:val="none" w:sz="0" w:space="0" w:color="auto"/>
            <w:left w:val="none" w:sz="0" w:space="0" w:color="auto"/>
            <w:bottom w:val="none" w:sz="0" w:space="0" w:color="auto"/>
            <w:right w:val="none" w:sz="0" w:space="0" w:color="auto"/>
          </w:divBdr>
          <w:divsChild>
            <w:div w:id="111294205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63548469">
      <w:marLeft w:val="0"/>
      <w:marRight w:val="0"/>
      <w:marTop w:val="100"/>
      <w:marBottom w:val="0"/>
      <w:divBdr>
        <w:top w:val="none" w:sz="0" w:space="0" w:color="auto"/>
        <w:left w:val="none" w:sz="0" w:space="0" w:color="auto"/>
        <w:bottom w:val="none" w:sz="0" w:space="0" w:color="auto"/>
        <w:right w:val="none" w:sz="0" w:space="0" w:color="auto"/>
      </w:divBdr>
    </w:div>
    <w:div w:id="1164125760">
      <w:marLeft w:val="0"/>
      <w:marRight w:val="0"/>
      <w:marTop w:val="180"/>
      <w:marBottom w:val="0"/>
      <w:divBdr>
        <w:top w:val="none" w:sz="0" w:space="0" w:color="auto"/>
        <w:left w:val="none" w:sz="0" w:space="0" w:color="auto"/>
        <w:bottom w:val="none" w:sz="0" w:space="0" w:color="auto"/>
        <w:right w:val="none" w:sz="0" w:space="0" w:color="auto"/>
      </w:divBdr>
    </w:div>
    <w:div w:id="1165706435">
      <w:marLeft w:val="0"/>
      <w:marRight w:val="0"/>
      <w:marTop w:val="0"/>
      <w:marBottom w:val="0"/>
      <w:divBdr>
        <w:top w:val="none" w:sz="0" w:space="0" w:color="auto"/>
        <w:left w:val="none" w:sz="0" w:space="0" w:color="auto"/>
        <w:bottom w:val="none" w:sz="0" w:space="0" w:color="auto"/>
        <w:right w:val="none" w:sz="0" w:space="0" w:color="auto"/>
      </w:divBdr>
    </w:div>
    <w:div w:id="1165902014">
      <w:marLeft w:val="0"/>
      <w:marRight w:val="0"/>
      <w:marTop w:val="180"/>
      <w:marBottom w:val="0"/>
      <w:divBdr>
        <w:top w:val="none" w:sz="0" w:space="0" w:color="auto"/>
        <w:left w:val="none" w:sz="0" w:space="0" w:color="auto"/>
        <w:bottom w:val="none" w:sz="0" w:space="0" w:color="auto"/>
        <w:right w:val="none" w:sz="0" w:space="0" w:color="auto"/>
      </w:divBdr>
    </w:div>
    <w:div w:id="1166478228">
      <w:marLeft w:val="0"/>
      <w:marRight w:val="0"/>
      <w:marTop w:val="100"/>
      <w:marBottom w:val="100"/>
      <w:divBdr>
        <w:top w:val="none" w:sz="0" w:space="0" w:color="auto"/>
        <w:left w:val="none" w:sz="0" w:space="0" w:color="auto"/>
        <w:bottom w:val="none" w:sz="0" w:space="0" w:color="auto"/>
        <w:right w:val="none" w:sz="0" w:space="0" w:color="auto"/>
      </w:divBdr>
    </w:div>
    <w:div w:id="1167093791">
      <w:marLeft w:val="0"/>
      <w:marRight w:val="0"/>
      <w:marTop w:val="180"/>
      <w:marBottom w:val="100"/>
      <w:divBdr>
        <w:top w:val="none" w:sz="0" w:space="0" w:color="auto"/>
        <w:left w:val="none" w:sz="0" w:space="0" w:color="auto"/>
        <w:bottom w:val="none" w:sz="0" w:space="0" w:color="auto"/>
        <w:right w:val="none" w:sz="0" w:space="0" w:color="auto"/>
      </w:divBdr>
    </w:div>
    <w:div w:id="1168909489">
      <w:marLeft w:val="0"/>
      <w:marRight w:val="0"/>
      <w:marTop w:val="100"/>
      <w:marBottom w:val="100"/>
      <w:divBdr>
        <w:top w:val="none" w:sz="0" w:space="0" w:color="auto"/>
        <w:left w:val="none" w:sz="0" w:space="0" w:color="auto"/>
        <w:bottom w:val="none" w:sz="0" w:space="0" w:color="auto"/>
        <w:right w:val="none" w:sz="0" w:space="0" w:color="auto"/>
      </w:divBdr>
    </w:div>
    <w:div w:id="1171065859">
      <w:marLeft w:val="0"/>
      <w:marRight w:val="0"/>
      <w:marTop w:val="100"/>
      <w:marBottom w:val="100"/>
      <w:divBdr>
        <w:top w:val="none" w:sz="0" w:space="0" w:color="auto"/>
        <w:left w:val="none" w:sz="0" w:space="0" w:color="auto"/>
        <w:bottom w:val="none" w:sz="0" w:space="0" w:color="auto"/>
        <w:right w:val="none" w:sz="0" w:space="0" w:color="auto"/>
      </w:divBdr>
    </w:div>
    <w:div w:id="1171606671">
      <w:marLeft w:val="0"/>
      <w:marRight w:val="0"/>
      <w:marTop w:val="100"/>
      <w:marBottom w:val="100"/>
      <w:divBdr>
        <w:top w:val="none" w:sz="0" w:space="0" w:color="auto"/>
        <w:left w:val="none" w:sz="0" w:space="0" w:color="auto"/>
        <w:bottom w:val="none" w:sz="0" w:space="0" w:color="auto"/>
        <w:right w:val="none" w:sz="0" w:space="0" w:color="auto"/>
      </w:divBdr>
    </w:div>
    <w:div w:id="1173957626">
      <w:marLeft w:val="0"/>
      <w:marRight w:val="0"/>
      <w:marTop w:val="0"/>
      <w:marBottom w:val="100"/>
      <w:divBdr>
        <w:top w:val="none" w:sz="0" w:space="0" w:color="auto"/>
        <w:left w:val="none" w:sz="0" w:space="0" w:color="auto"/>
        <w:bottom w:val="none" w:sz="0" w:space="0" w:color="auto"/>
        <w:right w:val="none" w:sz="0" w:space="0" w:color="auto"/>
      </w:divBdr>
    </w:div>
    <w:div w:id="1174032939">
      <w:marLeft w:val="0"/>
      <w:marRight w:val="0"/>
      <w:marTop w:val="0"/>
      <w:marBottom w:val="100"/>
      <w:divBdr>
        <w:top w:val="none" w:sz="0" w:space="0" w:color="auto"/>
        <w:left w:val="none" w:sz="0" w:space="0" w:color="auto"/>
        <w:bottom w:val="none" w:sz="0" w:space="0" w:color="auto"/>
        <w:right w:val="none" w:sz="0" w:space="0" w:color="auto"/>
      </w:divBdr>
    </w:div>
    <w:div w:id="1175800699">
      <w:marLeft w:val="0"/>
      <w:marRight w:val="0"/>
      <w:marTop w:val="0"/>
      <w:marBottom w:val="100"/>
      <w:divBdr>
        <w:top w:val="none" w:sz="0" w:space="0" w:color="auto"/>
        <w:left w:val="none" w:sz="0" w:space="0" w:color="auto"/>
        <w:bottom w:val="none" w:sz="0" w:space="0" w:color="auto"/>
        <w:right w:val="none" w:sz="0" w:space="0" w:color="auto"/>
      </w:divBdr>
    </w:div>
    <w:div w:id="1177571288">
      <w:marLeft w:val="0"/>
      <w:marRight w:val="0"/>
      <w:marTop w:val="0"/>
      <w:marBottom w:val="0"/>
      <w:divBdr>
        <w:top w:val="none" w:sz="0" w:space="0" w:color="auto"/>
        <w:left w:val="none" w:sz="0" w:space="0" w:color="auto"/>
        <w:bottom w:val="none" w:sz="0" w:space="0" w:color="auto"/>
        <w:right w:val="none" w:sz="0" w:space="0" w:color="auto"/>
      </w:divBdr>
      <w:divsChild>
        <w:div w:id="878512858">
          <w:marLeft w:val="0"/>
          <w:marRight w:val="0"/>
          <w:marTop w:val="0"/>
          <w:marBottom w:val="100"/>
          <w:divBdr>
            <w:top w:val="none" w:sz="0" w:space="0" w:color="auto"/>
            <w:left w:val="none" w:sz="0" w:space="0" w:color="auto"/>
            <w:bottom w:val="none" w:sz="0" w:space="0" w:color="auto"/>
            <w:right w:val="none" w:sz="0" w:space="0" w:color="auto"/>
          </w:divBdr>
        </w:div>
      </w:divsChild>
    </w:div>
    <w:div w:id="1177814536">
      <w:marLeft w:val="0"/>
      <w:marRight w:val="0"/>
      <w:marTop w:val="100"/>
      <w:marBottom w:val="0"/>
      <w:divBdr>
        <w:top w:val="none" w:sz="0" w:space="0" w:color="auto"/>
        <w:left w:val="none" w:sz="0" w:space="0" w:color="auto"/>
        <w:bottom w:val="none" w:sz="0" w:space="0" w:color="auto"/>
        <w:right w:val="none" w:sz="0" w:space="0" w:color="auto"/>
      </w:divBdr>
    </w:div>
    <w:div w:id="1179151912">
      <w:marLeft w:val="0"/>
      <w:marRight w:val="0"/>
      <w:marTop w:val="0"/>
      <w:marBottom w:val="100"/>
      <w:divBdr>
        <w:top w:val="none" w:sz="0" w:space="0" w:color="auto"/>
        <w:left w:val="none" w:sz="0" w:space="0" w:color="auto"/>
        <w:bottom w:val="none" w:sz="0" w:space="0" w:color="auto"/>
        <w:right w:val="none" w:sz="0" w:space="0" w:color="auto"/>
      </w:divBdr>
    </w:div>
    <w:div w:id="1179583456">
      <w:marLeft w:val="0"/>
      <w:marRight w:val="0"/>
      <w:marTop w:val="100"/>
      <w:marBottom w:val="100"/>
      <w:divBdr>
        <w:top w:val="none" w:sz="0" w:space="0" w:color="auto"/>
        <w:left w:val="none" w:sz="0" w:space="0" w:color="auto"/>
        <w:bottom w:val="none" w:sz="0" w:space="0" w:color="auto"/>
        <w:right w:val="none" w:sz="0" w:space="0" w:color="auto"/>
      </w:divBdr>
    </w:div>
    <w:div w:id="1179780933">
      <w:marLeft w:val="0"/>
      <w:marRight w:val="0"/>
      <w:marTop w:val="0"/>
      <w:marBottom w:val="0"/>
      <w:divBdr>
        <w:top w:val="none" w:sz="0" w:space="0" w:color="auto"/>
        <w:left w:val="none" w:sz="0" w:space="0" w:color="auto"/>
        <w:bottom w:val="none" w:sz="0" w:space="0" w:color="auto"/>
        <w:right w:val="none" w:sz="0" w:space="0" w:color="auto"/>
      </w:divBdr>
      <w:divsChild>
        <w:div w:id="961427318">
          <w:marLeft w:val="0"/>
          <w:marRight w:val="0"/>
          <w:marTop w:val="0"/>
          <w:marBottom w:val="100"/>
          <w:divBdr>
            <w:top w:val="none" w:sz="0" w:space="0" w:color="auto"/>
            <w:left w:val="none" w:sz="0" w:space="0" w:color="auto"/>
            <w:bottom w:val="none" w:sz="0" w:space="0" w:color="auto"/>
            <w:right w:val="none" w:sz="0" w:space="0" w:color="auto"/>
          </w:divBdr>
        </w:div>
      </w:divsChild>
    </w:div>
    <w:div w:id="1183396021">
      <w:marLeft w:val="0"/>
      <w:marRight w:val="0"/>
      <w:marTop w:val="100"/>
      <w:marBottom w:val="100"/>
      <w:divBdr>
        <w:top w:val="none" w:sz="0" w:space="0" w:color="auto"/>
        <w:left w:val="none" w:sz="0" w:space="0" w:color="auto"/>
        <w:bottom w:val="none" w:sz="0" w:space="0" w:color="auto"/>
        <w:right w:val="none" w:sz="0" w:space="0" w:color="auto"/>
      </w:divBdr>
    </w:div>
    <w:div w:id="1183516011">
      <w:marLeft w:val="0"/>
      <w:marRight w:val="0"/>
      <w:marTop w:val="0"/>
      <w:marBottom w:val="0"/>
      <w:divBdr>
        <w:top w:val="none" w:sz="0" w:space="0" w:color="auto"/>
        <w:left w:val="none" w:sz="0" w:space="0" w:color="auto"/>
        <w:bottom w:val="none" w:sz="0" w:space="0" w:color="auto"/>
        <w:right w:val="none" w:sz="0" w:space="0" w:color="auto"/>
      </w:divBdr>
      <w:divsChild>
        <w:div w:id="2006129891">
          <w:marLeft w:val="0"/>
          <w:marRight w:val="0"/>
          <w:marTop w:val="0"/>
          <w:marBottom w:val="100"/>
          <w:divBdr>
            <w:top w:val="none" w:sz="0" w:space="0" w:color="auto"/>
            <w:left w:val="none" w:sz="0" w:space="0" w:color="auto"/>
            <w:bottom w:val="none" w:sz="0" w:space="0" w:color="auto"/>
            <w:right w:val="none" w:sz="0" w:space="0" w:color="auto"/>
          </w:divBdr>
        </w:div>
      </w:divsChild>
    </w:div>
    <w:div w:id="1185441856">
      <w:marLeft w:val="0"/>
      <w:marRight w:val="0"/>
      <w:marTop w:val="100"/>
      <w:marBottom w:val="0"/>
      <w:divBdr>
        <w:top w:val="none" w:sz="0" w:space="0" w:color="auto"/>
        <w:left w:val="none" w:sz="0" w:space="0" w:color="auto"/>
        <w:bottom w:val="none" w:sz="0" w:space="0" w:color="auto"/>
        <w:right w:val="none" w:sz="0" w:space="0" w:color="auto"/>
      </w:divBdr>
    </w:div>
    <w:div w:id="1187402428">
      <w:marLeft w:val="0"/>
      <w:marRight w:val="0"/>
      <w:marTop w:val="100"/>
      <w:marBottom w:val="100"/>
      <w:divBdr>
        <w:top w:val="none" w:sz="0" w:space="0" w:color="auto"/>
        <w:left w:val="none" w:sz="0" w:space="0" w:color="auto"/>
        <w:bottom w:val="none" w:sz="0" w:space="0" w:color="auto"/>
        <w:right w:val="none" w:sz="0" w:space="0" w:color="auto"/>
      </w:divBdr>
    </w:div>
    <w:div w:id="1187715836">
      <w:marLeft w:val="0"/>
      <w:marRight w:val="0"/>
      <w:marTop w:val="0"/>
      <w:marBottom w:val="100"/>
      <w:divBdr>
        <w:top w:val="none" w:sz="0" w:space="0" w:color="auto"/>
        <w:left w:val="none" w:sz="0" w:space="0" w:color="auto"/>
        <w:bottom w:val="none" w:sz="0" w:space="0" w:color="auto"/>
        <w:right w:val="none" w:sz="0" w:space="0" w:color="auto"/>
      </w:divBdr>
    </w:div>
    <w:div w:id="1188984823">
      <w:marLeft w:val="0"/>
      <w:marRight w:val="0"/>
      <w:marTop w:val="0"/>
      <w:marBottom w:val="0"/>
      <w:divBdr>
        <w:top w:val="none" w:sz="0" w:space="0" w:color="auto"/>
        <w:left w:val="none" w:sz="0" w:space="0" w:color="auto"/>
        <w:bottom w:val="none" w:sz="0" w:space="0" w:color="auto"/>
        <w:right w:val="none" w:sz="0" w:space="0" w:color="auto"/>
      </w:divBdr>
      <w:divsChild>
        <w:div w:id="1829860188">
          <w:marLeft w:val="0"/>
          <w:marRight w:val="0"/>
          <w:marTop w:val="0"/>
          <w:marBottom w:val="100"/>
          <w:divBdr>
            <w:top w:val="none" w:sz="0" w:space="0" w:color="auto"/>
            <w:left w:val="none" w:sz="0" w:space="0" w:color="auto"/>
            <w:bottom w:val="none" w:sz="0" w:space="0" w:color="auto"/>
            <w:right w:val="none" w:sz="0" w:space="0" w:color="auto"/>
          </w:divBdr>
        </w:div>
      </w:divsChild>
    </w:div>
    <w:div w:id="1189026488">
      <w:marLeft w:val="0"/>
      <w:marRight w:val="0"/>
      <w:marTop w:val="180"/>
      <w:marBottom w:val="0"/>
      <w:divBdr>
        <w:top w:val="none" w:sz="0" w:space="0" w:color="auto"/>
        <w:left w:val="none" w:sz="0" w:space="0" w:color="auto"/>
        <w:bottom w:val="none" w:sz="0" w:space="0" w:color="auto"/>
        <w:right w:val="none" w:sz="0" w:space="0" w:color="auto"/>
      </w:divBdr>
    </w:div>
    <w:div w:id="1190265402">
      <w:marLeft w:val="0"/>
      <w:marRight w:val="0"/>
      <w:marTop w:val="100"/>
      <w:marBottom w:val="100"/>
      <w:divBdr>
        <w:top w:val="none" w:sz="0" w:space="0" w:color="auto"/>
        <w:left w:val="none" w:sz="0" w:space="0" w:color="auto"/>
        <w:bottom w:val="none" w:sz="0" w:space="0" w:color="auto"/>
        <w:right w:val="none" w:sz="0" w:space="0" w:color="auto"/>
      </w:divBdr>
    </w:div>
    <w:div w:id="1190875664">
      <w:marLeft w:val="0"/>
      <w:marRight w:val="0"/>
      <w:marTop w:val="0"/>
      <w:marBottom w:val="100"/>
      <w:divBdr>
        <w:top w:val="none" w:sz="0" w:space="0" w:color="auto"/>
        <w:left w:val="none" w:sz="0" w:space="0" w:color="auto"/>
        <w:bottom w:val="none" w:sz="0" w:space="0" w:color="auto"/>
        <w:right w:val="none" w:sz="0" w:space="0" w:color="auto"/>
      </w:divBdr>
    </w:div>
    <w:div w:id="1192036345">
      <w:marLeft w:val="0"/>
      <w:marRight w:val="0"/>
      <w:marTop w:val="0"/>
      <w:marBottom w:val="0"/>
      <w:divBdr>
        <w:top w:val="none" w:sz="0" w:space="0" w:color="auto"/>
        <w:left w:val="none" w:sz="0" w:space="0" w:color="auto"/>
        <w:bottom w:val="none" w:sz="0" w:space="0" w:color="auto"/>
        <w:right w:val="none" w:sz="0" w:space="0" w:color="auto"/>
      </w:divBdr>
      <w:divsChild>
        <w:div w:id="344479592">
          <w:marLeft w:val="0"/>
          <w:marRight w:val="0"/>
          <w:marTop w:val="0"/>
          <w:marBottom w:val="100"/>
          <w:divBdr>
            <w:top w:val="none" w:sz="0" w:space="0" w:color="auto"/>
            <w:left w:val="none" w:sz="0" w:space="0" w:color="auto"/>
            <w:bottom w:val="none" w:sz="0" w:space="0" w:color="auto"/>
            <w:right w:val="none" w:sz="0" w:space="0" w:color="auto"/>
          </w:divBdr>
        </w:div>
      </w:divsChild>
    </w:div>
    <w:div w:id="1192764407">
      <w:marLeft w:val="0"/>
      <w:marRight w:val="0"/>
      <w:marTop w:val="100"/>
      <w:marBottom w:val="0"/>
      <w:divBdr>
        <w:top w:val="none" w:sz="0" w:space="0" w:color="auto"/>
        <w:left w:val="none" w:sz="0" w:space="0" w:color="auto"/>
        <w:bottom w:val="none" w:sz="0" w:space="0" w:color="auto"/>
        <w:right w:val="none" w:sz="0" w:space="0" w:color="auto"/>
      </w:divBdr>
    </w:div>
    <w:div w:id="1194000546">
      <w:marLeft w:val="0"/>
      <w:marRight w:val="0"/>
      <w:marTop w:val="100"/>
      <w:marBottom w:val="100"/>
      <w:divBdr>
        <w:top w:val="none" w:sz="0" w:space="0" w:color="auto"/>
        <w:left w:val="none" w:sz="0" w:space="0" w:color="auto"/>
        <w:bottom w:val="none" w:sz="0" w:space="0" w:color="auto"/>
        <w:right w:val="none" w:sz="0" w:space="0" w:color="auto"/>
      </w:divBdr>
    </w:div>
    <w:div w:id="1194726825">
      <w:marLeft w:val="0"/>
      <w:marRight w:val="0"/>
      <w:marTop w:val="0"/>
      <w:marBottom w:val="100"/>
      <w:divBdr>
        <w:top w:val="none" w:sz="0" w:space="0" w:color="auto"/>
        <w:left w:val="none" w:sz="0" w:space="0" w:color="auto"/>
        <w:bottom w:val="none" w:sz="0" w:space="0" w:color="auto"/>
        <w:right w:val="none" w:sz="0" w:space="0" w:color="auto"/>
      </w:divBdr>
    </w:div>
    <w:div w:id="1195071648">
      <w:marLeft w:val="0"/>
      <w:marRight w:val="0"/>
      <w:marTop w:val="0"/>
      <w:marBottom w:val="0"/>
      <w:divBdr>
        <w:top w:val="none" w:sz="0" w:space="0" w:color="auto"/>
        <w:left w:val="none" w:sz="0" w:space="0" w:color="auto"/>
        <w:bottom w:val="none" w:sz="0" w:space="0" w:color="auto"/>
        <w:right w:val="none" w:sz="0" w:space="0" w:color="auto"/>
      </w:divBdr>
      <w:divsChild>
        <w:div w:id="1118255640">
          <w:marLeft w:val="0"/>
          <w:marRight w:val="0"/>
          <w:marTop w:val="0"/>
          <w:marBottom w:val="100"/>
          <w:divBdr>
            <w:top w:val="none" w:sz="0" w:space="0" w:color="auto"/>
            <w:left w:val="none" w:sz="0" w:space="0" w:color="auto"/>
            <w:bottom w:val="none" w:sz="0" w:space="0" w:color="auto"/>
            <w:right w:val="none" w:sz="0" w:space="0" w:color="auto"/>
          </w:divBdr>
        </w:div>
      </w:divsChild>
    </w:div>
    <w:div w:id="1195341653">
      <w:marLeft w:val="0"/>
      <w:marRight w:val="0"/>
      <w:marTop w:val="100"/>
      <w:marBottom w:val="100"/>
      <w:divBdr>
        <w:top w:val="none" w:sz="0" w:space="0" w:color="auto"/>
        <w:left w:val="none" w:sz="0" w:space="0" w:color="auto"/>
        <w:bottom w:val="none" w:sz="0" w:space="0" w:color="auto"/>
        <w:right w:val="none" w:sz="0" w:space="0" w:color="auto"/>
      </w:divBdr>
    </w:div>
    <w:div w:id="1195459296">
      <w:marLeft w:val="0"/>
      <w:marRight w:val="0"/>
      <w:marTop w:val="0"/>
      <w:marBottom w:val="0"/>
      <w:divBdr>
        <w:top w:val="none" w:sz="0" w:space="0" w:color="auto"/>
        <w:left w:val="none" w:sz="0" w:space="0" w:color="auto"/>
        <w:bottom w:val="none" w:sz="0" w:space="0" w:color="auto"/>
        <w:right w:val="none" w:sz="0" w:space="0" w:color="auto"/>
      </w:divBdr>
    </w:div>
    <w:div w:id="1196313816">
      <w:marLeft w:val="0"/>
      <w:marRight w:val="0"/>
      <w:marTop w:val="100"/>
      <w:marBottom w:val="100"/>
      <w:divBdr>
        <w:top w:val="none" w:sz="0" w:space="0" w:color="auto"/>
        <w:left w:val="none" w:sz="0" w:space="0" w:color="auto"/>
        <w:bottom w:val="none" w:sz="0" w:space="0" w:color="auto"/>
        <w:right w:val="none" w:sz="0" w:space="0" w:color="auto"/>
      </w:divBdr>
    </w:div>
    <w:div w:id="1197700913">
      <w:marLeft w:val="0"/>
      <w:marRight w:val="0"/>
      <w:marTop w:val="80"/>
      <w:marBottom w:val="100"/>
      <w:divBdr>
        <w:top w:val="none" w:sz="0" w:space="0" w:color="auto"/>
        <w:left w:val="none" w:sz="0" w:space="0" w:color="auto"/>
        <w:bottom w:val="none" w:sz="0" w:space="0" w:color="auto"/>
        <w:right w:val="none" w:sz="0" w:space="0" w:color="auto"/>
      </w:divBdr>
    </w:div>
    <w:div w:id="1197886052">
      <w:marLeft w:val="0"/>
      <w:marRight w:val="0"/>
      <w:marTop w:val="180"/>
      <w:marBottom w:val="0"/>
      <w:divBdr>
        <w:top w:val="none" w:sz="0" w:space="0" w:color="auto"/>
        <w:left w:val="none" w:sz="0" w:space="0" w:color="auto"/>
        <w:bottom w:val="none" w:sz="0" w:space="0" w:color="auto"/>
        <w:right w:val="none" w:sz="0" w:space="0" w:color="auto"/>
      </w:divBdr>
    </w:div>
    <w:div w:id="1199315718">
      <w:marLeft w:val="0"/>
      <w:marRight w:val="0"/>
      <w:marTop w:val="0"/>
      <w:marBottom w:val="0"/>
      <w:divBdr>
        <w:top w:val="none" w:sz="0" w:space="0" w:color="auto"/>
        <w:left w:val="none" w:sz="0" w:space="0" w:color="auto"/>
        <w:bottom w:val="none" w:sz="0" w:space="0" w:color="auto"/>
        <w:right w:val="none" w:sz="0" w:space="0" w:color="auto"/>
      </w:divBdr>
    </w:div>
    <w:div w:id="1204757124">
      <w:marLeft w:val="0"/>
      <w:marRight w:val="0"/>
      <w:marTop w:val="0"/>
      <w:marBottom w:val="100"/>
      <w:divBdr>
        <w:top w:val="none" w:sz="0" w:space="0" w:color="auto"/>
        <w:left w:val="none" w:sz="0" w:space="0" w:color="auto"/>
        <w:bottom w:val="none" w:sz="0" w:space="0" w:color="auto"/>
        <w:right w:val="none" w:sz="0" w:space="0" w:color="auto"/>
      </w:divBdr>
    </w:div>
    <w:div w:id="1207568343">
      <w:marLeft w:val="0"/>
      <w:marRight w:val="0"/>
      <w:marTop w:val="100"/>
      <w:marBottom w:val="100"/>
      <w:divBdr>
        <w:top w:val="none" w:sz="0" w:space="0" w:color="auto"/>
        <w:left w:val="none" w:sz="0" w:space="0" w:color="auto"/>
        <w:bottom w:val="none" w:sz="0" w:space="0" w:color="auto"/>
        <w:right w:val="none" w:sz="0" w:space="0" w:color="auto"/>
      </w:divBdr>
    </w:div>
    <w:div w:id="1208175660">
      <w:marLeft w:val="0"/>
      <w:marRight w:val="0"/>
      <w:marTop w:val="100"/>
      <w:marBottom w:val="100"/>
      <w:divBdr>
        <w:top w:val="none" w:sz="0" w:space="0" w:color="auto"/>
        <w:left w:val="none" w:sz="0" w:space="0" w:color="auto"/>
        <w:bottom w:val="none" w:sz="0" w:space="0" w:color="auto"/>
        <w:right w:val="none" w:sz="0" w:space="0" w:color="auto"/>
      </w:divBdr>
    </w:div>
    <w:div w:id="1208378235">
      <w:marLeft w:val="0"/>
      <w:marRight w:val="0"/>
      <w:marTop w:val="100"/>
      <w:marBottom w:val="100"/>
      <w:divBdr>
        <w:top w:val="none" w:sz="0" w:space="0" w:color="auto"/>
        <w:left w:val="none" w:sz="0" w:space="0" w:color="auto"/>
        <w:bottom w:val="none" w:sz="0" w:space="0" w:color="auto"/>
        <w:right w:val="none" w:sz="0" w:space="0" w:color="auto"/>
      </w:divBdr>
    </w:div>
    <w:div w:id="1209610202">
      <w:marLeft w:val="0"/>
      <w:marRight w:val="0"/>
      <w:marTop w:val="0"/>
      <w:marBottom w:val="0"/>
      <w:divBdr>
        <w:top w:val="none" w:sz="0" w:space="0" w:color="auto"/>
        <w:left w:val="none" w:sz="0" w:space="0" w:color="auto"/>
        <w:bottom w:val="none" w:sz="0" w:space="0" w:color="auto"/>
        <w:right w:val="none" w:sz="0" w:space="0" w:color="auto"/>
      </w:divBdr>
    </w:div>
    <w:div w:id="1214123770">
      <w:marLeft w:val="0"/>
      <w:marRight w:val="0"/>
      <w:marTop w:val="0"/>
      <w:marBottom w:val="0"/>
      <w:divBdr>
        <w:top w:val="none" w:sz="0" w:space="0" w:color="auto"/>
        <w:left w:val="none" w:sz="0" w:space="0" w:color="auto"/>
        <w:bottom w:val="none" w:sz="0" w:space="0" w:color="auto"/>
        <w:right w:val="none" w:sz="0" w:space="0" w:color="auto"/>
      </w:divBdr>
    </w:div>
    <w:div w:id="1215652738">
      <w:marLeft w:val="0"/>
      <w:marRight w:val="0"/>
      <w:marTop w:val="100"/>
      <w:marBottom w:val="100"/>
      <w:divBdr>
        <w:top w:val="none" w:sz="0" w:space="0" w:color="auto"/>
        <w:left w:val="none" w:sz="0" w:space="0" w:color="auto"/>
        <w:bottom w:val="none" w:sz="0" w:space="0" w:color="auto"/>
        <w:right w:val="none" w:sz="0" w:space="0" w:color="auto"/>
      </w:divBdr>
    </w:div>
    <w:div w:id="1217349471">
      <w:marLeft w:val="0"/>
      <w:marRight w:val="0"/>
      <w:marTop w:val="100"/>
      <w:marBottom w:val="100"/>
      <w:divBdr>
        <w:top w:val="none" w:sz="0" w:space="0" w:color="auto"/>
        <w:left w:val="none" w:sz="0" w:space="0" w:color="auto"/>
        <w:bottom w:val="none" w:sz="0" w:space="0" w:color="auto"/>
        <w:right w:val="none" w:sz="0" w:space="0" w:color="auto"/>
      </w:divBdr>
    </w:div>
    <w:div w:id="1217931155">
      <w:marLeft w:val="0"/>
      <w:marRight w:val="0"/>
      <w:marTop w:val="100"/>
      <w:marBottom w:val="100"/>
      <w:divBdr>
        <w:top w:val="none" w:sz="0" w:space="0" w:color="auto"/>
        <w:left w:val="none" w:sz="0" w:space="0" w:color="auto"/>
        <w:bottom w:val="none" w:sz="0" w:space="0" w:color="auto"/>
        <w:right w:val="none" w:sz="0" w:space="0" w:color="auto"/>
      </w:divBdr>
    </w:div>
    <w:div w:id="1218273362">
      <w:marLeft w:val="0"/>
      <w:marRight w:val="0"/>
      <w:marTop w:val="80"/>
      <w:marBottom w:val="100"/>
      <w:divBdr>
        <w:top w:val="none" w:sz="0" w:space="0" w:color="auto"/>
        <w:left w:val="none" w:sz="0" w:space="0" w:color="auto"/>
        <w:bottom w:val="none" w:sz="0" w:space="0" w:color="auto"/>
        <w:right w:val="none" w:sz="0" w:space="0" w:color="auto"/>
      </w:divBdr>
    </w:div>
    <w:div w:id="1219053671">
      <w:marLeft w:val="0"/>
      <w:marRight w:val="0"/>
      <w:marTop w:val="100"/>
      <w:marBottom w:val="100"/>
      <w:divBdr>
        <w:top w:val="none" w:sz="0" w:space="0" w:color="auto"/>
        <w:left w:val="none" w:sz="0" w:space="0" w:color="auto"/>
        <w:bottom w:val="none" w:sz="0" w:space="0" w:color="auto"/>
        <w:right w:val="none" w:sz="0" w:space="0" w:color="auto"/>
      </w:divBdr>
    </w:div>
    <w:div w:id="1219708830">
      <w:marLeft w:val="0"/>
      <w:marRight w:val="0"/>
      <w:marTop w:val="100"/>
      <w:marBottom w:val="0"/>
      <w:divBdr>
        <w:top w:val="none" w:sz="0" w:space="0" w:color="auto"/>
        <w:left w:val="none" w:sz="0" w:space="0" w:color="auto"/>
        <w:bottom w:val="none" w:sz="0" w:space="0" w:color="auto"/>
        <w:right w:val="none" w:sz="0" w:space="0" w:color="auto"/>
      </w:divBdr>
    </w:div>
    <w:div w:id="1220361854">
      <w:marLeft w:val="0"/>
      <w:marRight w:val="0"/>
      <w:marTop w:val="0"/>
      <w:marBottom w:val="100"/>
      <w:divBdr>
        <w:top w:val="none" w:sz="0" w:space="0" w:color="auto"/>
        <w:left w:val="none" w:sz="0" w:space="0" w:color="auto"/>
        <w:bottom w:val="none" w:sz="0" w:space="0" w:color="auto"/>
        <w:right w:val="none" w:sz="0" w:space="0" w:color="auto"/>
      </w:divBdr>
    </w:div>
    <w:div w:id="1222406176">
      <w:marLeft w:val="0"/>
      <w:marRight w:val="0"/>
      <w:marTop w:val="100"/>
      <w:marBottom w:val="100"/>
      <w:divBdr>
        <w:top w:val="none" w:sz="0" w:space="0" w:color="auto"/>
        <w:left w:val="none" w:sz="0" w:space="0" w:color="auto"/>
        <w:bottom w:val="none" w:sz="0" w:space="0" w:color="auto"/>
        <w:right w:val="none" w:sz="0" w:space="0" w:color="auto"/>
      </w:divBdr>
    </w:div>
    <w:div w:id="1223326385">
      <w:marLeft w:val="0"/>
      <w:marRight w:val="0"/>
      <w:marTop w:val="0"/>
      <w:marBottom w:val="0"/>
      <w:divBdr>
        <w:top w:val="none" w:sz="0" w:space="0" w:color="auto"/>
        <w:left w:val="none" w:sz="0" w:space="0" w:color="auto"/>
        <w:bottom w:val="none" w:sz="0" w:space="0" w:color="auto"/>
        <w:right w:val="none" w:sz="0" w:space="0" w:color="auto"/>
      </w:divBdr>
    </w:div>
    <w:div w:id="1223758466">
      <w:marLeft w:val="0"/>
      <w:marRight w:val="0"/>
      <w:marTop w:val="180"/>
      <w:marBottom w:val="0"/>
      <w:divBdr>
        <w:top w:val="none" w:sz="0" w:space="0" w:color="auto"/>
        <w:left w:val="none" w:sz="0" w:space="0" w:color="auto"/>
        <w:bottom w:val="none" w:sz="0" w:space="0" w:color="auto"/>
        <w:right w:val="none" w:sz="0" w:space="0" w:color="auto"/>
      </w:divBdr>
    </w:div>
    <w:div w:id="1225486267">
      <w:marLeft w:val="0"/>
      <w:marRight w:val="0"/>
      <w:marTop w:val="0"/>
      <w:marBottom w:val="100"/>
      <w:divBdr>
        <w:top w:val="none" w:sz="0" w:space="0" w:color="auto"/>
        <w:left w:val="none" w:sz="0" w:space="0" w:color="auto"/>
        <w:bottom w:val="none" w:sz="0" w:space="0" w:color="auto"/>
        <w:right w:val="none" w:sz="0" w:space="0" w:color="auto"/>
      </w:divBdr>
    </w:div>
    <w:div w:id="1226835362">
      <w:marLeft w:val="0"/>
      <w:marRight w:val="0"/>
      <w:marTop w:val="0"/>
      <w:marBottom w:val="0"/>
      <w:divBdr>
        <w:top w:val="none" w:sz="0" w:space="0" w:color="auto"/>
        <w:left w:val="none" w:sz="0" w:space="0" w:color="auto"/>
        <w:bottom w:val="none" w:sz="0" w:space="0" w:color="auto"/>
        <w:right w:val="none" w:sz="0" w:space="0" w:color="auto"/>
      </w:divBdr>
      <w:divsChild>
        <w:div w:id="1182284876">
          <w:marLeft w:val="0"/>
          <w:marRight w:val="0"/>
          <w:marTop w:val="0"/>
          <w:marBottom w:val="0"/>
          <w:divBdr>
            <w:top w:val="none" w:sz="0" w:space="0" w:color="auto"/>
            <w:left w:val="none" w:sz="0" w:space="0" w:color="auto"/>
            <w:bottom w:val="none" w:sz="0" w:space="0" w:color="auto"/>
            <w:right w:val="none" w:sz="0" w:space="0" w:color="auto"/>
          </w:divBdr>
          <w:divsChild>
            <w:div w:id="92904455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31381469">
      <w:marLeft w:val="0"/>
      <w:marRight w:val="0"/>
      <w:marTop w:val="0"/>
      <w:marBottom w:val="0"/>
      <w:divBdr>
        <w:top w:val="none" w:sz="0" w:space="0" w:color="auto"/>
        <w:left w:val="none" w:sz="0" w:space="0" w:color="auto"/>
        <w:bottom w:val="none" w:sz="0" w:space="0" w:color="auto"/>
        <w:right w:val="none" w:sz="0" w:space="0" w:color="auto"/>
      </w:divBdr>
    </w:div>
    <w:div w:id="1231699347">
      <w:marLeft w:val="0"/>
      <w:marRight w:val="0"/>
      <w:marTop w:val="0"/>
      <w:marBottom w:val="100"/>
      <w:divBdr>
        <w:top w:val="none" w:sz="0" w:space="0" w:color="auto"/>
        <w:left w:val="none" w:sz="0" w:space="0" w:color="auto"/>
        <w:bottom w:val="none" w:sz="0" w:space="0" w:color="auto"/>
        <w:right w:val="none" w:sz="0" w:space="0" w:color="auto"/>
      </w:divBdr>
    </w:div>
    <w:div w:id="1232304781">
      <w:marLeft w:val="0"/>
      <w:marRight w:val="0"/>
      <w:marTop w:val="100"/>
      <w:marBottom w:val="100"/>
      <w:divBdr>
        <w:top w:val="none" w:sz="0" w:space="0" w:color="auto"/>
        <w:left w:val="none" w:sz="0" w:space="0" w:color="auto"/>
        <w:bottom w:val="none" w:sz="0" w:space="0" w:color="auto"/>
        <w:right w:val="none" w:sz="0" w:space="0" w:color="auto"/>
      </w:divBdr>
    </w:div>
    <w:div w:id="1235554131">
      <w:marLeft w:val="0"/>
      <w:marRight w:val="0"/>
      <w:marTop w:val="0"/>
      <w:marBottom w:val="0"/>
      <w:divBdr>
        <w:top w:val="none" w:sz="0" w:space="0" w:color="auto"/>
        <w:left w:val="none" w:sz="0" w:space="0" w:color="auto"/>
        <w:bottom w:val="none" w:sz="0" w:space="0" w:color="auto"/>
        <w:right w:val="none" w:sz="0" w:space="0" w:color="auto"/>
      </w:divBdr>
    </w:div>
    <w:div w:id="1236624349">
      <w:marLeft w:val="0"/>
      <w:marRight w:val="0"/>
      <w:marTop w:val="180"/>
      <w:marBottom w:val="0"/>
      <w:divBdr>
        <w:top w:val="none" w:sz="0" w:space="0" w:color="auto"/>
        <w:left w:val="none" w:sz="0" w:space="0" w:color="auto"/>
        <w:bottom w:val="none" w:sz="0" w:space="0" w:color="auto"/>
        <w:right w:val="none" w:sz="0" w:space="0" w:color="auto"/>
      </w:divBdr>
    </w:div>
    <w:div w:id="1238326044">
      <w:marLeft w:val="0"/>
      <w:marRight w:val="0"/>
      <w:marTop w:val="0"/>
      <w:marBottom w:val="0"/>
      <w:divBdr>
        <w:top w:val="none" w:sz="0" w:space="0" w:color="auto"/>
        <w:left w:val="none" w:sz="0" w:space="0" w:color="auto"/>
        <w:bottom w:val="none" w:sz="0" w:space="0" w:color="auto"/>
        <w:right w:val="none" w:sz="0" w:space="0" w:color="auto"/>
      </w:divBdr>
      <w:divsChild>
        <w:div w:id="449475110">
          <w:marLeft w:val="0"/>
          <w:marRight w:val="0"/>
          <w:marTop w:val="0"/>
          <w:marBottom w:val="100"/>
          <w:divBdr>
            <w:top w:val="none" w:sz="0" w:space="0" w:color="auto"/>
            <w:left w:val="none" w:sz="0" w:space="0" w:color="auto"/>
            <w:bottom w:val="none" w:sz="0" w:space="0" w:color="auto"/>
            <w:right w:val="none" w:sz="0" w:space="0" w:color="auto"/>
          </w:divBdr>
        </w:div>
      </w:divsChild>
    </w:div>
    <w:div w:id="1240212219">
      <w:marLeft w:val="0"/>
      <w:marRight w:val="0"/>
      <w:marTop w:val="0"/>
      <w:marBottom w:val="100"/>
      <w:divBdr>
        <w:top w:val="none" w:sz="0" w:space="0" w:color="auto"/>
        <w:left w:val="none" w:sz="0" w:space="0" w:color="auto"/>
        <w:bottom w:val="none" w:sz="0" w:space="0" w:color="auto"/>
        <w:right w:val="none" w:sz="0" w:space="0" w:color="auto"/>
      </w:divBdr>
    </w:div>
    <w:div w:id="1242326318">
      <w:marLeft w:val="0"/>
      <w:marRight w:val="0"/>
      <w:marTop w:val="0"/>
      <w:marBottom w:val="100"/>
      <w:divBdr>
        <w:top w:val="none" w:sz="0" w:space="0" w:color="auto"/>
        <w:left w:val="none" w:sz="0" w:space="0" w:color="auto"/>
        <w:bottom w:val="none" w:sz="0" w:space="0" w:color="auto"/>
        <w:right w:val="none" w:sz="0" w:space="0" w:color="auto"/>
      </w:divBdr>
    </w:div>
    <w:div w:id="1243369573">
      <w:marLeft w:val="0"/>
      <w:marRight w:val="0"/>
      <w:marTop w:val="0"/>
      <w:marBottom w:val="0"/>
      <w:divBdr>
        <w:top w:val="none" w:sz="0" w:space="0" w:color="auto"/>
        <w:left w:val="none" w:sz="0" w:space="0" w:color="auto"/>
        <w:bottom w:val="none" w:sz="0" w:space="0" w:color="auto"/>
        <w:right w:val="none" w:sz="0" w:space="0" w:color="auto"/>
      </w:divBdr>
    </w:div>
    <w:div w:id="1243874563">
      <w:marLeft w:val="0"/>
      <w:marRight w:val="0"/>
      <w:marTop w:val="100"/>
      <w:marBottom w:val="100"/>
      <w:divBdr>
        <w:top w:val="none" w:sz="0" w:space="0" w:color="auto"/>
        <w:left w:val="none" w:sz="0" w:space="0" w:color="auto"/>
        <w:bottom w:val="none" w:sz="0" w:space="0" w:color="auto"/>
        <w:right w:val="none" w:sz="0" w:space="0" w:color="auto"/>
      </w:divBdr>
    </w:div>
    <w:div w:id="1244414853">
      <w:marLeft w:val="0"/>
      <w:marRight w:val="0"/>
      <w:marTop w:val="100"/>
      <w:marBottom w:val="100"/>
      <w:divBdr>
        <w:top w:val="none" w:sz="0" w:space="0" w:color="auto"/>
        <w:left w:val="none" w:sz="0" w:space="0" w:color="auto"/>
        <w:bottom w:val="none" w:sz="0" w:space="0" w:color="auto"/>
        <w:right w:val="none" w:sz="0" w:space="0" w:color="auto"/>
      </w:divBdr>
    </w:div>
    <w:div w:id="1246374791">
      <w:marLeft w:val="0"/>
      <w:marRight w:val="0"/>
      <w:marTop w:val="0"/>
      <w:marBottom w:val="100"/>
      <w:divBdr>
        <w:top w:val="none" w:sz="0" w:space="0" w:color="auto"/>
        <w:left w:val="none" w:sz="0" w:space="0" w:color="auto"/>
        <w:bottom w:val="none" w:sz="0" w:space="0" w:color="auto"/>
        <w:right w:val="none" w:sz="0" w:space="0" w:color="auto"/>
      </w:divBdr>
    </w:div>
    <w:div w:id="1246495093">
      <w:marLeft w:val="0"/>
      <w:marRight w:val="0"/>
      <w:marTop w:val="100"/>
      <w:marBottom w:val="100"/>
      <w:divBdr>
        <w:top w:val="none" w:sz="0" w:space="0" w:color="auto"/>
        <w:left w:val="none" w:sz="0" w:space="0" w:color="auto"/>
        <w:bottom w:val="none" w:sz="0" w:space="0" w:color="auto"/>
        <w:right w:val="none" w:sz="0" w:space="0" w:color="auto"/>
      </w:divBdr>
    </w:div>
    <w:div w:id="1247029791">
      <w:marLeft w:val="0"/>
      <w:marRight w:val="0"/>
      <w:marTop w:val="180"/>
      <w:marBottom w:val="100"/>
      <w:divBdr>
        <w:top w:val="none" w:sz="0" w:space="0" w:color="auto"/>
        <w:left w:val="none" w:sz="0" w:space="0" w:color="auto"/>
        <w:bottom w:val="none" w:sz="0" w:space="0" w:color="auto"/>
        <w:right w:val="none" w:sz="0" w:space="0" w:color="auto"/>
      </w:divBdr>
    </w:div>
    <w:div w:id="1247615151">
      <w:marLeft w:val="0"/>
      <w:marRight w:val="0"/>
      <w:marTop w:val="100"/>
      <w:marBottom w:val="100"/>
      <w:divBdr>
        <w:top w:val="none" w:sz="0" w:space="0" w:color="auto"/>
        <w:left w:val="none" w:sz="0" w:space="0" w:color="auto"/>
        <w:bottom w:val="none" w:sz="0" w:space="0" w:color="auto"/>
        <w:right w:val="none" w:sz="0" w:space="0" w:color="auto"/>
      </w:divBdr>
    </w:div>
    <w:div w:id="1248467090">
      <w:marLeft w:val="0"/>
      <w:marRight w:val="0"/>
      <w:marTop w:val="0"/>
      <w:marBottom w:val="120"/>
      <w:divBdr>
        <w:top w:val="none" w:sz="0" w:space="0" w:color="auto"/>
        <w:left w:val="none" w:sz="0" w:space="0" w:color="auto"/>
        <w:bottom w:val="none" w:sz="0" w:space="0" w:color="auto"/>
        <w:right w:val="none" w:sz="0" w:space="0" w:color="auto"/>
      </w:divBdr>
    </w:div>
    <w:div w:id="1248929397">
      <w:marLeft w:val="0"/>
      <w:marRight w:val="0"/>
      <w:marTop w:val="0"/>
      <w:marBottom w:val="0"/>
      <w:divBdr>
        <w:top w:val="none" w:sz="0" w:space="0" w:color="auto"/>
        <w:left w:val="none" w:sz="0" w:space="0" w:color="auto"/>
        <w:bottom w:val="none" w:sz="0" w:space="0" w:color="auto"/>
        <w:right w:val="none" w:sz="0" w:space="0" w:color="auto"/>
      </w:divBdr>
      <w:divsChild>
        <w:div w:id="1867210524">
          <w:marLeft w:val="0"/>
          <w:marRight w:val="0"/>
          <w:marTop w:val="0"/>
          <w:marBottom w:val="100"/>
          <w:divBdr>
            <w:top w:val="none" w:sz="0" w:space="0" w:color="auto"/>
            <w:left w:val="none" w:sz="0" w:space="0" w:color="auto"/>
            <w:bottom w:val="none" w:sz="0" w:space="0" w:color="auto"/>
            <w:right w:val="none" w:sz="0" w:space="0" w:color="auto"/>
          </w:divBdr>
        </w:div>
      </w:divsChild>
    </w:div>
    <w:div w:id="1252465634">
      <w:marLeft w:val="0"/>
      <w:marRight w:val="0"/>
      <w:marTop w:val="0"/>
      <w:marBottom w:val="100"/>
      <w:divBdr>
        <w:top w:val="none" w:sz="0" w:space="0" w:color="auto"/>
        <w:left w:val="none" w:sz="0" w:space="0" w:color="auto"/>
        <w:bottom w:val="none" w:sz="0" w:space="0" w:color="auto"/>
        <w:right w:val="none" w:sz="0" w:space="0" w:color="auto"/>
      </w:divBdr>
      <w:divsChild>
        <w:div w:id="938684273">
          <w:marLeft w:val="0"/>
          <w:marRight w:val="0"/>
          <w:marTop w:val="0"/>
          <w:marBottom w:val="0"/>
          <w:divBdr>
            <w:top w:val="none" w:sz="0" w:space="0" w:color="auto"/>
            <w:left w:val="none" w:sz="0" w:space="0" w:color="auto"/>
            <w:bottom w:val="none" w:sz="0" w:space="0" w:color="auto"/>
            <w:right w:val="none" w:sz="0" w:space="0" w:color="auto"/>
          </w:divBdr>
        </w:div>
        <w:div w:id="168524459">
          <w:marLeft w:val="0"/>
          <w:marRight w:val="0"/>
          <w:marTop w:val="0"/>
          <w:marBottom w:val="0"/>
          <w:divBdr>
            <w:top w:val="none" w:sz="0" w:space="0" w:color="auto"/>
            <w:left w:val="none" w:sz="0" w:space="0" w:color="auto"/>
            <w:bottom w:val="none" w:sz="0" w:space="0" w:color="auto"/>
            <w:right w:val="none" w:sz="0" w:space="0" w:color="auto"/>
          </w:divBdr>
        </w:div>
        <w:div w:id="337655651">
          <w:marLeft w:val="0"/>
          <w:marRight w:val="0"/>
          <w:marTop w:val="0"/>
          <w:marBottom w:val="0"/>
          <w:divBdr>
            <w:top w:val="none" w:sz="0" w:space="0" w:color="auto"/>
            <w:left w:val="none" w:sz="0" w:space="0" w:color="auto"/>
            <w:bottom w:val="none" w:sz="0" w:space="0" w:color="auto"/>
            <w:right w:val="none" w:sz="0" w:space="0" w:color="auto"/>
          </w:divBdr>
        </w:div>
      </w:divsChild>
    </w:div>
    <w:div w:id="1255169188">
      <w:marLeft w:val="0"/>
      <w:marRight w:val="0"/>
      <w:marTop w:val="0"/>
      <w:marBottom w:val="100"/>
      <w:divBdr>
        <w:top w:val="none" w:sz="0" w:space="0" w:color="auto"/>
        <w:left w:val="none" w:sz="0" w:space="0" w:color="auto"/>
        <w:bottom w:val="none" w:sz="0" w:space="0" w:color="auto"/>
        <w:right w:val="none" w:sz="0" w:space="0" w:color="auto"/>
      </w:divBdr>
    </w:div>
    <w:div w:id="1256132684">
      <w:marLeft w:val="0"/>
      <w:marRight w:val="0"/>
      <w:marTop w:val="80"/>
      <w:marBottom w:val="100"/>
      <w:divBdr>
        <w:top w:val="none" w:sz="0" w:space="0" w:color="auto"/>
        <w:left w:val="none" w:sz="0" w:space="0" w:color="auto"/>
        <w:bottom w:val="none" w:sz="0" w:space="0" w:color="auto"/>
        <w:right w:val="none" w:sz="0" w:space="0" w:color="auto"/>
      </w:divBdr>
    </w:div>
    <w:div w:id="1256596060">
      <w:marLeft w:val="0"/>
      <w:marRight w:val="0"/>
      <w:marTop w:val="100"/>
      <w:marBottom w:val="100"/>
      <w:divBdr>
        <w:top w:val="none" w:sz="0" w:space="0" w:color="auto"/>
        <w:left w:val="none" w:sz="0" w:space="0" w:color="auto"/>
        <w:bottom w:val="none" w:sz="0" w:space="0" w:color="auto"/>
        <w:right w:val="none" w:sz="0" w:space="0" w:color="auto"/>
      </w:divBdr>
    </w:div>
    <w:div w:id="1258096115">
      <w:marLeft w:val="0"/>
      <w:marRight w:val="0"/>
      <w:marTop w:val="0"/>
      <w:marBottom w:val="0"/>
      <w:divBdr>
        <w:top w:val="none" w:sz="0" w:space="0" w:color="auto"/>
        <w:left w:val="none" w:sz="0" w:space="0" w:color="auto"/>
        <w:bottom w:val="none" w:sz="0" w:space="0" w:color="auto"/>
        <w:right w:val="none" w:sz="0" w:space="0" w:color="auto"/>
      </w:divBdr>
    </w:div>
    <w:div w:id="1258975917">
      <w:marLeft w:val="0"/>
      <w:marRight w:val="0"/>
      <w:marTop w:val="100"/>
      <w:marBottom w:val="100"/>
      <w:divBdr>
        <w:top w:val="none" w:sz="0" w:space="0" w:color="auto"/>
        <w:left w:val="none" w:sz="0" w:space="0" w:color="auto"/>
        <w:bottom w:val="none" w:sz="0" w:space="0" w:color="auto"/>
        <w:right w:val="none" w:sz="0" w:space="0" w:color="auto"/>
      </w:divBdr>
    </w:div>
    <w:div w:id="1263146516">
      <w:marLeft w:val="0"/>
      <w:marRight w:val="0"/>
      <w:marTop w:val="100"/>
      <w:marBottom w:val="100"/>
      <w:divBdr>
        <w:top w:val="none" w:sz="0" w:space="0" w:color="auto"/>
        <w:left w:val="none" w:sz="0" w:space="0" w:color="auto"/>
        <w:bottom w:val="none" w:sz="0" w:space="0" w:color="auto"/>
        <w:right w:val="none" w:sz="0" w:space="0" w:color="auto"/>
      </w:divBdr>
    </w:div>
    <w:div w:id="1263220241">
      <w:marLeft w:val="0"/>
      <w:marRight w:val="0"/>
      <w:marTop w:val="100"/>
      <w:marBottom w:val="0"/>
      <w:divBdr>
        <w:top w:val="none" w:sz="0" w:space="0" w:color="auto"/>
        <w:left w:val="none" w:sz="0" w:space="0" w:color="auto"/>
        <w:bottom w:val="none" w:sz="0" w:space="0" w:color="auto"/>
        <w:right w:val="none" w:sz="0" w:space="0" w:color="auto"/>
      </w:divBdr>
    </w:div>
    <w:div w:id="1264142392">
      <w:marLeft w:val="0"/>
      <w:marRight w:val="0"/>
      <w:marTop w:val="0"/>
      <w:marBottom w:val="0"/>
      <w:divBdr>
        <w:top w:val="none" w:sz="0" w:space="0" w:color="auto"/>
        <w:left w:val="none" w:sz="0" w:space="0" w:color="auto"/>
        <w:bottom w:val="none" w:sz="0" w:space="0" w:color="auto"/>
        <w:right w:val="none" w:sz="0" w:space="0" w:color="auto"/>
      </w:divBdr>
    </w:div>
    <w:div w:id="1264529050">
      <w:marLeft w:val="0"/>
      <w:marRight w:val="0"/>
      <w:marTop w:val="0"/>
      <w:marBottom w:val="100"/>
      <w:divBdr>
        <w:top w:val="none" w:sz="0" w:space="0" w:color="auto"/>
        <w:left w:val="none" w:sz="0" w:space="0" w:color="auto"/>
        <w:bottom w:val="none" w:sz="0" w:space="0" w:color="auto"/>
        <w:right w:val="none" w:sz="0" w:space="0" w:color="auto"/>
      </w:divBdr>
    </w:div>
    <w:div w:id="1265529329">
      <w:marLeft w:val="0"/>
      <w:marRight w:val="0"/>
      <w:marTop w:val="100"/>
      <w:marBottom w:val="100"/>
      <w:divBdr>
        <w:top w:val="none" w:sz="0" w:space="0" w:color="auto"/>
        <w:left w:val="none" w:sz="0" w:space="0" w:color="auto"/>
        <w:bottom w:val="none" w:sz="0" w:space="0" w:color="auto"/>
        <w:right w:val="none" w:sz="0" w:space="0" w:color="auto"/>
      </w:divBdr>
    </w:div>
    <w:div w:id="1265765765">
      <w:marLeft w:val="0"/>
      <w:marRight w:val="0"/>
      <w:marTop w:val="0"/>
      <w:marBottom w:val="100"/>
      <w:divBdr>
        <w:top w:val="none" w:sz="0" w:space="0" w:color="auto"/>
        <w:left w:val="none" w:sz="0" w:space="0" w:color="auto"/>
        <w:bottom w:val="none" w:sz="0" w:space="0" w:color="auto"/>
        <w:right w:val="none" w:sz="0" w:space="0" w:color="auto"/>
      </w:divBdr>
    </w:div>
    <w:div w:id="1266502286">
      <w:marLeft w:val="0"/>
      <w:marRight w:val="0"/>
      <w:marTop w:val="60"/>
      <w:marBottom w:val="0"/>
      <w:divBdr>
        <w:top w:val="none" w:sz="0" w:space="0" w:color="auto"/>
        <w:left w:val="none" w:sz="0" w:space="0" w:color="auto"/>
        <w:bottom w:val="none" w:sz="0" w:space="0" w:color="auto"/>
        <w:right w:val="none" w:sz="0" w:space="0" w:color="auto"/>
      </w:divBdr>
    </w:div>
    <w:div w:id="1268007026">
      <w:marLeft w:val="0"/>
      <w:marRight w:val="0"/>
      <w:marTop w:val="0"/>
      <w:marBottom w:val="0"/>
      <w:divBdr>
        <w:top w:val="none" w:sz="0" w:space="0" w:color="auto"/>
        <w:left w:val="none" w:sz="0" w:space="0" w:color="auto"/>
        <w:bottom w:val="none" w:sz="0" w:space="0" w:color="auto"/>
        <w:right w:val="none" w:sz="0" w:space="0" w:color="auto"/>
      </w:divBdr>
    </w:div>
    <w:div w:id="1271015382">
      <w:marLeft w:val="0"/>
      <w:marRight w:val="0"/>
      <w:marTop w:val="0"/>
      <w:marBottom w:val="0"/>
      <w:divBdr>
        <w:top w:val="none" w:sz="0" w:space="0" w:color="auto"/>
        <w:left w:val="none" w:sz="0" w:space="0" w:color="auto"/>
        <w:bottom w:val="none" w:sz="0" w:space="0" w:color="auto"/>
        <w:right w:val="none" w:sz="0" w:space="0" w:color="auto"/>
      </w:divBdr>
    </w:div>
    <w:div w:id="1272280353">
      <w:marLeft w:val="0"/>
      <w:marRight w:val="0"/>
      <w:marTop w:val="100"/>
      <w:marBottom w:val="100"/>
      <w:divBdr>
        <w:top w:val="none" w:sz="0" w:space="0" w:color="auto"/>
        <w:left w:val="none" w:sz="0" w:space="0" w:color="auto"/>
        <w:bottom w:val="none" w:sz="0" w:space="0" w:color="auto"/>
        <w:right w:val="none" w:sz="0" w:space="0" w:color="auto"/>
      </w:divBdr>
    </w:div>
    <w:div w:id="1272475933">
      <w:marLeft w:val="0"/>
      <w:marRight w:val="0"/>
      <w:marTop w:val="100"/>
      <w:marBottom w:val="0"/>
      <w:divBdr>
        <w:top w:val="none" w:sz="0" w:space="0" w:color="auto"/>
        <w:left w:val="none" w:sz="0" w:space="0" w:color="auto"/>
        <w:bottom w:val="none" w:sz="0" w:space="0" w:color="auto"/>
        <w:right w:val="none" w:sz="0" w:space="0" w:color="auto"/>
      </w:divBdr>
    </w:div>
    <w:div w:id="1272778869">
      <w:marLeft w:val="0"/>
      <w:marRight w:val="0"/>
      <w:marTop w:val="0"/>
      <w:marBottom w:val="0"/>
      <w:divBdr>
        <w:top w:val="none" w:sz="0" w:space="0" w:color="auto"/>
        <w:left w:val="none" w:sz="0" w:space="0" w:color="auto"/>
        <w:bottom w:val="none" w:sz="0" w:space="0" w:color="auto"/>
        <w:right w:val="none" w:sz="0" w:space="0" w:color="auto"/>
      </w:divBdr>
      <w:divsChild>
        <w:div w:id="1545944500">
          <w:marLeft w:val="0"/>
          <w:marRight w:val="0"/>
          <w:marTop w:val="0"/>
          <w:marBottom w:val="0"/>
          <w:divBdr>
            <w:top w:val="none" w:sz="0" w:space="0" w:color="auto"/>
            <w:left w:val="none" w:sz="0" w:space="0" w:color="auto"/>
            <w:bottom w:val="none" w:sz="0" w:space="0" w:color="auto"/>
            <w:right w:val="none" w:sz="0" w:space="0" w:color="auto"/>
          </w:divBdr>
          <w:divsChild>
            <w:div w:id="180442578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73631786">
      <w:marLeft w:val="0"/>
      <w:marRight w:val="0"/>
      <w:marTop w:val="100"/>
      <w:marBottom w:val="100"/>
      <w:divBdr>
        <w:top w:val="none" w:sz="0" w:space="0" w:color="auto"/>
        <w:left w:val="none" w:sz="0" w:space="0" w:color="auto"/>
        <w:bottom w:val="none" w:sz="0" w:space="0" w:color="auto"/>
        <w:right w:val="none" w:sz="0" w:space="0" w:color="auto"/>
      </w:divBdr>
    </w:div>
    <w:div w:id="1274555798">
      <w:marLeft w:val="0"/>
      <w:marRight w:val="0"/>
      <w:marTop w:val="100"/>
      <w:marBottom w:val="100"/>
      <w:divBdr>
        <w:top w:val="none" w:sz="0" w:space="0" w:color="auto"/>
        <w:left w:val="none" w:sz="0" w:space="0" w:color="auto"/>
        <w:bottom w:val="none" w:sz="0" w:space="0" w:color="auto"/>
        <w:right w:val="none" w:sz="0" w:space="0" w:color="auto"/>
      </w:divBdr>
    </w:div>
    <w:div w:id="1275793991">
      <w:marLeft w:val="0"/>
      <w:marRight w:val="0"/>
      <w:marTop w:val="180"/>
      <w:marBottom w:val="0"/>
      <w:divBdr>
        <w:top w:val="none" w:sz="0" w:space="0" w:color="auto"/>
        <w:left w:val="none" w:sz="0" w:space="0" w:color="auto"/>
        <w:bottom w:val="none" w:sz="0" w:space="0" w:color="auto"/>
        <w:right w:val="none" w:sz="0" w:space="0" w:color="auto"/>
      </w:divBdr>
    </w:div>
    <w:div w:id="1275794514">
      <w:marLeft w:val="0"/>
      <w:marRight w:val="0"/>
      <w:marTop w:val="180"/>
      <w:marBottom w:val="0"/>
      <w:divBdr>
        <w:top w:val="none" w:sz="0" w:space="0" w:color="auto"/>
        <w:left w:val="none" w:sz="0" w:space="0" w:color="auto"/>
        <w:bottom w:val="none" w:sz="0" w:space="0" w:color="auto"/>
        <w:right w:val="none" w:sz="0" w:space="0" w:color="auto"/>
      </w:divBdr>
    </w:div>
    <w:div w:id="1276449114">
      <w:marLeft w:val="0"/>
      <w:marRight w:val="0"/>
      <w:marTop w:val="0"/>
      <w:marBottom w:val="100"/>
      <w:divBdr>
        <w:top w:val="none" w:sz="0" w:space="0" w:color="auto"/>
        <w:left w:val="none" w:sz="0" w:space="0" w:color="auto"/>
        <w:bottom w:val="none" w:sz="0" w:space="0" w:color="auto"/>
        <w:right w:val="none" w:sz="0" w:space="0" w:color="auto"/>
      </w:divBdr>
    </w:div>
    <w:div w:id="1276518773">
      <w:marLeft w:val="0"/>
      <w:marRight w:val="0"/>
      <w:marTop w:val="0"/>
      <w:marBottom w:val="100"/>
      <w:divBdr>
        <w:top w:val="none" w:sz="0" w:space="0" w:color="auto"/>
        <w:left w:val="none" w:sz="0" w:space="0" w:color="auto"/>
        <w:bottom w:val="none" w:sz="0" w:space="0" w:color="auto"/>
        <w:right w:val="none" w:sz="0" w:space="0" w:color="auto"/>
      </w:divBdr>
    </w:div>
    <w:div w:id="1277297968">
      <w:marLeft w:val="0"/>
      <w:marRight w:val="0"/>
      <w:marTop w:val="0"/>
      <w:marBottom w:val="100"/>
      <w:divBdr>
        <w:top w:val="none" w:sz="0" w:space="0" w:color="auto"/>
        <w:left w:val="none" w:sz="0" w:space="0" w:color="auto"/>
        <w:bottom w:val="none" w:sz="0" w:space="0" w:color="auto"/>
        <w:right w:val="none" w:sz="0" w:space="0" w:color="auto"/>
      </w:divBdr>
    </w:div>
    <w:div w:id="1278216866">
      <w:marLeft w:val="0"/>
      <w:marRight w:val="0"/>
      <w:marTop w:val="0"/>
      <w:marBottom w:val="0"/>
      <w:divBdr>
        <w:top w:val="none" w:sz="0" w:space="0" w:color="auto"/>
        <w:left w:val="none" w:sz="0" w:space="0" w:color="auto"/>
        <w:bottom w:val="none" w:sz="0" w:space="0" w:color="auto"/>
        <w:right w:val="none" w:sz="0" w:space="0" w:color="auto"/>
      </w:divBdr>
    </w:div>
    <w:div w:id="1279949943">
      <w:marLeft w:val="0"/>
      <w:marRight w:val="0"/>
      <w:marTop w:val="0"/>
      <w:marBottom w:val="0"/>
      <w:divBdr>
        <w:top w:val="none" w:sz="0" w:space="0" w:color="auto"/>
        <w:left w:val="none" w:sz="0" w:space="0" w:color="auto"/>
        <w:bottom w:val="none" w:sz="0" w:space="0" w:color="auto"/>
        <w:right w:val="none" w:sz="0" w:space="0" w:color="auto"/>
      </w:divBdr>
      <w:divsChild>
        <w:div w:id="86734491">
          <w:marLeft w:val="0"/>
          <w:marRight w:val="0"/>
          <w:marTop w:val="0"/>
          <w:marBottom w:val="100"/>
          <w:divBdr>
            <w:top w:val="none" w:sz="0" w:space="0" w:color="auto"/>
            <w:left w:val="none" w:sz="0" w:space="0" w:color="auto"/>
            <w:bottom w:val="none" w:sz="0" w:space="0" w:color="auto"/>
            <w:right w:val="none" w:sz="0" w:space="0" w:color="auto"/>
          </w:divBdr>
        </w:div>
      </w:divsChild>
    </w:div>
    <w:div w:id="1279994770">
      <w:marLeft w:val="0"/>
      <w:marRight w:val="0"/>
      <w:marTop w:val="180"/>
      <w:marBottom w:val="0"/>
      <w:divBdr>
        <w:top w:val="none" w:sz="0" w:space="0" w:color="auto"/>
        <w:left w:val="none" w:sz="0" w:space="0" w:color="auto"/>
        <w:bottom w:val="none" w:sz="0" w:space="0" w:color="auto"/>
        <w:right w:val="none" w:sz="0" w:space="0" w:color="auto"/>
      </w:divBdr>
    </w:div>
    <w:div w:id="1280137587">
      <w:marLeft w:val="0"/>
      <w:marRight w:val="0"/>
      <w:marTop w:val="180"/>
      <w:marBottom w:val="0"/>
      <w:divBdr>
        <w:top w:val="none" w:sz="0" w:space="0" w:color="auto"/>
        <w:left w:val="none" w:sz="0" w:space="0" w:color="auto"/>
        <w:bottom w:val="none" w:sz="0" w:space="0" w:color="auto"/>
        <w:right w:val="none" w:sz="0" w:space="0" w:color="auto"/>
      </w:divBdr>
    </w:div>
    <w:div w:id="1280409559">
      <w:marLeft w:val="0"/>
      <w:marRight w:val="0"/>
      <w:marTop w:val="180"/>
      <w:marBottom w:val="0"/>
      <w:divBdr>
        <w:top w:val="none" w:sz="0" w:space="0" w:color="auto"/>
        <w:left w:val="none" w:sz="0" w:space="0" w:color="auto"/>
        <w:bottom w:val="none" w:sz="0" w:space="0" w:color="auto"/>
        <w:right w:val="none" w:sz="0" w:space="0" w:color="auto"/>
      </w:divBdr>
    </w:div>
    <w:div w:id="1281032487">
      <w:marLeft w:val="0"/>
      <w:marRight w:val="0"/>
      <w:marTop w:val="100"/>
      <w:marBottom w:val="100"/>
      <w:divBdr>
        <w:top w:val="none" w:sz="0" w:space="0" w:color="auto"/>
        <w:left w:val="none" w:sz="0" w:space="0" w:color="auto"/>
        <w:bottom w:val="none" w:sz="0" w:space="0" w:color="auto"/>
        <w:right w:val="none" w:sz="0" w:space="0" w:color="auto"/>
      </w:divBdr>
    </w:div>
    <w:div w:id="1281064150">
      <w:marLeft w:val="0"/>
      <w:marRight w:val="0"/>
      <w:marTop w:val="180"/>
      <w:marBottom w:val="0"/>
      <w:divBdr>
        <w:top w:val="none" w:sz="0" w:space="0" w:color="auto"/>
        <w:left w:val="none" w:sz="0" w:space="0" w:color="auto"/>
        <w:bottom w:val="none" w:sz="0" w:space="0" w:color="auto"/>
        <w:right w:val="none" w:sz="0" w:space="0" w:color="auto"/>
      </w:divBdr>
    </w:div>
    <w:div w:id="1283342574">
      <w:marLeft w:val="0"/>
      <w:marRight w:val="0"/>
      <w:marTop w:val="0"/>
      <w:marBottom w:val="0"/>
      <w:divBdr>
        <w:top w:val="none" w:sz="0" w:space="0" w:color="auto"/>
        <w:left w:val="none" w:sz="0" w:space="0" w:color="auto"/>
        <w:bottom w:val="none" w:sz="0" w:space="0" w:color="auto"/>
        <w:right w:val="none" w:sz="0" w:space="0" w:color="auto"/>
      </w:divBdr>
    </w:div>
    <w:div w:id="1284268250">
      <w:marLeft w:val="0"/>
      <w:marRight w:val="0"/>
      <w:marTop w:val="0"/>
      <w:marBottom w:val="100"/>
      <w:divBdr>
        <w:top w:val="none" w:sz="0" w:space="0" w:color="auto"/>
        <w:left w:val="none" w:sz="0" w:space="0" w:color="auto"/>
        <w:bottom w:val="none" w:sz="0" w:space="0" w:color="auto"/>
        <w:right w:val="none" w:sz="0" w:space="0" w:color="auto"/>
      </w:divBdr>
    </w:div>
    <w:div w:id="1284381000">
      <w:marLeft w:val="0"/>
      <w:marRight w:val="0"/>
      <w:marTop w:val="0"/>
      <w:marBottom w:val="0"/>
      <w:divBdr>
        <w:top w:val="none" w:sz="0" w:space="0" w:color="auto"/>
        <w:left w:val="none" w:sz="0" w:space="0" w:color="auto"/>
        <w:bottom w:val="none" w:sz="0" w:space="0" w:color="auto"/>
        <w:right w:val="none" w:sz="0" w:space="0" w:color="auto"/>
      </w:divBdr>
      <w:divsChild>
        <w:div w:id="488792446">
          <w:marLeft w:val="0"/>
          <w:marRight w:val="0"/>
          <w:marTop w:val="0"/>
          <w:marBottom w:val="0"/>
          <w:divBdr>
            <w:top w:val="none" w:sz="0" w:space="0" w:color="auto"/>
            <w:left w:val="none" w:sz="0" w:space="0" w:color="auto"/>
            <w:bottom w:val="none" w:sz="0" w:space="0" w:color="auto"/>
            <w:right w:val="none" w:sz="0" w:space="0" w:color="auto"/>
          </w:divBdr>
          <w:divsChild>
            <w:div w:id="17650794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84918526">
      <w:marLeft w:val="0"/>
      <w:marRight w:val="0"/>
      <w:marTop w:val="0"/>
      <w:marBottom w:val="0"/>
      <w:divBdr>
        <w:top w:val="none" w:sz="0" w:space="0" w:color="auto"/>
        <w:left w:val="none" w:sz="0" w:space="0" w:color="auto"/>
        <w:bottom w:val="none" w:sz="0" w:space="0" w:color="auto"/>
        <w:right w:val="none" w:sz="0" w:space="0" w:color="auto"/>
      </w:divBdr>
    </w:div>
    <w:div w:id="1286230503">
      <w:marLeft w:val="0"/>
      <w:marRight w:val="0"/>
      <w:marTop w:val="180"/>
      <w:marBottom w:val="0"/>
      <w:divBdr>
        <w:top w:val="none" w:sz="0" w:space="0" w:color="auto"/>
        <w:left w:val="none" w:sz="0" w:space="0" w:color="auto"/>
        <w:bottom w:val="none" w:sz="0" w:space="0" w:color="auto"/>
        <w:right w:val="none" w:sz="0" w:space="0" w:color="auto"/>
      </w:divBdr>
      <w:divsChild>
        <w:div w:id="75565593">
          <w:marLeft w:val="0"/>
          <w:marRight w:val="0"/>
          <w:marTop w:val="0"/>
          <w:marBottom w:val="0"/>
          <w:divBdr>
            <w:top w:val="none" w:sz="0" w:space="0" w:color="auto"/>
            <w:left w:val="none" w:sz="0" w:space="0" w:color="auto"/>
            <w:bottom w:val="none" w:sz="0" w:space="0" w:color="auto"/>
            <w:right w:val="none" w:sz="0" w:space="0" w:color="auto"/>
          </w:divBdr>
        </w:div>
      </w:divsChild>
    </w:div>
    <w:div w:id="1287347827">
      <w:marLeft w:val="0"/>
      <w:marRight w:val="0"/>
      <w:marTop w:val="100"/>
      <w:marBottom w:val="100"/>
      <w:divBdr>
        <w:top w:val="none" w:sz="0" w:space="0" w:color="auto"/>
        <w:left w:val="none" w:sz="0" w:space="0" w:color="auto"/>
        <w:bottom w:val="none" w:sz="0" w:space="0" w:color="auto"/>
        <w:right w:val="none" w:sz="0" w:space="0" w:color="auto"/>
      </w:divBdr>
    </w:div>
    <w:div w:id="1291790071">
      <w:marLeft w:val="0"/>
      <w:marRight w:val="0"/>
      <w:marTop w:val="0"/>
      <w:marBottom w:val="0"/>
      <w:divBdr>
        <w:top w:val="none" w:sz="0" w:space="0" w:color="auto"/>
        <w:left w:val="none" w:sz="0" w:space="0" w:color="auto"/>
        <w:bottom w:val="none" w:sz="0" w:space="0" w:color="auto"/>
        <w:right w:val="none" w:sz="0" w:space="0" w:color="auto"/>
      </w:divBdr>
      <w:divsChild>
        <w:div w:id="1437601922">
          <w:marLeft w:val="0"/>
          <w:marRight w:val="0"/>
          <w:marTop w:val="0"/>
          <w:marBottom w:val="0"/>
          <w:divBdr>
            <w:top w:val="none" w:sz="0" w:space="0" w:color="auto"/>
            <w:left w:val="none" w:sz="0" w:space="0" w:color="auto"/>
            <w:bottom w:val="none" w:sz="0" w:space="0" w:color="auto"/>
            <w:right w:val="none" w:sz="0" w:space="0" w:color="auto"/>
          </w:divBdr>
          <w:divsChild>
            <w:div w:id="31307021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93638479">
      <w:marLeft w:val="0"/>
      <w:marRight w:val="0"/>
      <w:marTop w:val="180"/>
      <w:marBottom w:val="0"/>
      <w:divBdr>
        <w:top w:val="none" w:sz="0" w:space="0" w:color="auto"/>
        <w:left w:val="none" w:sz="0" w:space="0" w:color="auto"/>
        <w:bottom w:val="none" w:sz="0" w:space="0" w:color="auto"/>
        <w:right w:val="none" w:sz="0" w:space="0" w:color="auto"/>
      </w:divBdr>
    </w:div>
    <w:div w:id="1294944252">
      <w:marLeft w:val="0"/>
      <w:marRight w:val="0"/>
      <w:marTop w:val="0"/>
      <w:marBottom w:val="0"/>
      <w:divBdr>
        <w:top w:val="none" w:sz="0" w:space="0" w:color="auto"/>
        <w:left w:val="none" w:sz="0" w:space="0" w:color="auto"/>
        <w:bottom w:val="none" w:sz="0" w:space="0" w:color="auto"/>
        <w:right w:val="none" w:sz="0" w:space="0" w:color="auto"/>
      </w:divBdr>
    </w:div>
    <w:div w:id="1296258019">
      <w:marLeft w:val="0"/>
      <w:marRight w:val="0"/>
      <w:marTop w:val="0"/>
      <w:marBottom w:val="100"/>
      <w:divBdr>
        <w:top w:val="none" w:sz="0" w:space="0" w:color="auto"/>
        <w:left w:val="none" w:sz="0" w:space="0" w:color="auto"/>
        <w:bottom w:val="none" w:sz="0" w:space="0" w:color="auto"/>
        <w:right w:val="none" w:sz="0" w:space="0" w:color="auto"/>
      </w:divBdr>
    </w:div>
    <w:div w:id="1296374695">
      <w:marLeft w:val="0"/>
      <w:marRight w:val="0"/>
      <w:marTop w:val="0"/>
      <w:marBottom w:val="0"/>
      <w:divBdr>
        <w:top w:val="none" w:sz="0" w:space="0" w:color="auto"/>
        <w:left w:val="none" w:sz="0" w:space="0" w:color="auto"/>
        <w:bottom w:val="none" w:sz="0" w:space="0" w:color="auto"/>
        <w:right w:val="none" w:sz="0" w:space="0" w:color="auto"/>
      </w:divBdr>
    </w:div>
    <w:div w:id="1296447924">
      <w:marLeft w:val="0"/>
      <w:marRight w:val="0"/>
      <w:marTop w:val="100"/>
      <w:marBottom w:val="100"/>
      <w:divBdr>
        <w:top w:val="none" w:sz="0" w:space="0" w:color="auto"/>
        <w:left w:val="none" w:sz="0" w:space="0" w:color="auto"/>
        <w:bottom w:val="none" w:sz="0" w:space="0" w:color="auto"/>
        <w:right w:val="none" w:sz="0" w:space="0" w:color="auto"/>
      </w:divBdr>
    </w:div>
    <w:div w:id="1297641056">
      <w:marLeft w:val="0"/>
      <w:marRight w:val="0"/>
      <w:marTop w:val="0"/>
      <w:marBottom w:val="0"/>
      <w:divBdr>
        <w:top w:val="none" w:sz="0" w:space="0" w:color="auto"/>
        <w:left w:val="none" w:sz="0" w:space="0" w:color="auto"/>
        <w:bottom w:val="none" w:sz="0" w:space="0" w:color="auto"/>
        <w:right w:val="none" w:sz="0" w:space="0" w:color="auto"/>
      </w:divBdr>
      <w:divsChild>
        <w:div w:id="1920796311">
          <w:marLeft w:val="0"/>
          <w:marRight w:val="0"/>
          <w:marTop w:val="0"/>
          <w:marBottom w:val="0"/>
          <w:divBdr>
            <w:top w:val="none" w:sz="0" w:space="0" w:color="auto"/>
            <w:left w:val="none" w:sz="0" w:space="0" w:color="auto"/>
            <w:bottom w:val="none" w:sz="0" w:space="0" w:color="auto"/>
            <w:right w:val="none" w:sz="0" w:space="0" w:color="auto"/>
          </w:divBdr>
          <w:divsChild>
            <w:div w:id="144981475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98947128">
      <w:marLeft w:val="0"/>
      <w:marRight w:val="0"/>
      <w:marTop w:val="180"/>
      <w:marBottom w:val="100"/>
      <w:divBdr>
        <w:top w:val="none" w:sz="0" w:space="0" w:color="auto"/>
        <w:left w:val="none" w:sz="0" w:space="0" w:color="auto"/>
        <w:bottom w:val="none" w:sz="0" w:space="0" w:color="auto"/>
        <w:right w:val="none" w:sz="0" w:space="0" w:color="auto"/>
      </w:divBdr>
    </w:div>
    <w:div w:id="1300379081">
      <w:marLeft w:val="0"/>
      <w:marRight w:val="0"/>
      <w:marTop w:val="0"/>
      <w:marBottom w:val="100"/>
      <w:divBdr>
        <w:top w:val="none" w:sz="0" w:space="0" w:color="auto"/>
        <w:left w:val="none" w:sz="0" w:space="0" w:color="auto"/>
        <w:bottom w:val="none" w:sz="0" w:space="0" w:color="auto"/>
        <w:right w:val="none" w:sz="0" w:space="0" w:color="auto"/>
      </w:divBdr>
    </w:div>
    <w:div w:id="1300455910">
      <w:marLeft w:val="0"/>
      <w:marRight w:val="0"/>
      <w:marTop w:val="0"/>
      <w:marBottom w:val="0"/>
      <w:divBdr>
        <w:top w:val="none" w:sz="0" w:space="0" w:color="auto"/>
        <w:left w:val="none" w:sz="0" w:space="0" w:color="auto"/>
        <w:bottom w:val="none" w:sz="0" w:space="0" w:color="auto"/>
        <w:right w:val="none" w:sz="0" w:space="0" w:color="auto"/>
      </w:divBdr>
      <w:divsChild>
        <w:div w:id="1876578922">
          <w:marLeft w:val="0"/>
          <w:marRight w:val="0"/>
          <w:marTop w:val="0"/>
          <w:marBottom w:val="100"/>
          <w:divBdr>
            <w:top w:val="none" w:sz="0" w:space="0" w:color="auto"/>
            <w:left w:val="none" w:sz="0" w:space="0" w:color="auto"/>
            <w:bottom w:val="none" w:sz="0" w:space="0" w:color="auto"/>
            <w:right w:val="none" w:sz="0" w:space="0" w:color="auto"/>
          </w:divBdr>
        </w:div>
      </w:divsChild>
    </w:div>
    <w:div w:id="1304116341">
      <w:marLeft w:val="0"/>
      <w:marRight w:val="0"/>
      <w:marTop w:val="0"/>
      <w:marBottom w:val="0"/>
      <w:divBdr>
        <w:top w:val="none" w:sz="0" w:space="0" w:color="auto"/>
        <w:left w:val="none" w:sz="0" w:space="0" w:color="auto"/>
        <w:bottom w:val="none" w:sz="0" w:space="0" w:color="auto"/>
        <w:right w:val="none" w:sz="0" w:space="0" w:color="auto"/>
      </w:divBdr>
    </w:div>
    <w:div w:id="1306545955">
      <w:marLeft w:val="0"/>
      <w:marRight w:val="0"/>
      <w:marTop w:val="0"/>
      <w:marBottom w:val="100"/>
      <w:divBdr>
        <w:top w:val="none" w:sz="0" w:space="0" w:color="auto"/>
        <w:left w:val="none" w:sz="0" w:space="0" w:color="auto"/>
        <w:bottom w:val="none" w:sz="0" w:space="0" w:color="auto"/>
        <w:right w:val="none" w:sz="0" w:space="0" w:color="auto"/>
      </w:divBdr>
    </w:div>
    <w:div w:id="1307317881">
      <w:marLeft w:val="0"/>
      <w:marRight w:val="0"/>
      <w:marTop w:val="0"/>
      <w:marBottom w:val="0"/>
      <w:divBdr>
        <w:top w:val="none" w:sz="0" w:space="0" w:color="auto"/>
        <w:left w:val="none" w:sz="0" w:space="0" w:color="auto"/>
        <w:bottom w:val="none" w:sz="0" w:space="0" w:color="auto"/>
        <w:right w:val="none" w:sz="0" w:space="0" w:color="auto"/>
      </w:divBdr>
    </w:div>
    <w:div w:id="1308901923">
      <w:marLeft w:val="0"/>
      <w:marRight w:val="0"/>
      <w:marTop w:val="0"/>
      <w:marBottom w:val="0"/>
      <w:divBdr>
        <w:top w:val="none" w:sz="0" w:space="0" w:color="auto"/>
        <w:left w:val="none" w:sz="0" w:space="0" w:color="auto"/>
        <w:bottom w:val="none" w:sz="0" w:space="0" w:color="auto"/>
        <w:right w:val="none" w:sz="0" w:space="0" w:color="auto"/>
      </w:divBdr>
      <w:divsChild>
        <w:div w:id="238251047">
          <w:marLeft w:val="0"/>
          <w:marRight w:val="0"/>
          <w:marTop w:val="0"/>
          <w:marBottom w:val="100"/>
          <w:divBdr>
            <w:top w:val="none" w:sz="0" w:space="0" w:color="auto"/>
            <w:left w:val="none" w:sz="0" w:space="0" w:color="auto"/>
            <w:bottom w:val="none" w:sz="0" w:space="0" w:color="auto"/>
            <w:right w:val="none" w:sz="0" w:space="0" w:color="auto"/>
          </w:divBdr>
        </w:div>
      </w:divsChild>
    </w:div>
    <w:div w:id="1309942267">
      <w:marLeft w:val="0"/>
      <w:marRight w:val="0"/>
      <w:marTop w:val="0"/>
      <w:marBottom w:val="0"/>
      <w:divBdr>
        <w:top w:val="none" w:sz="0" w:space="0" w:color="auto"/>
        <w:left w:val="none" w:sz="0" w:space="0" w:color="auto"/>
        <w:bottom w:val="none" w:sz="0" w:space="0" w:color="auto"/>
        <w:right w:val="none" w:sz="0" w:space="0" w:color="auto"/>
      </w:divBdr>
      <w:divsChild>
        <w:div w:id="67727643">
          <w:marLeft w:val="0"/>
          <w:marRight w:val="0"/>
          <w:marTop w:val="0"/>
          <w:marBottom w:val="0"/>
          <w:divBdr>
            <w:top w:val="none" w:sz="0" w:space="0" w:color="auto"/>
            <w:left w:val="none" w:sz="0" w:space="0" w:color="auto"/>
            <w:bottom w:val="none" w:sz="0" w:space="0" w:color="auto"/>
            <w:right w:val="none" w:sz="0" w:space="0" w:color="auto"/>
          </w:divBdr>
          <w:divsChild>
            <w:div w:id="74167658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11521311">
      <w:marLeft w:val="0"/>
      <w:marRight w:val="0"/>
      <w:marTop w:val="0"/>
      <w:marBottom w:val="0"/>
      <w:divBdr>
        <w:top w:val="none" w:sz="0" w:space="0" w:color="auto"/>
        <w:left w:val="none" w:sz="0" w:space="0" w:color="auto"/>
        <w:bottom w:val="none" w:sz="0" w:space="0" w:color="auto"/>
        <w:right w:val="none" w:sz="0" w:space="0" w:color="auto"/>
      </w:divBdr>
      <w:divsChild>
        <w:div w:id="1580140980">
          <w:marLeft w:val="0"/>
          <w:marRight w:val="0"/>
          <w:marTop w:val="0"/>
          <w:marBottom w:val="0"/>
          <w:divBdr>
            <w:top w:val="none" w:sz="0" w:space="0" w:color="auto"/>
            <w:left w:val="none" w:sz="0" w:space="0" w:color="auto"/>
            <w:bottom w:val="none" w:sz="0" w:space="0" w:color="auto"/>
            <w:right w:val="none" w:sz="0" w:space="0" w:color="auto"/>
          </w:divBdr>
          <w:divsChild>
            <w:div w:id="174614757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13365719">
      <w:marLeft w:val="0"/>
      <w:marRight w:val="0"/>
      <w:marTop w:val="0"/>
      <w:marBottom w:val="100"/>
      <w:divBdr>
        <w:top w:val="none" w:sz="0" w:space="0" w:color="auto"/>
        <w:left w:val="none" w:sz="0" w:space="0" w:color="auto"/>
        <w:bottom w:val="none" w:sz="0" w:space="0" w:color="auto"/>
        <w:right w:val="none" w:sz="0" w:space="0" w:color="auto"/>
      </w:divBdr>
    </w:div>
    <w:div w:id="1313412831">
      <w:marLeft w:val="0"/>
      <w:marRight w:val="0"/>
      <w:marTop w:val="0"/>
      <w:marBottom w:val="100"/>
      <w:divBdr>
        <w:top w:val="none" w:sz="0" w:space="0" w:color="auto"/>
        <w:left w:val="none" w:sz="0" w:space="0" w:color="auto"/>
        <w:bottom w:val="none" w:sz="0" w:space="0" w:color="auto"/>
        <w:right w:val="none" w:sz="0" w:space="0" w:color="auto"/>
      </w:divBdr>
    </w:div>
    <w:div w:id="1314022792">
      <w:marLeft w:val="0"/>
      <w:marRight w:val="0"/>
      <w:marTop w:val="80"/>
      <w:marBottom w:val="0"/>
      <w:divBdr>
        <w:top w:val="none" w:sz="0" w:space="0" w:color="auto"/>
        <w:left w:val="none" w:sz="0" w:space="0" w:color="auto"/>
        <w:bottom w:val="none" w:sz="0" w:space="0" w:color="auto"/>
        <w:right w:val="none" w:sz="0" w:space="0" w:color="auto"/>
      </w:divBdr>
    </w:div>
    <w:div w:id="1314259544">
      <w:marLeft w:val="0"/>
      <w:marRight w:val="0"/>
      <w:marTop w:val="100"/>
      <w:marBottom w:val="100"/>
      <w:divBdr>
        <w:top w:val="none" w:sz="0" w:space="0" w:color="auto"/>
        <w:left w:val="none" w:sz="0" w:space="0" w:color="auto"/>
        <w:bottom w:val="none" w:sz="0" w:space="0" w:color="auto"/>
        <w:right w:val="none" w:sz="0" w:space="0" w:color="auto"/>
      </w:divBdr>
    </w:div>
    <w:div w:id="1314944282">
      <w:marLeft w:val="0"/>
      <w:marRight w:val="0"/>
      <w:marTop w:val="0"/>
      <w:marBottom w:val="100"/>
      <w:divBdr>
        <w:top w:val="none" w:sz="0" w:space="0" w:color="auto"/>
        <w:left w:val="none" w:sz="0" w:space="0" w:color="auto"/>
        <w:bottom w:val="none" w:sz="0" w:space="0" w:color="auto"/>
        <w:right w:val="none" w:sz="0" w:space="0" w:color="auto"/>
      </w:divBdr>
    </w:div>
    <w:div w:id="1317102088">
      <w:marLeft w:val="0"/>
      <w:marRight w:val="0"/>
      <w:marTop w:val="180"/>
      <w:marBottom w:val="0"/>
      <w:divBdr>
        <w:top w:val="none" w:sz="0" w:space="0" w:color="auto"/>
        <w:left w:val="none" w:sz="0" w:space="0" w:color="auto"/>
        <w:bottom w:val="none" w:sz="0" w:space="0" w:color="auto"/>
        <w:right w:val="none" w:sz="0" w:space="0" w:color="auto"/>
      </w:divBdr>
    </w:div>
    <w:div w:id="1318263726">
      <w:marLeft w:val="0"/>
      <w:marRight w:val="0"/>
      <w:marTop w:val="100"/>
      <w:marBottom w:val="0"/>
      <w:divBdr>
        <w:top w:val="none" w:sz="0" w:space="0" w:color="auto"/>
        <w:left w:val="none" w:sz="0" w:space="0" w:color="auto"/>
        <w:bottom w:val="none" w:sz="0" w:space="0" w:color="auto"/>
        <w:right w:val="none" w:sz="0" w:space="0" w:color="auto"/>
      </w:divBdr>
    </w:div>
    <w:div w:id="1318994036">
      <w:marLeft w:val="0"/>
      <w:marRight w:val="0"/>
      <w:marTop w:val="80"/>
      <w:marBottom w:val="0"/>
      <w:divBdr>
        <w:top w:val="none" w:sz="0" w:space="0" w:color="auto"/>
        <w:left w:val="none" w:sz="0" w:space="0" w:color="auto"/>
        <w:bottom w:val="none" w:sz="0" w:space="0" w:color="auto"/>
        <w:right w:val="none" w:sz="0" w:space="0" w:color="auto"/>
      </w:divBdr>
    </w:div>
    <w:div w:id="1319072907">
      <w:marLeft w:val="0"/>
      <w:marRight w:val="0"/>
      <w:marTop w:val="0"/>
      <w:marBottom w:val="0"/>
      <w:divBdr>
        <w:top w:val="none" w:sz="0" w:space="0" w:color="auto"/>
        <w:left w:val="none" w:sz="0" w:space="0" w:color="auto"/>
        <w:bottom w:val="none" w:sz="0" w:space="0" w:color="auto"/>
        <w:right w:val="none" w:sz="0" w:space="0" w:color="auto"/>
      </w:divBdr>
      <w:divsChild>
        <w:div w:id="475873513">
          <w:marLeft w:val="0"/>
          <w:marRight w:val="0"/>
          <w:marTop w:val="0"/>
          <w:marBottom w:val="0"/>
          <w:divBdr>
            <w:top w:val="none" w:sz="0" w:space="0" w:color="auto"/>
            <w:left w:val="none" w:sz="0" w:space="0" w:color="auto"/>
            <w:bottom w:val="none" w:sz="0" w:space="0" w:color="auto"/>
            <w:right w:val="none" w:sz="0" w:space="0" w:color="auto"/>
          </w:divBdr>
          <w:divsChild>
            <w:div w:id="66475056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19917763">
      <w:marLeft w:val="0"/>
      <w:marRight w:val="0"/>
      <w:marTop w:val="100"/>
      <w:marBottom w:val="0"/>
      <w:divBdr>
        <w:top w:val="none" w:sz="0" w:space="0" w:color="auto"/>
        <w:left w:val="none" w:sz="0" w:space="0" w:color="auto"/>
        <w:bottom w:val="none" w:sz="0" w:space="0" w:color="auto"/>
        <w:right w:val="none" w:sz="0" w:space="0" w:color="auto"/>
      </w:divBdr>
    </w:div>
    <w:div w:id="1319967189">
      <w:marLeft w:val="0"/>
      <w:marRight w:val="0"/>
      <w:marTop w:val="100"/>
      <w:marBottom w:val="100"/>
      <w:divBdr>
        <w:top w:val="none" w:sz="0" w:space="0" w:color="auto"/>
        <w:left w:val="none" w:sz="0" w:space="0" w:color="auto"/>
        <w:bottom w:val="none" w:sz="0" w:space="0" w:color="auto"/>
        <w:right w:val="none" w:sz="0" w:space="0" w:color="auto"/>
      </w:divBdr>
    </w:div>
    <w:div w:id="1321890521">
      <w:marLeft w:val="0"/>
      <w:marRight w:val="0"/>
      <w:marTop w:val="0"/>
      <w:marBottom w:val="0"/>
      <w:divBdr>
        <w:top w:val="none" w:sz="0" w:space="0" w:color="auto"/>
        <w:left w:val="none" w:sz="0" w:space="0" w:color="auto"/>
        <w:bottom w:val="none" w:sz="0" w:space="0" w:color="auto"/>
        <w:right w:val="none" w:sz="0" w:space="0" w:color="auto"/>
      </w:divBdr>
      <w:divsChild>
        <w:div w:id="1013218088">
          <w:marLeft w:val="0"/>
          <w:marRight w:val="0"/>
          <w:marTop w:val="0"/>
          <w:marBottom w:val="100"/>
          <w:divBdr>
            <w:top w:val="none" w:sz="0" w:space="0" w:color="auto"/>
            <w:left w:val="none" w:sz="0" w:space="0" w:color="auto"/>
            <w:bottom w:val="none" w:sz="0" w:space="0" w:color="auto"/>
            <w:right w:val="none" w:sz="0" w:space="0" w:color="auto"/>
          </w:divBdr>
        </w:div>
      </w:divsChild>
    </w:div>
    <w:div w:id="1323117187">
      <w:marLeft w:val="0"/>
      <w:marRight w:val="0"/>
      <w:marTop w:val="0"/>
      <w:marBottom w:val="100"/>
      <w:divBdr>
        <w:top w:val="none" w:sz="0" w:space="0" w:color="auto"/>
        <w:left w:val="none" w:sz="0" w:space="0" w:color="auto"/>
        <w:bottom w:val="none" w:sz="0" w:space="0" w:color="auto"/>
        <w:right w:val="none" w:sz="0" w:space="0" w:color="auto"/>
      </w:divBdr>
    </w:div>
    <w:div w:id="1324119137">
      <w:marLeft w:val="0"/>
      <w:marRight w:val="0"/>
      <w:marTop w:val="100"/>
      <w:marBottom w:val="100"/>
      <w:divBdr>
        <w:top w:val="none" w:sz="0" w:space="0" w:color="auto"/>
        <w:left w:val="none" w:sz="0" w:space="0" w:color="auto"/>
        <w:bottom w:val="none" w:sz="0" w:space="0" w:color="auto"/>
        <w:right w:val="none" w:sz="0" w:space="0" w:color="auto"/>
      </w:divBdr>
    </w:div>
    <w:div w:id="1325280916">
      <w:marLeft w:val="0"/>
      <w:marRight w:val="0"/>
      <w:marTop w:val="0"/>
      <w:marBottom w:val="0"/>
      <w:divBdr>
        <w:top w:val="none" w:sz="0" w:space="0" w:color="auto"/>
        <w:left w:val="none" w:sz="0" w:space="0" w:color="auto"/>
        <w:bottom w:val="none" w:sz="0" w:space="0" w:color="auto"/>
        <w:right w:val="none" w:sz="0" w:space="0" w:color="auto"/>
      </w:divBdr>
    </w:div>
    <w:div w:id="1327247483">
      <w:marLeft w:val="0"/>
      <w:marRight w:val="0"/>
      <w:marTop w:val="0"/>
      <w:marBottom w:val="100"/>
      <w:divBdr>
        <w:top w:val="none" w:sz="0" w:space="0" w:color="auto"/>
        <w:left w:val="none" w:sz="0" w:space="0" w:color="auto"/>
        <w:bottom w:val="none" w:sz="0" w:space="0" w:color="auto"/>
        <w:right w:val="none" w:sz="0" w:space="0" w:color="auto"/>
      </w:divBdr>
    </w:div>
    <w:div w:id="1333222922">
      <w:marLeft w:val="0"/>
      <w:marRight w:val="0"/>
      <w:marTop w:val="100"/>
      <w:marBottom w:val="0"/>
      <w:divBdr>
        <w:top w:val="none" w:sz="0" w:space="0" w:color="auto"/>
        <w:left w:val="none" w:sz="0" w:space="0" w:color="auto"/>
        <w:bottom w:val="none" w:sz="0" w:space="0" w:color="auto"/>
        <w:right w:val="none" w:sz="0" w:space="0" w:color="auto"/>
      </w:divBdr>
    </w:div>
    <w:div w:id="1334575140">
      <w:marLeft w:val="0"/>
      <w:marRight w:val="0"/>
      <w:marTop w:val="180"/>
      <w:marBottom w:val="0"/>
      <w:divBdr>
        <w:top w:val="none" w:sz="0" w:space="0" w:color="auto"/>
        <w:left w:val="none" w:sz="0" w:space="0" w:color="auto"/>
        <w:bottom w:val="none" w:sz="0" w:space="0" w:color="auto"/>
        <w:right w:val="none" w:sz="0" w:space="0" w:color="auto"/>
      </w:divBdr>
    </w:div>
    <w:div w:id="1338194732">
      <w:marLeft w:val="0"/>
      <w:marRight w:val="0"/>
      <w:marTop w:val="0"/>
      <w:marBottom w:val="0"/>
      <w:divBdr>
        <w:top w:val="none" w:sz="0" w:space="0" w:color="auto"/>
        <w:left w:val="none" w:sz="0" w:space="0" w:color="auto"/>
        <w:bottom w:val="none" w:sz="0" w:space="0" w:color="auto"/>
        <w:right w:val="none" w:sz="0" w:space="0" w:color="auto"/>
      </w:divBdr>
    </w:div>
    <w:div w:id="1344090906">
      <w:marLeft w:val="0"/>
      <w:marRight w:val="0"/>
      <w:marTop w:val="0"/>
      <w:marBottom w:val="100"/>
      <w:divBdr>
        <w:top w:val="none" w:sz="0" w:space="0" w:color="auto"/>
        <w:left w:val="none" w:sz="0" w:space="0" w:color="auto"/>
        <w:bottom w:val="none" w:sz="0" w:space="0" w:color="auto"/>
        <w:right w:val="none" w:sz="0" w:space="0" w:color="auto"/>
      </w:divBdr>
    </w:div>
    <w:div w:id="1345355564">
      <w:marLeft w:val="0"/>
      <w:marRight w:val="0"/>
      <w:marTop w:val="0"/>
      <w:marBottom w:val="100"/>
      <w:divBdr>
        <w:top w:val="none" w:sz="0" w:space="0" w:color="auto"/>
        <w:left w:val="none" w:sz="0" w:space="0" w:color="auto"/>
        <w:bottom w:val="none" w:sz="0" w:space="0" w:color="auto"/>
        <w:right w:val="none" w:sz="0" w:space="0" w:color="auto"/>
      </w:divBdr>
    </w:div>
    <w:div w:id="1348170865">
      <w:marLeft w:val="0"/>
      <w:marRight w:val="0"/>
      <w:marTop w:val="100"/>
      <w:marBottom w:val="0"/>
      <w:divBdr>
        <w:top w:val="none" w:sz="0" w:space="0" w:color="auto"/>
        <w:left w:val="none" w:sz="0" w:space="0" w:color="auto"/>
        <w:bottom w:val="none" w:sz="0" w:space="0" w:color="auto"/>
        <w:right w:val="none" w:sz="0" w:space="0" w:color="auto"/>
      </w:divBdr>
    </w:div>
    <w:div w:id="1348211370">
      <w:marLeft w:val="0"/>
      <w:marRight w:val="0"/>
      <w:marTop w:val="100"/>
      <w:marBottom w:val="100"/>
      <w:divBdr>
        <w:top w:val="none" w:sz="0" w:space="0" w:color="auto"/>
        <w:left w:val="none" w:sz="0" w:space="0" w:color="auto"/>
        <w:bottom w:val="none" w:sz="0" w:space="0" w:color="auto"/>
        <w:right w:val="none" w:sz="0" w:space="0" w:color="auto"/>
      </w:divBdr>
    </w:div>
    <w:div w:id="1348217699">
      <w:marLeft w:val="0"/>
      <w:marRight w:val="0"/>
      <w:marTop w:val="0"/>
      <w:marBottom w:val="0"/>
      <w:divBdr>
        <w:top w:val="none" w:sz="0" w:space="0" w:color="auto"/>
        <w:left w:val="none" w:sz="0" w:space="0" w:color="auto"/>
        <w:bottom w:val="none" w:sz="0" w:space="0" w:color="auto"/>
        <w:right w:val="none" w:sz="0" w:space="0" w:color="auto"/>
      </w:divBdr>
    </w:div>
    <w:div w:id="1349016508">
      <w:marLeft w:val="0"/>
      <w:marRight w:val="0"/>
      <w:marTop w:val="0"/>
      <w:marBottom w:val="0"/>
      <w:divBdr>
        <w:top w:val="none" w:sz="0" w:space="0" w:color="auto"/>
        <w:left w:val="none" w:sz="0" w:space="0" w:color="auto"/>
        <w:bottom w:val="none" w:sz="0" w:space="0" w:color="auto"/>
        <w:right w:val="none" w:sz="0" w:space="0" w:color="auto"/>
      </w:divBdr>
      <w:divsChild>
        <w:div w:id="1279527468">
          <w:marLeft w:val="0"/>
          <w:marRight w:val="0"/>
          <w:marTop w:val="0"/>
          <w:marBottom w:val="100"/>
          <w:divBdr>
            <w:top w:val="none" w:sz="0" w:space="0" w:color="auto"/>
            <w:left w:val="none" w:sz="0" w:space="0" w:color="auto"/>
            <w:bottom w:val="none" w:sz="0" w:space="0" w:color="auto"/>
            <w:right w:val="none" w:sz="0" w:space="0" w:color="auto"/>
          </w:divBdr>
        </w:div>
      </w:divsChild>
    </w:div>
    <w:div w:id="1350327570">
      <w:marLeft w:val="0"/>
      <w:marRight w:val="0"/>
      <w:marTop w:val="0"/>
      <w:marBottom w:val="0"/>
      <w:divBdr>
        <w:top w:val="none" w:sz="0" w:space="0" w:color="auto"/>
        <w:left w:val="none" w:sz="0" w:space="0" w:color="auto"/>
        <w:bottom w:val="none" w:sz="0" w:space="0" w:color="auto"/>
        <w:right w:val="none" w:sz="0" w:space="0" w:color="auto"/>
      </w:divBdr>
      <w:divsChild>
        <w:div w:id="1773892031">
          <w:marLeft w:val="0"/>
          <w:marRight w:val="0"/>
          <w:marTop w:val="0"/>
          <w:marBottom w:val="0"/>
          <w:divBdr>
            <w:top w:val="none" w:sz="0" w:space="0" w:color="auto"/>
            <w:left w:val="none" w:sz="0" w:space="0" w:color="auto"/>
            <w:bottom w:val="none" w:sz="0" w:space="0" w:color="auto"/>
            <w:right w:val="none" w:sz="0" w:space="0" w:color="auto"/>
          </w:divBdr>
          <w:divsChild>
            <w:div w:id="116840068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50911633">
      <w:marLeft w:val="0"/>
      <w:marRight w:val="0"/>
      <w:marTop w:val="0"/>
      <w:marBottom w:val="0"/>
      <w:divBdr>
        <w:top w:val="none" w:sz="0" w:space="0" w:color="auto"/>
        <w:left w:val="none" w:sz="0" w:space="0" w:color="auto"/>
        <w:bottom w:val="none" w:sz="0" w:space="0" w:color="auto"/>
        <w:right w:val="none" w:sz="0" w:space="0" w:color="auto"/>
      </w:divBdr>
    </w:div>
    <w:div w:id="1352031602">
      <w:marLeft w:val="0"/>
      <w:marRight w:val="0"/>
      <w:marTop w:val="100"/>
      <w:marBottom w:val="100"/>
      <w:divBdr>
        <w:top w:val="none" w:sz="0" w:space="0" w:color="auto"/>
        <w:left w:val="none" w:sz="0" w:space="0" w:color="auto"/>
        <w:bottom w:val="none" w:sz="0" w:space="0" w:color="auto"/>
        <w:right w:val="none" w:sz="0" w:space="0" w:color="auto"/>
      </w:divBdr>
    </w:div>
    <w:div w:id="1352224430">
      <w:marLeft w:val="0"/>
      <w:marRight w:val="0"/>
      <w:marTop w:val="180"/>
      <w:marBottom w:val="0"/>
      <w:divBdr>
        <w:top w:val="none" w:sz="0" w:space="0" w:color="auto"/>
        <w:left w:val="none" w:sz="0" w:space="0" w:color="auto"/>
        <w:bottom w:val="none" w:sz="0" w:space="0" w:color="auto"/>
        <w:right w:val="none" w:sz="0" w:space="0" w:color="auto"/>
      </w:divBdr>
      <w:divsChild>
        <w:div w:id="566771431">
          <w:marLeft w:val="0"/>
          <w:marRight w:val="0"/>
          <w:marTop w:val="0"/>
          <w:marBottom w:val="0"/>
          <w:divBdr>
            <w:top w:val="none" w:sz="0" w:space="0" w:color="auto"/>
            <w:left w:val="none" w:sz="0" w:space="0" w:color="auto"/>
            <w:bottom w:val="none" w:sz="0" w:space="0" w:color="auto"/>
            <w:right w:val="none" w:sz="0" w:space="0" w:color="auto"/>
          </w:divBdr>
        </w:div>
        <w:div w:id="770592460">
          <w:marLeft w:val="0"/>
          <w:marRight w:val="0"/>
          <w:marTop w:val="0"/>
          <w:marBottom w:val="0"/>
          <w:divBdr>
            <w:top w:val="none" w:sz="0" w:space="0" w:color="auto"/>
            <w:left w:val="none" w:sz="0" w:space="0" w:color="auto"/>
            <w:bottom w:val="none" w:sz="0" w:space="0" w:color="auto"/>
            <w:right w:val="none" w:sz="0" w:space="0" w:color="auto"/>
          </w:divBdr>
        </w:div>
        <w:div w:id="282805503">
          <w:marLeft w:val="0"/>
          <w:marRight w:val="0"/>
          <w:marTop w:val="0"/>
          <w:marBottom w:val="0"/>
          <w:divBdr>
            <w:top w:val="none" w:sz="0" w:space="0" w:color="auto"/>
            <w:left w:val="none" w:sz="0" w:space="0" w:color="auto"/>
            <w:bottom w:val="none" w:sz="0" w:space="0" w:color="auto"/>
            <w:right w:val="none" w:sz="0" w:space="0" w:color="auto"/>
          </w:divBdr>
        </w:div>
        <w:div w:id="2095468628">
          <w:marLeft w:val="0"/>
          <w:marRight w:val="0"/>
          <w:marTop w:val="0"/>
          <w:marBottom w:val="0"/>
          <w:divBdr>
            <w:top w:val="none" w:sz="0" w:space="0" w:color="auto"/>
            <w:left w:val="none" w:sz="0" w:space="0" w:color="auto"/>
            <w:bottom w:val="none" w:sz="0" w:space="0" w:color="auto"/>
            <w:right w:val="none" w:sz="0" w:space="0" w:color="auto"/>
          </w:divBdr>
        </w:div>
        <w:div w:id="1415473137">
          <w:marLeft w:val="0"/>
          <w:marRight w:val="0"/>
          <w:marTop w:val="0"/>
          <w:marBottom w:val="0"/>
          <w:divBdr>
            <w:top w:val="none" w:sz="0" w:space="0" w:color="auto"/>
            <w:left w:val="none" w:sz="0" w:space="0" w:color="auto"/>
            <w:bottom w:val="none" w:sz="0" w:space="0" w:color="auto"/>
            <w:right w:val="none" w:sz="0" w:space="0" w:color="auto"/>
          </w:divBdr>
        </w:div>
      </w:divsChild>
    </w:div>
    <w:div w:id="1352485986">
      <w:marLeft w:val="0"/>
      <w:marRight w:val="0"/>
      <w:marTop w:val="0"/>
      <w:marBottom w:val="0"/>
      <w:divBdr>
        <w:top w:val="none" w:sz="0" w:space="0" w:color="auto"/>
        <w:left w:val="none" w:sz="0" w:space="0" w:color="auto"/>
        <w:bottom w:val="none" w:sz="0" w:space="0" w:color="auto"/>
        <w:right w:val="none" w:sz="0" w:space="0" w:color="auto"/>
      </w:divBdr>
    </w:div>
    <w:div w:id="1355305968">
      <w:marLeft w:val="0"/>
      <w:marRight w:val="0"/>
      <w:marTop w:val="0"/>
      <w:marBottom w:val="100"/>
      <w:divBdr>
        <w:top w:val="none" w:sz="0" w:space="0" w:color="auto"/>
        <w:left w:val="none" w:sz="0" w:space="0" w:color="auto"/>
        <w:bottom w:val="none" w:sz="0" w:space="0" w:color="auto"/>
        <w:right w:val="none" w:sz="0" w:space="0" w:color="auto"/>
      </w:divBdr>
    </w:div>
    <w:div w:id="1356267558">
      <w:marLeft w:val="0"/>
      <w:marRight w:val="0"/>
      <w:marTop w:val="100"/>
      <w:marBottom w:val="0"/>
      <w:divBdr>
        <w:top w:val="none" w:sz="0" w:space="0" w:color="auto"/>
        <w:left w:val="none" w:sz="0" w:space="0" w:color="auto"/>
        <w:bottom w:val="none" w:sz="0" w:space="0" w:color="auto"/>
        <w:right w:val="none" w:sz="0" w:space="0" w:color="auto"/>
      </w:divBdr>
    </w:div>
    <w:div w:id="1358240251">
      <w:marLeft w:val="0"/>
      <w:marRight w:val="0"/>
      <w:marTop w:val="180"/>
      <w:marBottom w:val="0"/>
      <w:divBdr>
        <w:top w:val="none" w:sz="0" w:space="0" w:color="auto"/>
        <w:left w:val="none" w:sz="0" w:space="0" w:color="auto"/>
        <w:bottom w:val="none" w:sz="0" w:space="0" w:color="auto"/>
        <w:right w:val="none" w:sz="0" w:space="0" w:color="auto"/>
      </w:divBdr>
    </w:div>
    <w:div w:id="1359241061">
      <w:marLeft w:val="0"/>
      <w:marRight w:val="0"/>
      <w:marTop w:val="0"/>
      <w:marBottom w:val="0"/>
      <w:divBdr>
        <w:top w:val="none" w:sz="0" w:space="0" w:color="auto"/>
        <w:left w:val="none" w:sz="0" w:space="0" w:color="auto"/>
        <w:bottom w:val="none" w:sz="0" w:space="0" w:color="auto"/>
        <w:right w:val="none" w:sz="0" w:space="0" w:color="auto"/>
      </w:divBdr>
      <w:divsChild>
        <w:div w:id="1057779845">
          <w:marLeft w:val="0"/>
          <w:marRight w:val="0"/>
          <w:marTop w:val="0"/>
          <w:marBottom w:val="100"/>
          <w:divBdr>
            <w:top w:val="none" w:sz="0" w:space="0" w:color="auto"/>
            <w:left w:val="none" w:sz="0" w:space="0" w:color="auto"/>
            <w:bottom w:val="none" w:sz="0" w:space="0" w:color="auto"/>
            <w:right w:val="none" w:sz="0" w:space="0" w:color="auto"/>
          </w:divBdr>
        </w:div>
      </w:divsChild>
    </w:div>
    <w:div w:id="1360159825">
      <w:marLeft w:val="0"/>
      <w:marRight w:val="0"/>
      <w:marTop w:val="0"/>
      <w:marBottom w:val="0"/>
      <w:divBdr>
        <w:top w:val="none" w:sz="0" w:space="0" w:color="auto"/>
        <w:left w:val="none" w:sz="0" w:space="0" w:color="auto"/>
        <w:bottom w:val="none" w:sz="0" w:space="0" w:color="auto"/>
        <w:right w:val="none" w:sz="0" w:space="0" w:color="auto"/>
      </w:divBdr>
      <w:divsChild>
        <w:div w:id="437871111">
          <w:marLeft w:val="0"/>
          <w:marRight w:val="0"/>
          <w:marTop w:val="0"/>
          <w:marBottom w:val="100"/>
          <w:divBdr>
            <w:top w:val="none" w:sz="0" w:space="0" w:color="auto"/>
            <w:left w:val="none" w:sz="0" w:space="0" w:color="auto"/>
            <w:bottom w:val="none" w:sz="0" w:space="0" w:color="auto"/>
            <w:right w:val="none" w:sz="0" w:space="0" w:color="auto"/>
          </w:divBdr>
        </w:div>
      </w:divsChild>
    </w:div>
    <w:div w:id="1360862917">
      <w:marLeft w:val="0"/>
      <w:marRight w:val="0"/>
      <w:marTop w:val="180"/>
      <w:marBottom w:val="0"/>
      <w:divBdr>
        <w:top w:val="none" w:sz="0" w:space="0" w:color="auto"/>
        <w:left w:val="none" w:sz="0" w:space="0" w:color="auto"/>
        <w:bottom w:val="none" w:sz="0" w:space="0" w:color="auto"/>
        <w:right w:val="none" w:sz="0" w:space="0" w:color="auto"/>
      </w:divBdr>
    </w:div>
    <w:div w:id="1361275644">
      <w:marLeft w:val="0"/>
      <w:marRight w:val="0"/>
      <w:marTop w:val="100"/>
      <w:marBottom w:val="100"/>
      <w:divBdr>
        <w:top w:val="none" w:sz="0" w:space="0" w:color="auto"/>
        <w:left w:val="none" w:sz="0" w:space="0" w:color="auto"/>
        <w:bottom w:val="none" w:sz="0" w:space="0" w:color="auto"/>
        <w:right w:val="none" w:sz="0" w:space="0" w:color="auto"/>
      </w:divBdr>
    </w:div>
    <w:div w:id="1361393082">
      <w:marLeft w:val="0"/>
      <w:marRight w:val="0"/>
      <w:marTop w:val="0"/>
      <w:marBottom w:val="100"/>
      <w:divBdr>
        <w:top w:val="none" w:sz="0" w:space="0" w:color="auto"/>
        <w:left w:val="none" w:sz="0" w:space="0" w:color="auto"/>
        <w:bottom w:val="none" w:sz="0" w:space="0" w:color="auto"/>
        <w:right w:val="none" w:sz="0" w:space="0" w:color="auto"/>
      </w:divBdr>
    </w:div>
    <w:div w:id="1363240545">
      <w:marLeft w:val="0"/>
      <w:marRight w:val="0"/>
      <w:marTop w:val="0"/>
      <w:marBottom w:val="100"/>
      <w:divBdr>
        <w:top w:val="none" w:sz="0" w:space="0" w:color="auto"/>
        <w:left w:val="none" w:sz="0" w:space="0" w:color="auto"/>
        <w:bottom w:val="none" w:sz="0" w:space="0" w:color="auto"/>
        <w:right w:val="none" w:sz="0" w:space="0" w:color="auto"/>
      </w:divBdr>
    </w:div>
    <w:div w:id="1363944964">
      <w:marLeft w:val="0"/>
      <w:marRight w:val="0"/>
      <w:marTop w:val="180"/>
      <w:marBottom w:val="0"/>
      <w:divBdr>
        <w:top w:val="none" w:sz="0" w:space="0" w:color="auto"/>
        <w:left w:val="none" w:sz="0" w:space="0" w:color="auto"/>
        <w:bottom w:val="none" w:sz="0" w:space="0" w:color="auto"/>
        <w:right w:val="none" w:sz="0" w:space="0" w:color="auto"/>
      </w:divBdr>
    </w:div>
    <w:div w:id="1365445774">
      <w:marLeft w:val="0"/>
      <w:marRight w:val="0"/>
      <w:marTop w:val="180"/>
      <w:marBottom w:val="0"/>
      <w:divBdr>
        <w:top w:val="none" w:sz="0" w:space="0" w:color="auto"/>
        <w:left w:val="none" w:sz="0" w:space="0" w:color="auto"/>
        <w:bottom w:val="none" w:sz="0" w:space="0" w:color="auto"/>
        <w:right w:val="none" w:sz="0" w:space="0" w:color="auto"/>
      </w:divBdr>
    </w:div>
    <w:div w:id="1367557189">
      <w:marLeft w:val="0"/>
      <w:marRight w:val="0"/>
      <w:marTop w:val="100"/>
      <w:marBottom w:val="100"/>
      <w:divBdr>
        <w:top w:val="none" w:sz="0" w:space="0" w:color="auto"/>
        <w:left w:val="none" w:sz="0" w:space="0" w:color="auto"/>
        <w:bottom w:val="none" w:sz="0" w:space="0" w:color="auto"/>
        <w:right w:val="none" w:sz="0" w:space="0" w:color="auto"/>
      </w:divBdr>
    </w:div>
    <w:div w:id="1367952772">
      <w:marLeft w:val="0"/>
      <w:marRight w:val="0"/>
      <w:marTop w:val="0"/>
      <w:marBottom w:val="0"/>
      <w:divBdr>
        <w:top w:val="none" w:sz="0" w:space="0" w:color="auto"/>
        <w:left w:val="none" w:sz="0" w:space="0" w:color="auto"/>
        <w:bottom w:val="none" w:sz="0" w:space="0" w:color="auto"/>
        <w:right w:val="none" w:sz="0" w:space="0" w:color="auto"/>
      </w:divBdr>
    </w:div>
    <w:div w:id="1368602814">
      <w:marLeft w:val="0"/>
      <w:marRight w:val="0"/>
      <w:marTop w:val="0"/>
      <w:marBottom w:val="100"/>
      <w:divBdr>
        <w:top w:val="none" w:sz="0" w:space="0" w:color="auto"/>
        <w:left w:val="none" w:sz="0" w:space="0" w:color="auto"/>
        <w:bottom w:val="none" w:sz="0" w:space="0" w:color="auto"/>
        <w:right w:val="none" w:sz="0" w:space="0" w:color="auto"/>
      </w:divBdr>
    </w:div>
    <w:div w:id="1371341592">
      <w:marLeft w:val="0"/>
      <w:marRight w:val="0"/>
      <w:marTop w:val="0"/>
      <w:marBottom w:val="0"/>
      <w:divBdr>
        <w:top w:val="none" w:sz="0" w:space="0" w:color="auto"/>
        <w:left w:val="none" w:sz="0" w:space="0" w:color="auto"/>
        <w:bottom w:val="none" w:sz="0" w:space="0" w:color="auto"/>
        <w:right w:val="none" w:sz="0" w:space="0" w:color="auto"/>
      </w:divBdr>
    </w:div>
    <w:div w:id="1371689875">
      <w:marLeft w:val="0"/>
      <w:marRight w:val="0"/>
      <w:marTop w:val="180"/>
      <w:marBottom w:val="0"/>
      <w:divBdr>
        <w:top w:val="none" w:sz="0" w:space="0" w:color="auto"/>
        <w:left w:val="none" w:sz="0" w:space="0" w:color="auto"/>
        <w:bottom w:val="none" w:sz="0" w:space="0" w:color="auto"/>
        <w:right w:val="none" w:sz="0" w:space="0" w:color="auto"/>
      </w:divBdr>
    </w:div>
    <w:div w:id="1371800762">
      <w:marLeft w:val="0"/>
      <w:marRight w:val="0"/>
      <w:marTop w:val="100"/>
      <w:marBottom w:val="100"/>
      <w:divBdr>
        <w:top w:val="none" w:sz="0" w:space="0" w:color="auto"/>
        <w:left w:val="none" w:sz="0" w:space="0" w:color="auto"/>
        <w:bottom w:val="none" w:sz="0" w:space="0" w:color="auto"/>
        <w:right w:val="none" w:sz="0" w:space="0" w:color="auto"/>
      </w:divBdr>
    </w:div>
    <w:div w:id="1372001024">
      <w:marLeft w:val="0"/>
      <w:marRight w:val="0"/>
      <w:marTop w:val="180"/>
      <w:marBottom w:val="0"/>
      <w:divBdr>
        <w:top w:val="none" w:sz="0" w:space="0" w:color="auto"/>
        <w:left w:val="none" w:sz="0" w:space="0" w:color="auto"/>
        <w:bottom w:val="none" w:sz="0" w:space="0" w:color="auto"/>
        <w:right w:val="none" w:sz="0" w:space="0" w:color="auto"/>
      </w:divBdr>
    </w:div>
    <w:div w:id="1373456410">
      <w:marLeft w:val="0"/>
      <w:marRight w:val="0"/>
      <w:marTop w:val="0"/>
      <w:marBottom w:val="0"/>
      <w:divBdr>
        <w:top w:val="none" w:sz="0" w:space="0" w:color="auto"/>
        <w:left w:val="none" w:sz="0" w:space="0" w:color="auto"/>
        <w:bottom w:val="none" w:sz="0" w:space="0" w:color="auto"/>
        <w:right w:val="none" w:sz="0" w:space="0" w:color="auto"/>
      </w:divBdr>
    </w:div>
    <w:div w:id="1375155799">
      <w:marLeft w:val="0"/>
      <w:marRight w:val="0"/>
      <w:marTop w:val="100"/>
      <w:marBottom w:val="100"/>
      <w:divBdr>
        <w:top w:val="none" w:sz="0" w:space="0" w:color="auto"/>
        <w:left w:val="none" w:sz="0" w:space="0" w:color="auto"/>
        <w:bottom w:val="none" w:sz="0" w:space="0" w:color="auto"/>
        <w:right w:val="none" w:sz="0" w:space="0" w:color="auto"/>
      </w:divBdr>
    </w:div>
    <w:div w:id="1377848289">
      <w:marLeft w:val="0"/>
      <w:marRight w:val="0"/>
      <w:marTop w:val="100"/>
      <w:marBottom w:val="0"/>
      <w:divBdr>
        <w:top w:val="none" w:sz="0" w:space="0" w:color="auto"/>
        <w:left w:val="none" w:sz="0" w:space="0" w:color="auto"/>
        <w:bottom w:val="none" w:sz="0" w:space="0" w:color="auto"/>
        <w:right w:val="none" w:sz="0" w:space="0" w:color="auto"/>
      </w:divBdr>
    </w:div>
    <w:div w:id="1379401788">
      <w:marLeft w:val="0"/>
      <w:marRight w:val="0"/>
      <w:marTop w:val="180"/>
      <w:marBottom w:val="0"/>
      <w:divBdr>
        <w:top w:val="none" w:sz="0" w:space="0" w:color="auto"/>
        <w:left w:val="none" w:sz="0" w:space="0" w:color="auto"/>
        <w:bottom w:val="none" w:sz="0" w:space="0" w:color="auto"/>
        <w:right w:val="none" w:sz="0" w:space="0" w:color="auto"/>
      </w:divBdr>
    </w:div>
    <w:div w:id="1383097647">
      <w:marLeft w:val="0"/>
      <w:marRight w:val="0"/>
      <w:marTop w:val="0"/>
      <w:marBottom w:val="0"/>
      <w:divBdr>
        <w:top w:val="none" w:sz="0" w:space="0" w:color="auto"/>
        <w:left w:val="none" w:sz="0" w:space="0" w:color="auto"/>
        <w:bottom w:val="none" w:sz="0" w:space="0" w:color="auto"/>
        <w:right w:val="none" w:sz="0" w:space="0" w:color="auto"/>
      </w:divBdr>
    </w:div>
    <w:div w:id="1383482872">
      <w:marLeft w:val="0"/>
      <w:marRight w:val="0"/>
      <w:marTop w:val="0"/>
      <w:marBottom w:val="0"/>
      <w:divBdr>
        <w:top w:val="none" w:sz="0" w:space="0" w:color="auto"/>
        <w:left w:val="none" w:sz="0" w:space="0" w:color="auto"/>
        <w:bottom w:val="none" w:sz="0" w:space="0" w:color="auto"/>
        <w:right w:val="none" w:sz="0" w:space="0" w:color="auto"/>
      </w:divBdr>
    </w:div>
    <w:div w:id="1384909239">
      <w:marLeft w:val="0"/>
      <w:marRight w:val="0"/>
      <w:marTop w:val="100"/>
      <w:marBottom w:val="100"/>
      <w:divBdr>
        <w:top w:val="none" w:sz="0" w:space="0" w:color="auto"/>
        <w:left w:val="none" w:sz="0" w:space="0" w:color="auto"/>
        <w:bottom w:val="none" w:sz="0" w:space="0" w:color="auto"/>
        <w:right w:val="none" w:sz="0" w:space="0" w:color="auto"/>
      </w:divBdr>
    </w:div>
    <w:div w:id="1385643994">
      <w:marLeft w:val="0"/>
      <w:marRight w:val="0"/>
      <w:marTop w:val="80"/>
      <w:marBottom w:val="100"/>
      <w:divBdr>
        <w:top w:val="none" w:sz="0" w:space="0" w:color="auto"/>
        <w:left w:val="none" w:sz="0" w:space="0" w:color="auto"/>
        <w:bottom w:val="none" w:sz="0" w:space="0" w:color="auto"/>
        <w:right w:val="none" w:sz="0" w:space="0" w:color="auto"/>
      </w:divBdr>
    </w:div>
    <w:div w:id="1386023698">
      <w:marLeft w:val="0"/>
      <w:marRight w:val="0"/>
      <w:marTop w:val="0"/>
      <w:marBottom w:val="100"/>
      <w:divBdr>
        <w:top w:val="none" w:sz="0" w:space="0" w:color="auto"/>
        <w:left w:val="none" w:sz="0" w:space="0" w:color="auto"/>
        <w:bottom w:val="none" w:sz="0" w:space="0" w:color="auto"/>
        <w:right w:val="none" w:sz="0" w:space="0" w:color="auto"/>
      </w:divBdr>
    </w:div>
    <w:div w:id="1388644085">
      <w:marLeft w:val="0"/>
      <w:marRight w:val="0"/>
      <w:marTop w:val="0"/>
      <w:marBottom w:val="0"/>
      <w:divBdr>
        <w:top w:val="none" w:sz="0" w:space="0" w:color="auto"/>
        <w:left w:val="none" w:sz="0" w:space="0" w:color="auto"/>
        <w:bottom w:val="none" w:sz="0" w:space="0" w:color="auto"/>
        <w:right w:val="none" w:sz="0" w:space="0" w:color="auto"/>
      </w:divBdr>
      <w:divsChild>
        <w:div w:id="600068060">
          <w:marLeft w:val="0"/>
          <w:marRight w:val="0"/>
          <w:marTop w:val="0"/>
          <w:marBottom w:val="0"/>
          <w:divBdr>
            <w:top w:val="none" w:sz="0" w:space="0" w:color="auto"/>
            <w:left w:val="none" w:sz="0" w:space="0" w:color="auto"/>
            <w:bottom w:val="none" w:sz="0" w:space="0" w:color="auto"/>
            <w:right w:val="none" w:sz="0" w:space="0" w:color="auto"/>
          </w:divBdr>
          <w:divsChild>
            <w:div w:id="154456261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90110614">
      <w:marLeft w:val="0"/>
      <w:marRight w:val="0"/>
      <w:marTop w:val="100"/>
      <w:marBottom w:val="100"/>
      <w:divBdr>
        <w:top w:val="none" w:sz="0" w:space="0" w:color="auto"/>
        <w:left w:val="none" w:sz="0" w:space="0" w:color="auto"/>
        <w:bottom w:val="none" w:sz="0" w:space="0" w:color="auto"/>
        <w:right w:val="none" w:sz="0" w:space="0" w:color="auto"/>
      </w:divBdr>
    </w:div>
    <w:div w:id="1391153193">
      <w:marLeft w:val="0"/>
      <w:marRight w:val="0"/>
      <w:marTop w:val="0"/>
      <w:marBottom w:val="0"/>
      <w:divBdr>
        <w:top w:val="none" w:sz="0" w:space="0" w:color="auto"/>
        <w:left w:val="none" w:sz="0" w:space="0" w:color="auto"/>
        <w:bottom w:val="none" w:sz="0" w:space="0" w:color="auto"/>
        <w:right w:val="none" w:sz="0" w:space="0" w:color="auto"/>
      </w:divBdr>
      <w:divsChild>
        <w:div w:id="569194117">
          <w:marLeft w:val="0"/>
          <w:marRight w:val="0"/>
          <w:marTop w:val="0"/>
          <w:marBottom w:val="0"/>
          <w:divBdr>
            <w:top w:val="none" w:sz="0" w:space="0" w:color="auto"/>
            <w:left w:val="none" w:sz="0" w:space="0" w:color="auto"/>
            <w:bottom w:val="none" w:sz="0" w:space="0" w:color="auto"/>
            <w:right w:val="none" w:sz="0" w:space="0" w:color="auto"/>
          </w:divBdr>
        </w:div>
        <w:div w:id="446583327">
          <w:marLeft w:val="0"/>
          <w:marRight w:val="0"/>
          <w:marTop w:val="0"/>
          <w:marBottom w:val="0"/>
          <w:divBdr>
            <w:top w:val="none" w:sz="0" w:space="0" w:color="auto"/>
            <w:left w:val="none" w:sz="0" w:space="0" w:color="auto"/>
            <w:bottom w:val="none" w:sz="0" w:space="0" w:color="auto"/>
            <w:right w:val="none" w:sz="0" w:space="0" w:color="auto"/>
          </w:divBdr>
        </w:div>
        <w:div w:id="138617455">
          <w:marLeft w:val="0"/>
          <w:marRight w:val="0"/>
          <w:marTop w:val="0"/>
          <w:marBottom w:val="0"/>
          <w:divBdr>
            <w:top w:val="none" w:sz="0" w:space="0" w:color="auto"/>
            <w:left w:val="none" w:sz="0" w:space="0" w:color="auto"/>
            <w:bottom w:val="none" w:sz="0" w:space="0" w:color="auto"/>
            <w:right w:val="none" w:sz="0" w:space="0" w:color="auto"/>
          </w:divBdr>
        </w:div>
        <w:div w:id="2097968695">
          <w:marLeft w:val="0"/>
          <w:marRight w:val="0"/>
          <w:marTop w:val="0"/>
          <w:marBottom w:val="0"/>
          <w:divBdr>
            <w:top w:val="none" w:sz="0" w:space="0" w:color="auto"/>
            <w:left w:val="none" w:sz="0" w:space="0" w:color="auto"/>
            <w:bottom w:val="none" w:sz="0" w:space="0" w:color="auto"/>
            <w:right w:val="none" w:sz="0" w:space="0" w:color="auto"/>
          </w:divBdr>
        </w:div>
        <w:div w:id="1161652674">
          <w:marLeft w:val="0"/>
          <w:marRight w:val="0"/>
          <w:marTop w:val="0"/>
          <w:marBottom w:val="0"/>
          <w:divBdr>
            <w:top w:val="none" w:sz="0" w:space="0" w:color="auto"/>
            <w:left w:val="none" w:sz="0" w:space="0" w:color="auto"/>
            <w:bottom w:val="none" w:sz="0" w:space="0" w:color="auto"/>
            <w:right w:val="none" w:sz="0" w:space="0" w:color="auto"/>
          </w:divBdr>
        </w:div>
        <w:div w:id="1396661254">
          <w:marLeft w:val="0"/>
          <w:marRight w:val="0"/>
          <w:marTop w:val="0"/>
          <w:marBottom w:val="0"/>
          <w:divBdr>
            <w:top w:val="none" w:sz="0" w:space="0" w:color="auto"/>
            <w:left w:val="none" w:sz="0" w:space="0" w:color="auto"/>
            <w:bottom w:val="none" w:sz="0" w:space="0" w:color="auto"/>
            <w:right w:val="none" w:sz="0" w:space="0" w:color="auto"/>
          </w:divBdr>
        </w:div>
        <w:div w:id="2029598203">
          <w:marLeft w:val="0"/>
          <w:marRight w:val="0"/>
          <w:marTop w:val="0"/>
          <w:marBottom w:val="0"/>
          <w:divBdr>
            <w:top w:val="none" w:sz="0" w:space="0" w:color="auto"/>
            <w:left w:val="none" w:sz="0" w:space="0" w:color="auto"/>
            <w:bottom w:val="none" w:sz="0" w:space="0" w:color="auto"/>
            <w:right w:val="none" w:sz="0" w:space="0" w:color="auto"/>
          </w:divBdr>
        </w:div>
        <w:div w:id="1953586635">
          <w:marLeft w:val="0"/>
          <w:marRight w:val="0"/>
          <w:marTop w:val="0"/>
          <w:marBottom w:val="0"/>
          <w:divBdr>
            <w:top w:val="none" w:sz="0" w:space="0" w:color="auto"/>
            <w:left w:val="none" w:sz="0" w:space="0" w:color="auto"/>
            <w:bottom w:val="none" w:sz="0" w:space="0" w:color="auto"/>
            <w:right w:val="none" w:sz="0" w:space="0" w:color="auto"/>
          </w:divBdr>
        </w:div>
        <w:div w:id="1186485320">
          <w:marLeft w:val="0"/>
          <w:marRight w:val="0"/>
          <w:marTop w:val="0"/>
          <w:marBottom w:val="0"/>
          <w:divBdr>
            <w:top w:val="none" w:sz="0" w:space="0" w:color="auto"/>
            <w:left w:val="none" w:sz="0" w:space="0" w:color="auto"/>
            <w:bottom w:val="none" w:sz="0" w:space="0" w:color="auto"/>
            <w:right w:val="none" w:sz="0" w:space="0" w:color="auto"/>
          </w:divBdr>
        </w:div>
      </w:divsChild>
    </w:div>
    <w:div w:id="1392465832">
      <w:marLeft w:val="0"/>
      <w:marRight w:val="0"/>
      <w:marTop w:val="0"/>
      <w:marBottom w:val="0"/>
      <w:divBdr>
        <w:top w:val="none" w:sz="0" w:space="0" w:color="auto"/>
        <w:left w:val="none" w:sz="0" w:space="0" w:color="auto"/>
        <w:bottom w:val="none" w:sz="0" w:space="0" w:color="auto"/>
        <w:right w:val="none" w:sz="0" w:space="0" w:color="auto"/>
      </w:divBdr>
      <w:divsChild>
        <w:div w:id="127751206">
          <w:marLeft w:val="0"/>
          <w:marRight w:val="0"/>
          <w:marTop w:val="0"/>
          <w:marBottom w:val="100"/>
          <w:divBdr>
            <w:top w:val="none" w:sz="0" w:space="0" w:color="auto"/>
            <w:left w:val="none" w:sz="0" w:space="0" w:color="auto"/>
            <w:bottom w:val="none" w:sz="0" w:space="0" w:color="auto"/>
            <w:right w:val="none" w:sz="0" w:space="0" w:color="auto"/>
          </w:divBdr>
        </w:div>
      </w:divsChild>
    </w:div>
    <w:div w:id="1392729098">
      <w:marLeft w:val="0"/>
      <w:marRight w:val="0"/>
      <w:marTop w:val="100"/>
      <w:marBottom w:val="100"/>
      <w:divBdr>
        <w:top w:val="none" w:sz="0" w:space="0" w:color="auto"/>
        <w:left w:val="none" w:sz="0" w:space="0" w:color="auto"/>
        <w:bottom w:val="none" w:sz="0" w:space="0" w:color="auto"/>
        <w:right w:val="none" w:sz="0" w:space="0" w:color="auto"/>
      </w:divBdr>
    </w:div>
    <w:div w:id="1393892169">
      <w:marLeft w:val="0"/>
      <w:marRight w:val="0"/>
      <w:marTop w:val="80"/>
      <w:marBottom w:val="100"/>
      <w:divBdr>
        <w:top w:val="none" w:sz="0" w:space="0" w:color="auto"/>
        <w:left w:val="none" w:sz="0" w:space="0" w:color="auto"/>
        <w:bottom w:val="none" w:sz="0" w:space="0" w:color="auto"/>
        <w:right w:val="none" w:sz="0" w:space="0" w:color="auto"/>
      </w:divBdr>
    </w:div>
    <w:div w:id="1393894510">
      <w:marLeft w:val="0"/>
      <w:marRight w:val="0"/>
      <w:marTop w:val="0"/>
      <w:marBottom w:val="100"/>
      <w:divBdr>
        <w:top w:val="none" w:sz="0" w:space="0" w:color="auto"/>
        <w:left w:val="none" w:sz="0" w:space="0" w:color="auto"/>
        <w:bottom w:val="none" w:sz="0" w:space="0" w:color="auto"/>
        <w:right w:val="none" w:sz="0" w:space="0" w:color="auto"/>
      </w:divBdr>
    </w:div>
    <w:div w:id="1394157840">
      <w:marLeft w:val="0"/>
      <w:marRight w:val="0"/>
      <w:marTop w:val="180"/>
      <w:marBottom w:val="0"/>
      <w:divBdr>
        <w:top w:val="none" w:sz="0" w:space="0" w:color="auto"/>
        <w:left w:val="none" w:sz="0" w:space="0" w:color="auto"/>
        <w:bottom w:val="none" w:sz="0" w:space="0" w:color="auto"/>
        <w:right w:val="none" w:sz="0" w:space="0" w:color="auto"/>
      </w:divBdr>
    </w:div>
    <w:div w:id="1394545547">
      <w:marLeft w:val="0"/>
      <w:marRight w:val="0"/>
      <w:marTop w:val="0"/>
      <w:marBottom w:val="100"/>
      <w:divBdr>
        <w:top w:val="none" w:sz="0" w:space="0" w:color="auto"/>
        <w:left w:val="none" w:sz="0" w:space="0" w:color="auto"/>
        <w:bottom w:val="none" w:sz="0" w:space="0" w:color="auto"/>
        <w:right w:val="none" w:sz="0" w:space="0" w:color="auto"/>
      </w:divBdr>
    </w:div>
    <w:div w:id="1394616638">
      <w:marLeft w:val="0"/>
      <w:marRight w:val="0"/>
      <w:marTop w:val="0"/>
      <w:marBottom w:val="0"/>
      <w:divBdr>
        <w:top w:val="none" w:sz="0" w:space="0" w:color="auto"/>
        <w:left w:val="none" w:sz="0" w:space="0" w:color="auto"/>
        <w:bottom w:val="none" w:sz="0" w:space="0" w:color="auto"/>
        <w:right w:val="none" w:sz="0" w:space="0" w:color="auto"/>
      </w:divBdr>
    </w:div>
    <w:div w:id="1397046822">
      <w:marLeft w:val="0"/>
      <w:marRight w:val="0"/>
      <w:marTop w:val="100"/>
      <w:marBottom w:val="100"/>
      <w:divBdr>
        <w:top w:val="none" w:sz="0" w:space="0" w:color="auto"/>
        <w:left w:val="none" w:sz="0" w:space="0" w:color="auto"/>
        <w:bottom w:val="none" w:sz="0" w:space="0" w:color="auto"/>
        <w:right w:val="none" w:sz="0" w:space="0" w:color="auto"/>
      </w:divBdr>
    </w:div>
    <w:div w:id="1399088455">
      <w:marLeft w:val="0"/>
      <w:marRight w:val="0"/>
      <w:marTop w:val="100"/>
      <w:marBottom w:val="0"/>
      <w:divBdr>
        <w:top w:val="none" w:sz="0" w:space="0" w:color="auto"/>
        <w:left w:val="none" w:sz="0" w:space="0" w:color="auto"/>
        <w:bottom w:val="none" w:sz="0" w:space="0" w:color="auto"/>
        <w:right w:val="none" w:sz="0" w:space="0" w:color="auto"/>
      </w:divBdr>
    </w:div>
    <w:div w:id="1401294274">
      <w:marLeft w:val="0"/>
      <w:marRight w:val="0"/>
      <w:marTop w:val="180"/>
      <w:marBottom w:val="0"/>
      <w:divBdr>
        <w:top w:val="none" w:sz="0" w:space="0" w:color="auto"/>
        <w:left w:val="none" w:sz="0" w:space="0" w:color="auto"/>
        <w:bottom w:val="none" w:sz="0" w:space="0" w:color="auto"/>
        <w:right w:val="none" w:sz="0" w:space="0" w:color="auto"/>
      </w:divBdr>
    </w:div>
    <w:div w:id="1403260325">
      <w:marLeft w:val="0"/>
      <w:marRight w:val="0"/>
      <w:marTop w:val="100"/>
      <w:marBottom w:val="0"/>
      <w:divBdr>
        <w:top w:val="none" w:sz="0" w:space="0" w:color="auto"/>
        <w:left w:val="none" w:sz="0" w:space="0" w:color="auto"/>
        <w:bottom w:val="none" w:sz="0" w:space="0" w:color="auto"/>
        <w:right w:val="none" w:sz="0" w:space="0" w:color="auto"/>
      </w:divBdr>
    </w:div>
    <w:div w:id="1403530592">
      <w:marLeft w:val="0"/>
      <w:marRight w:val="0"/>
      <w:marTop w:val="0"/>
      <w:marBottom w:val="100"/>
      <w:divBdr>
        <w:top w:val="none" w:sz="0" w:space="0" w:color="auto"/>
        <w:left w:val="none" w:sz="0" w:space="0" w:color="auto"/>
        <w:bottom w:val="none" w:sz="0" w:space="0" w:color="auto"/>
        <w:right w:val="none" w:sz="0" w:space="0" w:color="auto"/>
      </w:divBdr>
    </w:div>
    <w:div w:id="1404719831">
      <w:marLeft w:val="0"/>
      <w:marRight w:val="0"/>
      <w:marTop w:val="100"/>
      <w:marBottom w:val="100"/>
      <w:divBdr>
        <w:top w:val="none" w:sz="0" w:space="0" w:color="auto"/>
        <w:left w:val="none" w:sz="0" w:space="0" w:color="auto"/>
        <w:bottom w:val="none" w:sz="0" w:space="0" w:color="auto"/>
        <w:right w:val="none" w:sz="0" w:space="0" w:color="auto"/>
      </w:divBdr>
    </w:div>
    <w:div w:id="1408653097">
      <w:marLeft w:val="0"/>
      <w:marRight w:val="0"/>
      <w:marTop w:val="100"/>
      <w:marBottom w:val="90"/>
      <w:divBdr>
        <w:top w:val="none" w:sz="0" w:space="0" w:color="auto"/>
        <w:left w:val="none" w:sz="0" w:space="0" w:color="auto"/>
        <w:bottom w:val="none" w:sz="0" w:space="0" w:color="auto"/>
        <w:right w:val="none" w:sz="0" w:space="0" w:color="auto"/>
      </w:divBdr>
    </w:div>
    <w:div w:id="1408765433">
      <w:marLeft w:val="0"/>
      <w:marRight w:val="0"/>
      <w:marTop w:val="0"/>
      <w:marBottom w:val="0"/>
      <w:divBdr>
        <w:top w:val="none" w:sz="0" w:space="0" w:color="auto"/>
        <w:left w:val="none" w:sz="0" w:space="0" w:color="auto"/>
        <w:bottom w:val="none" w:sz="0" w:space="0" w:color="auto"/>
        <w:right w:val="none" w:sz="0" w:space="0" w:color="auto"/>
      </w:divBdr>
      <w:divsChild>
        <w:div w:id="1858813962">
          <w:marLeft w:val="0"/>
          <w:marRight w:val="0"/>
          <w:marTop w:val="0"/>
          <w:marBottom w:val="100"/>
          <w:divBdr>
            <w:top w:val="none" w:sz="0" w:space="0" w:color="auto"/>
            <w:left w:val="none" w:sz="0" w:space="0" w:color="auto"/>
            <w:bottom w:val="none" w:sz="0" w:space="0" w:color="auto"/>
            <w:right w:val="none" w:sz="0" w:space="0" w:color="auto"/>
          </w:divBdr>
        </w:div>
      </w:divsChild>
    </w:div>
    <w:div w:id="1409502653">
      <w:marLeft w:val="0"/>
      <w:marRight w:val="0"/>
      <w:marTop w:val="0"/>
      <w:marBottom w:val="100"/>
      <w:divBdr>
        <w:top w:val="none" w:sz="0" w:space="0" w:color="auto"/>
        <w:left w:val="none" w:sz="0" w:space="0" w:color="auto"/>
        <w:bottom w:val="none" w:sz="0" w:space="0" w:color="auto"/>
        <w:right w:val="none" w:sz="0" w:space="0" w:color="auto"/>
      </w:divBdr>
    </w:div>
    <w:div w:id="1410083042">
      <w:marLeft w:val="0"/>
      <w:marRight w:val="0"/>
      <w:marTop w:val="0"/>
      <w:marBottom w:val="0"/>
      <w:divBdr>
        <w:top w:val="none" w:sz="0" w:space="0" w:color="auto"/>
        <w:left w:val="none" w:sz="0" w:space="0" w:color="auto"/>
        <w:bottom w:val="none" w:sz="0" w:space="0" w:color="auto"/>
        <w:right w:val="none" w:sz="0" w:space="0" w:color="auto"/>
      </w:divBdr>
      <w:divsChild>
        <w:div w:id="1108811737">
          <w:marLeft w:val="0"/>
          <w:marRight w:val="0"/>
          <w:marTop w:val="0"/>
          <w:marBottom w:val="100"/>
          <w:divBdr>
            <w:top w:val="none" w:sz="0" w:space="0" w:color="auto"/>
            <w:left w:val="none" w:sz="0" w:space="0" w:color="auto"/>
            <w:bottom w:val="none" w:sz="0" w:space="0" w:color="auto"/>
            <w:right w:val="none" w:sz="0" w:space="0" w:color="auto"/>
          </w:divBdr>
        </w:div>
      </w:divsChild>
    </w:div>
    <w:div w:id="1410662694">
      <w:marLeft w:val="0"/>
      <w:marRight w:val="0"/>
      <w:marTop w:val="180"/>
      <w:marBottom w:val="0"/>
      <w:divBdr>
        <w:top w:val="none" w:sz="0" w:space="0" w:color="auto"/>
        <w:left w:val="none" w:sz="0" w:space="0" w:color="auto"/>
        <w:bottom w:val="none" w:sz="0" w:space="0" w:color="auto"/>
        <w:right w:val="none" w:sz="0" w:space="0" w:color="auto"/>
      </w:divBdr>
      <w:divsChild>
        <w:div w:id="1851993693">
          <w:marLeft w:val="0"/>
          <w:marRight w:val="0"/>
          <w:marTop w:val="0"/>
          <w:marBottom w:val="0"/>
          <w:divBdr>
            <w:top w:val="none" w:sz="0" w:space="0" w:color="auto"/>
            <w:left w:val="none" w:sz="0" w:space="0" w:color="auto"/>
            <w:bottom w:val="none" w:sz="0" w:space="0" w:color="auto"/>
            <w:right w:val="none" w:sz="0" w:space="0" w:color="auto"/>
          </w:divBdr>
        </w:div>
        <w:div w:id="1061245907">
          <w:marLeft w:val="0"/>
          <w:marRight w:val="0"/>
          <w:marTop w:val="0"/>
          <w:marBottom w:val="0"/>
          <w:divBdr>
            <w:top w:val="none" w:sz="0" w:space="0" w:color="auto"/>
            <w:left w:val="none" w:sz="0" w:space="0" w:color="auto"/>
            <w:bottom w:val="none" w:sz="0" w:space="0" w:color="auto"/>
            <w:right w:val="none" w:sz="0" w:space="0" w:color="auto"/>
          </w:divBdr>
        </w:div>
        <w:div w:id="1817988564">
          <w:marLeft w:val="0"/>
          <w:marRight w:val="0"/>
          <w:marTop w:val="0"/>
          <w:marBottom w:val="0"/>
          <w:divBdr>
            <w:top w:val="none" w:sz="0" w:space="0" w:color="auto"/>
            <w:left w:val="none" w:sz="0" w:space="0" w:color="auto"/>
            <w:bottom w:val="none" w:sz="0" w:space="0" w:color="auto"/>
            <w:right w:val="none" w:sz="0" w:space="0" w:color="auto"/>
          </w:divBdr>
        </w:div>
      </w:divsChild>
    </w:div>
    <w:div w:id="1410927831">
      <w:marLeft w:val="0"/>
      <w:marRight w:val="0"/>
      <w:marTop w:val="0"/>
      <w:marBottom w:val="0"/>
      <w:divBdr>
        <w:top w:val="none" w:sz="0" w:space="0" w:color="auto"/>
        <w:left w:val="none" w:sz="0" w:space="0" w:color="auto"/>
        <w:bottom w:val="none" w:sz="0" w:space="0" w:color="auto"/>
        <w:right w:val="none" w:sz="0" w:space="0" w:color="auto"/>
      </w:divBdr>
      <w:divsChild>
        <w:div w:id="2032803327">
          <w:marLeft w:val="0"/>
          <w:marRight w:val="0"/>
          <w:marTop w:val="0"/>
          <w:marBottom w:val="0"/>
          <w:divBdr>
            <w:top w:val="none" w:sz="0" w:space="0" w:color="auto"/>
            <w:left w:val="none" w:sz="0" w:space="0" w:color="auto"/>
            <w:bottom w:val="none" w:sz="0" w:space="0" w:color="auto"/>
            <w:right w:val="none" w:sz="0" w:space="0" w:color="auto"/>
          </w:divBdr>
          <w:divsChild>
            <w:div w:id="16381414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12775455">
      <w:marLeft w:val="0"/>
      <w:marRight w:val="0"/>
      <w:marTop w:val="0"/>
      <w:marBottom w:val="0"/>
      <w:divBdr>
        <w:top w:val="none" w:sz="0" w:space="0" w:color="auto"/>
        <w:left w:val="none" w:sz="0" w:space="0" w:color="auto"/>
        <w:bottom w:val="none" w:sz="0" w:space="0" w:color="auto"/>
        <w:right w:val="none" w:sz="0" w:space="0" w:color="auto"/>
      </w:divBdr>
      <w:divsChild>
        <w:div w:id="200019070">
          <w:marLeft w:val="0"/>
          <w:marRight w:val="0"/>
          <w:marTop w:val="0"/>
          <w:marBottom w:val="100"/>
          <w:divBdr>
            <w:top w:val="none" w:sz="0" w:space="0" w:color="auto"/>
            <w:left w:val="none" w:sz="0" w:space="0" w:color="auto"/>
            <w:bottom w:val="none" w:sz="0" w:space="0" w:color="auto"/>
            <w:right w:val="none" w:sz="0" w:space="0" w:color="auto"/>
          </w:divBdr>
        </w:div>
      </w:divsChild>
    </w:div>
    <w:div w:id="1413694314">
      <w:marLeft w:val="0"/>
      <w:marRight w:val="0"/>
      <w:marTop w:val="80"/>
      <w:marBottom w:val="100"/>
      <w:divBdr>
        <w:top w:val="none" w:sz="0" w:space="0" w:color="auto"/>
        <w:left w:val="none" w:sz="0" w:space="0" w:color="auto"/>
        <w:bottom w:val="none" w:sz="0" w:space="0" w:color="auto"/>
        <w:right w:val="none" w:sz="0" w:space="0" w:color="auto"/>
      </w:divBdr>
    </w:div>
    <w:div w:id="1414357296">
      <w:marLeft w:val="0"/>
      <w:marRight w:val="0"/>
      <w:marTop w:val="100"/>
      <w:marBottom w:val="100"/>
      <w:divBdr>
        <w:top w:val="none" w:sz="0" w:space="0" w:color="auto"/>
        <w:left w:val="none" w:sz="0" w:space="0" w:color="auto"/>
        <w:bottom w:val="none" w:sz="0" w:space="0" w:color="auto"/>
        <w:right w:val="none" w:sz="0" w:space="0" w:color="auto"/>
      </w:divBdr>
    </w:div>
    <w:div w:id="1414550702">
      <w:marLeft w:val="0"/>
      <w:marRight w:val="0"/>
      <w:marTop w:val="100"/>
      <w:marBottom w:val="100"/>
      <w:divBdr>
        <w:top w:val="none" w:sz="0" w:space="0" w:color="auto"/>
        <w:left w:val="none" w:sz="0" w:space="0" w:color="auto"/>
        <w:bottom w:val="none" w:sz="0" w:space="0" w:color="auto"/>
        <w:right w:val="none" w:sz="0" w:space="0" w:color="auto"/>
      </w:divBdr>
    </w:div>
    <w:div w:id="1414737540">
      <w:marLeft w:val="0"/>
      <w:marRight w:val="0"/>
      <w:marTop w:val="0"/>
      <w:marBottom w:val="100"/>
      <w:divBdr>
        <w:top w:val="none" w:sz="0" w:space="0" w:color="auto"/>
        <w:left w:val="none" w:sz="0" w:space="0" w:color="auto"/>
        <w:bottom w:val="none" w:sz="0" w:space="0" w:color="auto"/>
        <w:right w:val="none" w:sz="0" w:space="0" w:color="auto"/>
      </w:divBdr>
    </w:div>
    <w:div w:id="1417021604">
      <w:marLeft w:val="0"/>
      <w:marRight w:val="0"/>
      <w:marTop w:val="0"/>
      <w:marBottom w:val="100"/>
      <w:divBdr>
        <w:top w:val="none" w:sz="0" w:space="0" w:color="auto"/>
        <w:left w:val="none" w:sz="0" w:space="0" w:color="auto"/>
        <w:bottom w:val="none" w:sz="0" w:space="0" w:color="auto"/>
        <w:right w:val="none" w:sz="0" w:space="0" w:color="auto"/>
      </w:divBdr>
    </w:div>
    <w:div w:id="1419249890">
      <w:marLeft w:val="0"/>
      <w:marRight w:val="0"/>
      <w:marTop w:val="0"/>
      <w:marBottom w:val="0"/>
      <w:divBdr>
        <w:top w:val="none" w:sz="0" w:space="0" w:color="auto"/>
        <w:left w:val="none" w:sz="0" w:space="0" w:color="auto"/>
        <w:bottom w:val="none" w:sz="0" w:space="0" w:color="auto"/>
        <w:right w:val="none" w:sz="0" w:space="0" w:color="auto"/>
      </w:divBdr>
    </w:div>
    <w:div w:id="1420324523">
      <w:marLeft w:val="0"/>
      <w:marRight w:val="0"/>
      <w:marTop w:val="100"/>
      <w:marBottom w:val="100"/>
      <w:divBdr>
        <w:top w:val="none" w:sz="0" w:space="0" w:color="auto"/>
        <w:left w:val="none" w:sz="0" w:space="0" w:color="auto"/>
        <w:bottom w:val="none" w:sz="0" w:space="0" w:color="auto"/>
        <w:right w:val="none" w:sz="0" w:space="0" w:color="auto"/>
      </w:divBdr>
    </w:div>
    <w:div w:id="1421487400">
      <w:marLeft w:val="0"/>
      <w:marRight w:val="0"/>
      <w:marTop w:val="100"/>
      <w:marBottom w:val="0"/>
      <w:divBdr>
        <w:top w:val="none" w:sz="0" w:space="0" w:color="auto"/>
        <w:left w:val="none" w:sz="0" w:space="0" w:color="auto"/>
        <w:bottom w:val="none" w:sz="0" w:space="0" w:color="auto"/>
        <w:right w:val="none" w:sz="0" w:space="0" w:color="auto"/>
      </w:divBdr>
    </w:div>
    <w:div w:id="1422483273">
      <w:marLeft w:val="0"/>
      <w:marRight w:val="0"/>
      <w:marTop w:val="0"/>
      <w:marBottom w:val="0"/>
      <w:divBdr>
        <w:top w:val="none" w:sz="0" w:space="0" w:color="auto"/>
        <w:left w:val="none" w:sz="0" w:space="0" w:color="auto"/>
        <w:bottom w:val="none" w:sz="0" w:space="0" w:color="auto"/>
        <w:right w:val="none" w:sz="0" w:space="0" w:color="auto"/>
      </w:divBdr>
    </w:div>
    <w:div w:id="1424259395">
      <w:marLeft w:val="0"/>
      <w:marRight w:val="0"/>
      <w:marTop w:val="180"/>
      <w:marBottom w:val="0"/>
      <w:divBdr>
        <w:top w:val="none" w:sz="0" w:space="0" w:color="auto"/>
        <w:left w:val="none" w:sz="0" w:space="0" w:color="auto"/>
        <w:bottom w:val="none" w:sz="0" w:space="0" w:color="auto"/>
        <w:right w:val="none" w:sz="0" w:space="0" w:color="auto"/>
      </w:divBdr>
    </w:div>
    <w:div w:id="1424764389">
      <w:marLeft w:val="0"/>
      <w:marRight w:val="0"/>
      <w:marTop w:val="0"/>
      <w:marBottom w:val="100"/>
      <w:divBdr>
        <w:top w:val="none" w:sz="0" w:space="0" w:color="auto"/>
        <w:left w:val="none" w:sz="0" w:space="0" w:color="auto"/>
        <w:bottom w:val="none" w:sz="0" w:space="0" w:color="auto"/>
        <w:right w:val="none" w:sz="0" w:space="0" w:color="auto"/>
      </w:divBdr>
    </w:div>
    <w:div w:id="1424911621">
      <w:marLeft w:val="0"/>
      <w:marRight w:val="0"/>
      <w:marTop w:val="100"/>
      <w:marBottom w:val="0"/>
      <w:divBdr>
        <w:top w:val="none" w:sz="0" w:space="0" w:color="auto"/>
        <w:left w:val="none" w:sz="0" w:space="0" w:color="auto"/>
        <w:bottom w:val="none" w:sz="0" w:space="0" w:color="auto"/>
        <w:right w:val="none" w:sz="0" w:space="0" w:color="auto"/>
      </w:divBdr>
    </w:div>
    <w:div w:id="1426613424">
      <w:marLeft w:val="0"/>
      <w:marRight w:val="0"/>
      <w:marTop w:val="180"/>
      <w:marBottom w:val="0"/>
      <w:divBdr>
        <w:top w:val="none" w:sz="0" w:space="0" w:color="auto"/>
        <w:left w:val="none" w:sz="0" w:space="0" w:color="auto"/>
        <w:bottom w:val="none" w:sz="0" w:space="0" w:color="auto"/>
        <w:right w:val="none" w:sz="0" w:space="0" w:color="auto"/>
      </w:divBdr>
    </w:div>
    <w:div w:id="1430390845">
      <w:marLeft w:val="0"/>
      <w:marRight w:val="0"/>
      <w:marTop w:val="0"/>
      <w:marBottom w:val="0"/>
      <w:divBdr>
        <w:top w:val="none" w:sz="0" w:space="0" w:color="auto"/>
        <w:left w:val="none" w:sz="0" w:space="0" w:color="auto"/>
        <w:bottom w:val="none" w:sz="0" w:space="0" w:color="auto"/>
        <w:right w:val="none" w:sz="0" w:space="0" w:color="auto"/>
      </w:divBdr>
    </w:div>
    <w:div w:id="1431898808">
      <w:marLeft w:val="0"/>
      <w:marRight w:val="0"/>
      <w:marTop w:val="100"/>
      <w:marBottom w:val="100"/>
      <w:divBdr>
        <w:top w:val="none" w:sz="0" w:space="0" w:color="auto"/>
        <w:left w:val="none" w:sz="0" w:space="0" w:color="auto"/>
        <w:bottom w:val="none" w:sz="0" w:space="0" w:color="auto"/>
        <w:right w:val="none" w:sz="0" w:space="0" w:color="auto"/>
      </w:divBdr>
    </w:div>
    <w:div w:id="1432119149">
      <w:marLeft w:val="0"/>
      <w:marRight w:val="0"/>
      <w:marTop w:val="100"/>
      <w:marBottom w:val="100"/>
      <w:divBdr>
        <w:top w:val="none" w:sz="0" w:space="0" w:color="auto"/>
        <w:left w:val="none" w:sz="0" w:space="0" w:color="auto"/>
        <w:bottom w:val="none" w:sz="0" w:space="0" w:color="auto"/>
        <w:right w:val="none" w:sz="0" w:space="0" w:color="auto"/>
      </w:divBdr>
    </w:div>
    <w:div w:id="1432583851">
      <w:marLeft w:val="0"/>
      <w:marRight w:val="0"/>
      <w:marTop w:val="0"/>
      <w:marBottom w:val="0"/>
      <w:divBdr>
        <w:top w:val="none" w:sz="0" w:space="0" w:color="auto"/>
        <w:left w:val="none" w:sz="0" w:space="0" w:color="auto"/>
        <w:bottom w:val="none" w:sz="0" w:space="0" w:color="auto"/>
        <w:right w:val="none" w:sz="0" w:space="0" w:color="auto"/>
      </w:divBdr>
      <w:divsChild>
        <w:div w:id="2098555427">
          <w:marLeft w:val="0"/>
          <w:marRight w:val="0"/>
          <w:marTop w:val="180"/>
          <w:marBottom w:val="0"/>
          <w:divBdr>
            <w:top w:val="none" w:sz="0" w:space="0" w:color="auto"/>
            <w:left w:val="none" w:sz="0" w:space="0" w:color="auto"/>
            <w:bottom w:val="none" w:sz="0" w:space="0" w:color="auto"/>
            <w:right w:val="none" w:sz="0" w:space="0" w:color="auto"/>
          </w:divBdr>
        </w:div>
        <w:div w:id="1817991367">
          <w:marLeft w:val="0"/>
          <w:marRight w:val="0"/>
          <w:marTop w:val="180"/>
          <w:marBottom w:val="0"/>
          <w:divBdr>
            <w:top w:val="none" w:sz="0" w:space="0" w:color="auto"/>
            <w:left w:val="none" w:sz="0" w:space="0" w:color="auto"/>
            <w:bottom w:val="none" w:sz="0" w:space="0" w:color="auto"/>
            <w:right w:val="none" w:sz="0" w:space="0" w:color="auto"/>
          </w:divBdr>
        </w:div>
      </w:divsChild>
    </w:div>
    <w:div w:id="1433013749">
      <w:marLeft w:val="0"/>
      <w:marRight w:val="0"/>
      <w:marTop w:val="100"/>
      <w:marBottom w:val="100"/>
      <w:divBdr>
        <w:top w:val="none" w:sz="0" w:space="0" w:color="auto"/>
        <w:left w:val="none" w:sz="0" w:space="0" w:color="auto"/>
        <w:bottom w:val="none" w:sz="0" w:space="0" w:color="auto"/>
        <w:right w:val="none" w:sz="0" w:space="0" w:color="auto"/>
      </w:divBdr>
    </w:div>
    <w:div w:id="1434325991">
      <w:marLeft w:val="0"/>
      <w:marRight w:val="0"/>
      <w:marTop w:val="0"/>
      <w:marBottom w:val="100"/>
      <w:divBdr>
        <w:top w:val="none" w:sz="0" w:space="0" w:color="auto"/>
        <w:left w:val="none" w:sz="0" w:space="0" w:color="auto"/>
        <w:bottom w:val="none" w:sz="0" w:space="0" w:color="auto"/>
        <w:right w:val="none" w:sz="0" w:space="0" w:color="auto"/>
      </w:divBdr>
    </w:div>
    <w:div w:id="1434856397">
      <w:marLeft w:val="0"/>
      <w:marRight w:val="0"/>
      <w:marTop w:val="100"/>
      <w:marBottom w:val="100"/>
      <w:divBdr>
        <w:top w:val="none" w:sz="0" w:space="0" w:color="auto"/>
        <w:left w:val="none" w:sz="0" w:space="0" w:color="auto"/>
        <w:bottom w:val="none" w:sz="0" w:space="0" w:color="auto"/>
        <w:right w:val="none" w:sz="0" w:space="0" w:color="auto"/>
      </w:divBdr>
    </w:div>
    <w:div w:id="1435981597">
      <w:marLeft w:val="0"/>
      <w:marRight w:val="0"/>
      <w:marTop w:val="100"/>
      <w:marBottom w:val="0"/>
      <w:divBdr>
        <w:top w:val="none" w:sz="0" w:space="0" w:color="auto"/>
        <w:left w:val="none" w:sz="0" w:space="0" w:color="auto"/>
        <w:bottom w:val="none" w:sz="0" w:space="0" w:color="auto"/>
        <w:right w:val="none" w:sz="0" w:space="0" w:color="auto"/>
      </w:divBdr>
    </w:div>
    <w:div w:id="1436943705">
      <w:marLeft w:val="0"/>
      <w:marRight w:val="0"/>
      <w:marTop w:val="100"/>
      <w:marBottom w:val="100"/>
      <w:divBdr>
        <w:top w:val="none" w:sz="0" w:space="0" w:color="auto"/>
        <w:left w:val="none" w:sz="0" w:space="0" w:color="auto"/>
        <w:bottom w:val="none" w:sz="0" w:space="0" w:color="auto"/>
        <w:right w:val="none" w:sz="0" w:space="0" w:color="auto"/>
      </w:divBdr>
    </w:div>
    <w:div w:id="1437821583">
      <w:marLeft w:val="0"/>
      <w:marRight w:val="0"/>
      <w:marTop w:val="0"/>
      <w:marBottom w:val="100"/>
      <w:divBdr>
        <w:top w:val="none" w:sz="0" w:space="0" w:color="auto"/>
        <w:left w:val="none" w:sz="0" w:space="0" w:color="auto"/>
        <w:bottom w:val="none" w:sz="0" w:space="0" w:color="auto"/>
        <w:right w:val="none" w:sz="0" w:space="0" w:color="auto"/>
      </w:divBdr>
    </w:div>
    <w:div w:id="1439980272">
      <w:marLeft w:val="0"/>
      <w:marRight w:val="0"/>
      <w:marTop w:val="0"/>
      <w:marBottom w:val="0"/>
      <w:divBdr>
        <w:top w:val="none" w:sz="0" w:space="0" w:color="auto"/>
        <w:left w:val="none" w:sz="0" w:space="0" w:color="auto"/>
        <w:bottom w:val="none" w:sz="0" w:space="0" w:color="auto"/>
        <w:right w:val="none" w:sz="0" w:space="0" w:color="auto"/>
      </w:divBdr>
      <w:divsChild>
        <w:div w:id="31999970">
          <w:marLeft w:val="0"/>
          <w:marRight w:val="0"/>
          <w:marTop w:val="0"/>
          <w:marBottom w:val="0"/>
          <w:divBdr>
            <w:top w:val="none" w:sz="0" w:space="0" w:color="auto"/>
            <w:left w:val="none" w:sz="0" w:space="0" w:color="auto"/>
            <w:bottom w:val="none" w:sz="0" w:space="0" w:color="auto"/>
            <w:right w:val="none" w:sz="0" w:space="0" w:color="auto"/>
          </w:divBdr>
          <w:divsChild>
            <w:div w:id="44546925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40224519">
      <w:marLeft w:val="0"/>
      <w:marRight w:val="0"/>
      <w:marTop w:val="180"/>
      <w:marBottom w:val="0"/>
      <w:divBdr>
        <w:top w:val="none" w:sz="0" w:space="0" w:color="auto"/>
        <w:left w:val="none" w:sz="0" w:space="0" w:color="auto"/>
        <w:bottom w:val="none" w:sz="0" w:space="0" w:color="auto"/>
        <w:right w:val="none" w:sz="0" w:space="0" w:color="auto"/>
      </w:divBdr>
    </w:div>
    <w:div w:id="1441147349">
      <w:marLeft w:val="0"/>
      <w:marRight w:val="0"/>
      <w:marTop w:val="0"/>
      <w:marBottom w:val="100"/>
      <w:divBdr>
        <w:top w:val="none" w:sz="0" w:space="0" w:color="auto"/>
        <w:left w:val="none" w:sz="0" w:space="0" w:color="auto"/>
        <w:bottom w:val="none" w:sz="0" w:space="0" w:color="auto"/>
        <w:right w:val="none" w:sz="0" w:space="0" w:color="auto"/>
      </w:divBdr>
    </w:div>
    <w:div w:id="1441877113">
      <w:marLeft w:val="0"/>
      <w:marRight w:val="0"/>
      <w:marTop w:val="0"/>
      <w:marBottom w:val="100"/>
      <w:divBdr>
        <w:top w:val="none" w:sz="0" w:space="0" w:color="auto"/>
        <w:left w:val="none" w:sz="0" w:space="0" w:color="auto"/>
        <w:bottom w:val="none" w:sz="0" w:space="0" w:color="auto"/>
        <w:right w:val="none" w:sz="0" w:space="0" w:color="auto"/>
      </w:divBdr>
    </w:div>
    <w:div w:id="1444152195">
      <w:marLeft w:val="0"/>
      <w:marRight w:val="0"/>
      <w:marTop w:val="80"/>
      <w:marBottom w:val="100"/>
      <w:divBdr>
        <w:top w:val="none" w:sz="0" w:space="0" w:color="auto"/>
        <w:left w:val="none" w:sz="0" w:space="0" w:color="auto"/>
        <w:bottom w:val="none" w:sz="0" w:space="0" w:color="auto"/>
        <w:right w:val="none" w:sz="0" w:space="0" w:color="auto"/>
      </w:divBdr>
    </w:div>
    <w:div w:id="1445690538">
      <w:marLeft w:val="0"/>
      <w:marRight w:val="0"/>
      <w:marTop w:val="0"/>
      <w:marBottom w:val="100"/>
      <w:divBdr>
        <w:top w:val="none" w:sz="0" w:space="0" w:color="auto"/>
        <w:left w:val="none" w:sz="0" w:space="0" w:color="auto"/>
        <w:bottom w:val="none" w:sz="0" w:space="0" w:color="auto"/>
        <w:right w:val="none" w:sz="0" w:space="0" w:color="auto"/>
      </w:divBdr>
    </w:div>
    <w:div w:id="1449661458">
      <w:marLeft w:val="0"/>
      <w:marRight w:val="0"/>
      <w:marTop w:val="180"/>
      <w:marBottom w:val="0"/>
      <w:divBdr>
        <w:top w:val="none" w:sz="0" w:space="0" w:color="auto"/>
        <w:left w:val="none" w:sz="0" w:space="0" w:color="auto"/>
        <w:bottom w:val="none" w:sz="0" w:space="0" w:color="auto"/>
        <w:right w:val="none" w:sz="0" w:space="0" w:color="auto"/>
      </w:divBdr>
    </w:div>
    <w:div w:id="1452433195">
      <w:marLeft w:val="0"/>
      <w:marRight w:val="0"/>
      <w:marTop w:val="180"/>
      <w:marBottom w:val="0"/>
      <w:divBdr>
        <w:top w:val="none" w:sz="0" w:space="0" w:color="auto"/>
        <w:left w:val="none" w:sz="0" w:space="0" w:color="auto"/>
        <w:bottom w:val="none" w:sz="0" w:space="0" w:color="auto"/>
        <w:right w:val="none" w:sz="0" w:space="0" w:color="auto"/>
      </w:divBdr>
    </w:div>
    <w:div w:id="1453786354">
      <w:marLeft w:val="0"/>
      <w:marRight w:val="0"/>
      <w:marTop w:val="0"/>
      <w:marBottom w:val="0"/>
      <w:divBdr>
        <w:top w:val="none" w:sz="0" w:space="0" w:color="auto"/>
        <w:left w:val="none" w:sz="0" w:space="0" w:color="auto"/>
        <w:bottom w:val="none" w:sz="0" w:space="0" w:color="auto"/>
        <w:right w:val="none" w:sz="0" w:space="0" w:color="auto"/>
      </w:divBdr>
    </w:div>
    <w:div w:id="1453788891">
      <w:marLeft w:val="0"/>
      <w:marRight w:val="0"/>
      <w:marTop w:val="100"/>
      <w:marBottom w:val="100"/>
      <w:divBdr>
        <w:top w:val="none" w:sz="0" w:space="0" w:color="auto"/>
        <w:left w:val="none" w:sz="0" w:space="0" w:color="auto"/>
        <w:bottom w:val="none" w:sz="0" w:space="0" w:color="auto"/>
        <w:right w:val="none" w:sz="0" w:space="0" w:color="auto"/>
      </w:divBdr>
    </w:div>
    <w:div w:id="1456176445">
      <w:marLeft w:val="0"/>
      <w:marRight w:val="0"/>
      <w:marTop w:val="100"/>
      <w:marBottom w:val="100"/>
      <w:divBdr>
        <w:top w:val="none" w:sz="0" w:space="0" w:color="auto"/>
        <w:left w:val="none" w:sz="0" w:space="0" w:color="auto"/>
        <w:bottom w:val="none" w:sz="0" w:space="0" w:color="auto"/>
        <w:right w:val="none" w:sz="0" w:space="0" w:color="auto"/>
      </w:divBdr>
    </w:div>
    <w:div w:id="1456748987">
      <w:marLeft w:val="0"/>
      <w:marRight w:val="0"/>
      <w:marTop w:val="0"/>
      <w:marBottom w:val="0"/>
      <w:divBdr>
        <w:top w:val="none" w:sz="0" w:space="0" w:color="auto"/>
        <w:left w:val="none" w:sz="0" w:space="0" w:color="auto"/>
        <w:bottom w:val="none" w:sz="0" w:space="0" w:color="auto"/>
        <w:right w:val="none" w:sz="0" w:space="0" w:color="auto"/>
      </w:divBdr>
    </w:div>
    <w:div w:id="1456825512">
      <w:marLeft w:val="0"/>
      <w:marRight w:val="0"/>
      <w:marTop w:val="180"/>
      <w:marBottom w:val="0"/>
      <w:divBdr>
        <w:top w:val="none" w:sz="0" w:space="0" w:color="auto"/>
        <w:left w:val="none" w:sz="0" w:space="0" w:color="auto"/>
        <w:bottom w:val="none" w:sz="0" w:space="0" w:color="auto"/>
        <w:right w:val="none" w:sz="0" w:space="0" w:color="auto"/>
      </w:divBdr>
    </w:div>
    <w:div w:id="1457529870">
      <w:marLeft w:val="0"/>
      <w:marRight w:val="0"/>
      <w:marTop w:val="80"/>
      <w:marBottom w:val="100"/>
      <w:divBdr>
        <w:top w:val="none" w:sz="0" w:space="0" w:color="auto"/>
        <w:left w:val="none" w:sz="0" w:space="0" w:color="auto"/>
        <w:bottom w:val="none" w:sz="0" w:space="0" w:color="auto"/>
        <w:right w:val="none" w:sz="0" w:space="0" w:color="auto"/>
      </w:divBdr>
    </w:div>
    <w:div w:id="1459569443">
      <w:marLeft w:val="0"/>
      <w:marRight w:val="0"/>
      <w:marTop w:val="180"/>
      <w:marBottom w:val="0"/>
      <w:divBdr>
        <w:top w:val="none" w:sz="0" w:space="0" w:color="auto"/>
        <w:left w:val="none" w:sz="0" w:space="0" w:color="auto"/>
        <w:bottom w:val="none" w:sz="0" w:space="0" w:color="auto"/>
        <w:right w:val="none" w:sz="0" w:space="0" w:color="auto"/>
      </w:divBdr>
    </w:div>
    <w:div w:id="1461194240">
      <w:marLeft w:val="0"/>
      <w:marRight w:val="0"/>
      <w:marTop w:val="0"/>
      <w:marBottom w:val="100"/>
      <w:divBdr>
        <w:top w:val="none" w:sz="0" w:space="0" w:color="auto"/>
        <w:left w:val="none" w:sz="0" w:space="0" w:color="auto"/>
        <w:bottom w:val="none" w:sz="0" w:space="0" w:color="auto"/>
        <w:right w:val="none" w:sz="0" w:space="0" w:color="auto"/>
      </w:divBdr>
    </w:div>
    <w:div w:id="1461537996">
      <w:marLeft w:val="0"/>
      <w:marRight w:val="0"/>
      <w:marTop w:val="0"/>
      <w:marBottom w:val="0"/>
      <w:divBdr>
        <w:top w:val="none" w:sz="0" w:space="0" w:color="auto"/>
        <w:left w:val="none" w:sz="0" w:space="0" w:color="auto"/>
        <w:bottom w:val="none" w:sz="0" w:space="0" w:color="auto"/>
        <w:right w:val="none" w:sz="0" w:space="0" w:color="auto"/>
      </w:divBdr>
    </w:div>
    <w:div w:id="1462841256">
      <w:marLeft w:val="0"/>
      <w:marRight w:val="0"/>
      <w:marTop w:val="0"/>
      <w:marBottom w:val="100"/>
      <w:divBdr>
        <w:top w:val="none" w:sz="0" w:space="0" w:color="auto"/>
        <w:left w:val="none" w:sz="0" w:space="0" w:color="auto"/>
        <w:bottom w:val="none" w:sz="0" w:space="0" w:color="auto"/>
        <w:right w:val="none" w:sz="0" w:space="0" w:color="auto"/>
      </w:divBdr>
    </w:div>
    <w:div w:id="1463419789">
      <w:marLeft w:val="0"/>
      <w:marRight w:val="0"/>
      <w:marTop w:val="100"/>
      <w:marBottom w:val="100"/>
      <w:divBdr>
        <w:top w:val="none" w:sz="0" w:space="0" w:color="auto"/>
        <w:left w:val="none" w:sz="0" w:space="0" w:color="auto"/>
        <w:bottom w:val="none" w:sz="0" w:space="0" w:color="auto"/>
        <w:right w:val="none" w:sz="0" w:space="0" w:color="auto"/>
      </w:divBdr>
    </w:div>
    <w:div w:id="1465847746">
      <w:marLeft w:val="0"/>
      <w:marRight w:val="0"/>
      <w:marTop w:val="0"/>
      <w:marBottom w:val="0"/>
      <w:divBdr>
        <w:top w:val="none" w:sz="0" w:space="0" w:color="auto"/>
        <w:left w:val="none" w:sz="0" w:space="0" w:color="auto"/>
        <w:bottom w:val="none" w:sz="0" w:space="0" w:color="auto"/>
        <w:right w:val="none" w:sz="0" w:space="0" w:color="auto"/>
      </w:divBdr>
      <w:divsChild>
        <w:div w:id="1451048893">
          <w:marLeft w:val="0"/>
          <w:marRight w:val="0"/>
          <w:marTop w:val="0"/>
          <w:marBottom w:val="0"/>
          <w:divBdr>
            <w:top w:val="none" w:sz="0" w:space="0" w:color="auto"/>
            <w:left w:val="none" w:sz="0" w:space="0" w:color="auto"/>
            <w:bottom w:val="none" w:sz="0" w:space="0" w:color="auto"/>
            <w:right w:val="none" w:sz="0" w:space="0" w:color="auto"/>
          </w:divBdr>
          <w:divsChild>
            <w:div w:id="21471182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67354611">
      <w:marLeft w:val="0"/>
      <w:marRight w:val="0"/>
      <w:marTop w:val="0"/>
      <w:marBottom w:val="0"/>
      <w:divBdr>
        <w:top w:val="none" w:sz="0" w:space="0" w:color="auto"/>
        <w:left w:val="none" w:sz="0" w:space="0" w:color="auto"/>
        <w:bottom w:val="none" w:sz="0" w:space="0" w:color="auto"/>
        <w:right w:val="none" w:sz="0" w:space="0" w:color="auto"/>
      </w:divBdr>
    </w:div>
    <w:div w:id="1467503781">
      <w:marLeft w:val="0"/>
      <w:marRight w:val="0"/>
      <w:marTop w:val="100"/>
      <w:marBottom w:val="100"/>
      <w:divBdr>
        <w:top w:val="none" w:sz="0" w:space="0" w:color="auto"/>
        <w:left w:val="none" w:sz="0" w:space="0" w:color="auto"/>
        <w:bottom w:val="none" w:sz="0" w:space="0" w:color="auto"/>
        <w:right w:val="none" w:sz="0" w:space="0" w:color="auto"/>
      </w:divBdr>
    </w:div>
    <w:div w:id="1467891953">
      <w:marLeft w:val="0"/>
      <w:marRight w:val="0"/>
      <w:marTop w:val="0"/>
      <w:marBottom w:val="100"/>
      <w:divBdr>
        <w:top w:val="none" w:sz="0" w:space="0" w:color="auto"/>
        <w:left w:val="none" w:sz="0" w:space="0" w:color="auto"/>
        <w:bottom w:val="none" w:sz="0" w:space="0" w:color="auto"/>
        <w:right w:val="none" w:sz="0" w:space="0" w:color="auto"/>
      </w:divBdr>
    </w:div>
    <w:div w:id="1468008560">
      <w:marLeft w:val="0"/>
      <w:marRight w:val="0"/>
      <w:marTop w:val="0"/>
      <w:marBottom w:val="0"/>
      <w:divBdr>
        <w:top w:val="none" w:sz="0" w:space="0" w:color="auto"/>
        <w:left w:val="none" w:sz="0" w:space="0" w:color="auto"/>
        <w:bottom w:val="none" w:sz="0" w:space="0" w:color="auto"/>
        <w:right w:val="none" w:sz="0" w:space="0" w:color="auto"/>
      </w:divBdr>
    </w:div>
    <w:div w:id="1468740753">
      <w:marLeft w:val="0"/>
      <w:marRight w:val="0"/>
      <w:marTop w:val="0"/>
      <w:marBottom w:val="100"/>
      <w:divBdr>
        <w:top w:val="none" w:sz="0" w:space="0" w:color="auto"/>
        <w:left w:val="none" w:sz="0" w:space="0" w:color="auto"/>
        <w:bottom w:val="none" w:sz="0" w:space="0" w:color="auto"/>
        <w:right w:val="none" w:sz="0" w:space="0" w:color="auto"/>
      </w:divBdr>
    </w:div>
    <w:div w:id="1471744796">
      <w:marLeft w:val="0"/>
      <w:marRight w:val="0"/>
      <w:marTop w:val="0"/>
      <w:marBottom w:val="0"/>
      <w:divBdr>
        <w:top w:val="none" w:sz="0" w:space="0" w:color="auto"/>
        <w:left w:val="none" w:sz="0" w:space="0" w:color="auto"/>
        <w:bottom w:val="none" w:sz="0" w:space="0" w:color="auto"/>
        <w:right w:val="none" w:sz="0" w:space="0" w:color="auto"/>
      </w:divBdr>
    </w:div>
    <w:div w:id="1473139886">
      <w:marLeft w:val="0"/>
      <w:marRight w:val="0"/>
      <w:marTop w:val="0"/>
      <w:marBottom w:val="100"/>
      <w:divBdr>
        <w:top w:val="none" w:sz="0" w:space="0" w:color="auto"/>
        <w:left w:val="none" w:sz="0" w:space="0" w:color="auto"/>
        <w:bottom w:val="none" w:sz="0" w:space="0" w:color="auto"/>
        <w:right w:val="none" w:sz="0" w:space="0" w:color="auto"/>
      </w:divBdr>
    </w:div>
    <w:div w:id="1477642328">
      <w:marLeft w:val="0"/>
      <w:marRight w:val="0"/>
      <w:marTop w:val="180"/>
      <w:marBottom w:val="100"/>
      <w:divBdr>
        <w:top w:val="none" w:sz="0" w:space="0" w:color="auto"/>
        <w:left w:val="none" w:sz="0" w:space="0" w:color="auto"/>
        <w:bottom w:val="none" w:sz="0" w:space="0" w:color="auto"/>
        <w:right w:val="none" w:sz="0" w:space="0" w:color="auto"/>
      </w:divBdr>
    </w:div>
    <w:div w:id="1480145377">
      <w:marLeft w:val="0"/>
      <w:marRight w:val="0"/>
      <w:marTop w:val="180"/>
      <w:marBottom w:val="0"/>
      <w:divBdr>
        <w:top w:val="none" w:sz="0" w:space="0" w:color="auto"/>
        <w:left w:val="none" w:sz="0" w:space="0" w:color="auto"/>
        <w:bottom w:val="none" w:sz="0" w:space="0" w:color="auto"/>
        <w:right w:val="none" w:sz="0" w:space="0" w:color="auto"/>
      </w:divBdr>
    </w:div>
    <w:div w:id="1481530900">
      <w:marLeft w:val="0"/>
      <w:marRight w:val="0"/>
      <w:marTop w:val="0"/>
      <w:marBottom w:val="0"/>
      <w:divBdr>
        <w:top w:val="none" w:sz="0" w:space="0" w:color="auto"/>
        <w:left w:val="none" w:sz="0" w:space="0" w:color="auto"/>
        <w:bottom w:val="none" w:sz="0" w:space="0" w:color="auto"/>
        <w:right w:val="none" w:sz="0" w:space="0" w:color="auto"/>
      </w:divBdr>
    </w:div>
    <w:div w:id="1482306243">
      <w:marLeft w:val="0"/>
      <w:marRight w:val="0"/>
      <w:marTop w:val="0"/>
      <w:marBottom w:val="0"/>
      <w:divBdr>
        <w:top w:val="none" w:sz="0" w:space="0" w:color="auto"/>
        <w:left w:val="none" w:sz="0" w:space="0" w:color="auto"/>
        <w:bottom w:val="none" w:sz="0" w:space="0" w:color="auto"/>
        <w:right w:val="none" w:sz="0" w:space="0" w:color="auto"/>
      </w:divBdr>
    </w:div>
    <w:div w:id="1482311008">
      <w:marLeft w:val="0"/>
      <w:marRight w:val="0"/>
      <w:marTop w:val="0"/>
      <w:marBottom w:val="0"/>
      <w:divBdr>
        <w:top w:val="none" w:sz="0" w:space="0" w:color="auto"/>
        <w:left w:val="none" w:sz="0" w:space="0" w:color="auto"/>
        <w:bottom w:val="none" w:sz="0" w:space="0" w:color="auto"/>
        <w:right w:val="none" w:sz="0" w:space="0" w:color="auto"/>
      </w:divBdr>
      <w:divsChild>
        <w:div w:id="1304625781">
          <w:marLeft w:val="0"/>
          <w:marRight w:val="0"/>
          <w:marTop w:val="0"/>
          <w:marBottom w:val="100"/>
          <w:divBdr>
            <w:top w:val="none" w:sz="0" w:space="0" w:color="auto"/>
            <w:left w:val="none" w:sz="0" w:space="0" w:color="auto"/>
            <w:bottom w:val="none" w:sz="0" w:space="0" w:color="auto"/>
            <w:right w:val="none" w:sz="0" w:space="0" w:color="auto"/>
          </w:divBdr>
        </w:div>
      </w:divsChild>
    </w:div>
    <w:div w:id="1484157394">
      <w:marLeft w:val="0"/>
      <w:marRight w:val="0"/>
      <w:marTop w:val="180"/>
      <w:marBottom w:val="100"/>
      <w:divBdr>
        <w:top w:val="none" w:sz="0" w:space="0" w:color="auto"/>
        <w:left w:val="none" w:sz="0" w:space="0" w:color="auto"/>
        <w:bottom w:val="none" w:sz="0" w:space="0" w:color="auto"/>
        <w:right w:val="none" w:sz="0" w:space="0" w:color="auto"/>
      </w:divBdr>
    </w:div>
    <w:div w:id="1487235820">
      <w:marLeft w:val="0"/>
      <w:marRight w:val="0"/>
      <w:marTop w:val="0"/>
      <w:marBottom w:val="0"/>
      <w:divBdr>
        <w:top w:val="none" w:sz="0" w:space="0" w:color="auto"/>
        <w:left w:val="none" w:sz="0" w:space="0" w:color="auto"/>
        <w:bottom w:val="none" w:sz="0" w:space="0" w:color="auto"/>
        <w:right w:val="none" w:sz="0" w:space="0" w:color="auto"/>
      </w:divBdr>
    </w:div>
    <w:div w:id="1487478526">
      <w:marLeft w:val="0"/>
      <w:marRight w:val="0"/>
      <w:marTop w:val="100"/>
      <w:marBottom w:val="100"/>
      <w:divBdr>
        <w:top w:val="none" w:sz="0" w:space="0" w:color="auto"/>
        <w:left w:val="none" w:sz="0" w:space="0" w:color="auto"/>
        <w:bottom w:val="none" w:sz="0" w:space="0" w:color="auto"/>
        <w:right w:val="none" w:sz="0" w:space="0" w:color="auto"/>
      </w:divBdr>
    </w:div>
    <w:div w:id="1487672045">
      <w:marLeft w:val="0"/>
      <w:marRight w:val="0"/>
      <w:marTop w:val="180"/>
      <w:marBottom w:val="0"/>
      <w:divBdr>
        <w:top w:val="none" w:sz="0" w:space="0" w:color="auto"/>
        <w:left w:val="none" w:sz="0" w:space="0" w:color="auto"/>
        <w:bottom w:val="none" w:sz="0" w:space="0" w:color="auto"/>
        <w:right w:val="none" w:sz="0" w:space="0" w:color="auto"/>
      </w:divBdr>
      <w:divsChild>
        <w:div w:id="2141340202">
          <w:marLeft w:val="0"/>
          <w:marRight w:val="0"/>
          <w:marTop w:val="0"/>
          <w:marBottom w:val="0"/>
          <w:divBdr>
            <w:top w:val="none" w:sz="0" w:space="0" w:color="auto"/>
            <w:left w:val="none" w:sz="0" w:space="0" w:color="auto"/>
            <w:bottom w:val="none" w:sz="0" w:space="0" w:color="auto"/>
            <w:right w:val="none" w:sz="0" w:space="0" w:color="auto"/>
          </w:divBdr>
        </w:div>
      </w:divsChild>
    </w:div>
    <w:div w:id="1488862704">
      <w:marLeft w:val="0"/>
      <w:marRight w:val="0"/>
      <w:marTop w:val="0"/>
      <w:marBottom w:val="0"/>
      <w:divBdr>
        <w:top w:val="none" w:sz="0" w:space="0" w:color="auto"/>
        <w:left w:val="none" w:sz="0" w:space="0" w:color="auto"/>
        <w:bottom w:val="none" w:sz="0" w:space="0" w:color="auto"/>
        <w:right w:val="none" w:sz="0" w:space="0" w:color="auto"/>
      </w:divBdr>
      <w:divsChild>
        <w:div w:id="114494881">
          <w:marLeft w:val="0"/>
          <w:marRight w:val="0"/>
          <w:marTop w:val="0"/>
          <w:marBottom w:val="100"/>
          <w:divBdr>
            <w:top w:val="none" w:sz="0" w:space="0" w:color="auto"/>
            <w:left w:val="none" w:sz="0" w:space="0" w:color="auto"/>
            <w:bottom w:val="none" w:sz="0" w:space="0" w:color="auto"/>
            <w:right w:val="none" w:sz="0" w:space="0" w:color="auto"/>
          </w:divBdr>
        </w:div>
      </w:divsChild>
    </w:div>
    <w:div w:id="1491095874">
      <w:marLeft w:val="0"/>
      <w:marRight w:val="0"/>
      <w:marTop w:val="0"/>
      <w:marBottom w:val="0"/>
      <w:divBdr>
        <w:top w:val="none" w:sz="0" w:space="0" w:color="auto"/>
        <w:left w:val="none" w:sz="0" w:space="0" w:color="auto"/>
        <w:bottom w:val="none" w:sz="0" w:space="0" w:color="auto"/>
        <w:right w:val="none" w:sz="0" w:space="0" w:color="auto"/>
      </w:divBdr>
    </w:div>
    <w:div w:id="1494645675">
      <w:marLeft w:val="0"/>
      <w:marRight w:val="0"/>
      <w:marTop w:val="100"/>
      <w:marBottom w:val="100"/>
      <w:divBdr>
        <w:top w:val="none" w:sz="0" w:space="0" w:color="auto"/>
        <w:left w:val="none" w:sz="0" w:space="0" w:color="auto"/>
        <w:bottom w:val="none" w:sz="0" w:space="0" w:color="auto"/>
        <w:right w:val="none" w:sz="0" w:space="0" w:color="auto"/>
      </w:divBdr>
    </w:div>
    <w:div w:id="1494952602">
      <w:marLeft w:val="0"/>
      <w:marRight w:val="0"/>
      <w:marTop w:val="0"/>
      <w:marBottom w:val="0"/>
      <w:divBdr>
        <w:top w:val="none" w:sz="0" w:space="0" w:color="auto"/>
        <w:left w:val="none" w:sz="0" w:space="0" w:color="auto"/>
        <w:bottom w:val="none" w:sz="0" w:space="0" w:color="auto"/>
        <w:right w:val="none" w:sz="0" w:space="0" w:color="auto"/>
      </w:divBdr>
      <w:divsChild>
        <w:div w:id="1910071502">
          <w:marLeft w:val="0"/>
          <w:marRight w:val="0"/>
          <w:marTop w:val="0"/>
          <w:marBottom w:val="100"/>
          <w:divBdr>
            <w:top w:val="none" w:sz="0" w:space="0" w:color="auto"/>
            <w:left w:val="none" w:sz="0" w:space="0" w:color="auto"/>
            <w:bottom w:val="none" w:sz="0" w:space="0" w:color="auto"/>
            <w:right w:val="none" w:sz="0" w:space="0" w:color="auto"/>
          </w:divBdr>
        </w:div>
      </w:divsChild>
    </w:div>
    <w:div w:id="1495219151">
      <w:marLeft w:val="0"/>
      <w:marRight w:val="0"/>
      <w:marTop w:val="0"/>
      <w:marBottom w:val="0"/>
      <w:divBdr>
        <w:top w:val="none" w:sz="0" w:space="0" w:color="auto"/>
        <w:left w:val="none" w:sz="0" w:space="0" w:color="auto"/>
        <w:bottom w:val="none" w:sz="0" w:space="0" w:color="auto"/>
        <w:right w:val="none" w:sz="0" w:space="0" w:color="auto"/>
      </w:divBdr>
      <w:divsChild>
        <w:div w:id="533467780">
          <w:marLeft w:val="0"/>
          <w:marRight w:val="0"/>
          <w:marTop w:val="0"/>
          <w:marBottom w:val="100"/>
          <w:divBdr>
            <w:top w:val="none" w:sz="0" w:space="0" w:color="auto"/>
            <w:left w:val="none" w:sz="0" w:space="0" w:color="auto"/>
            <w:bottom w:val="none" w:sz="0" w:space="0" w:color="auto"/>
            <w:right w:val="none" w:sz="0" w:space="0" w:color="auto"/>
          </w:divBdr>
        </w:div>
      </w:divsChild>
    </w:div>
    <w:div w:id="1495292105">
      <w:marLeft w:val="0"/>
      <w:marRight w:val="0"/>
      <w:marTop w:val="0"/>
      <w:marBottom w:val="100"/>
      <w:divBdr>
        <w:top w:val="none" w:sz="0" w:space="0" w:color="auto"/>
        <w:left w:val="none" w:sz="0" w:space="0" w:color="auto"/>
        <w:bottom w:val="none" w:sz="0" w:space="0" w:color="auto"/>
        <w:right w:val="none" w:sz="0" w:space="0" w:color="auto"/>
      </w:divBdr>
    </w:div>
    <w:div w:id="1496141263">
      <w:marLeft w:val="0"/>
      <w:marRight w:val="0"/>
      <w:marTop w:val="180"/>
      <w:marBottom w:val="0"/>
      <w:divBdr>
        <w:top w:val="none" w:sz="0" w:space="0" w:color="auto"/>
        <w:left w:val="none" w:sz="0" w:space="0" w:color="auto"/>
        <w:bottom w:val="none" w:sz="0" w:space="0" w:color="auto"/>
        <w:right w:val="none" w:sz="0" w:space="0" w:color="auto"/>
      </w:divBdr>
      <w:divsChild>
        <w:div w:id="1560247191">
          <w:marLeft w:val="0"/>
          <w:marRight w:val="0"/>
          <w:marTop w:val="0"/>
          <w:marBottom w:val="0"/>
          <w:divBdr>
            <w:top w:val="none" w:sz="0" w:space="0" w:color="auto"/>
            <w:left w:val="none" w:sz="0" w:space="0" w:color="auto"/>
            <w:bottom w:val="none" w:sz="0" w:space="0" w:color="auto"/>
            <w:right w:val="none" w:sz="0" w:space="0" w:color="auto"/>
          </w:divBdr>
        </w:div>
      </w:divsChild>
    </w:div>
    <w:div w:id="1496454429">
      <w:marLeft w:val="0"/>
      <w:marRight w:val="0"/>
      <w:marTop w:val="180"/>
      <w:marBottom w:val="100"/>
      <w:divBdr>
        <w:top w:val="none" w:sz="0" w:space="0" w:color="auto"/>
        <w:left w:val="none" w:sz="0" w:space="0" w:color="auto"/>
        <w:bottom w:val="none" w:sz="0" w:space="0" w:color="auto"/>
        <w:right w:val="none" w:sz="0" w:space="0" w:color="auto"/>
      </w:divBdr>
    </w:div>
    <w:div w:id="1497188478">
      <w:marLeft w:val="0"/>
      <w:marRight w:val="0"/>
      <w:marTop w:val="100"/>
      <w:marBottom w:val="100"/>
      <w:divBdr>
        <w:top w:val="none" w:sz="0" w:space="0" w:color="auto"/>
        <w:left w:val="none" w:sz="0" w:space="0" w:color="auto"/>
        <w:bottom w:val="none" w:sz="0" w:space="0" w:color="auto"/>
        <w:right w:val="none" w:sz="0" w:space="0" w:color="auto"/>
      </w:divBdr>
    </w:div>
    <w:div w:id="1497376784">
      <w:marLeft w:val="0"/>
      <w:marRight w:val="0"/>
      <w:marTop w:val="180"/>
      <w:marBottom w:val="0"/>
      <w:divBdr>
        <w:top w:val="none" w:sz="0" w:space="0" w:color="auto"/>
        <w:left w:val="none" w:sz="0" w:space="0" w:color="auto"/>
        <w:bottom w:val="none" w:sz="0" w:space="0" w:color="auto"/>
        <w:right w:val="none" w:sz="0" w:space="0" w:color="auto"/>
      </w:divBdr>
    </w:div>
    <w:div w:id="1499954965">
      <w:marLeft w:val="0"/>
      <w:marRight w:val="0"/>
      <w:marTop w:val="100"/>
      <w:marBottom w:val="0"/>
      <w:divBdr>
        <w:top w:val="none" w:sz="0" w:space="0" w:color="auto"/>
        <w:left w:val="none" w:sz="0" w:space="0" w:color="auto"/>
        <w:bottom w:val="none" w:sz="0" w:space="0" w:color="auto"/>
        <w:right w:val="none" w:sz="0" w:space="0" w:color="auto"/>
      </w:divBdr>
    </w:div>
    <w:div w:id="1500005300">
      <w:marLeft w:val="0"/>
      <w:marRight w:val="0"/>
      <w:marTop w:val="0"/>
      <w:marBottom w:val="100"/>
      <w:divBdr>
        <w:top w:val="none" w:sz="0" w:space="0" w:color="auto"/>
        <w:left w:val="none" w:sz="0" w:space="0" w:color="auto"/>
        <w:bottom w:val="none" w:sz="0" w:space="0" w:color="auto"/>
        <w:right w:val="none" w:sz="0" w:space="0" w:color="auto"/>
      </w:divBdr>
    </w:div>
    <w:div w:id="1501311953">
      <w:marLeft w:val="0"/>
      <w:marRight w:val="0"/>
      <w:marTop w:val="0"/>
      <w:marBottom w:val="100"/>
      <w:divBdr>
        <w:top w:val="none" w:sz="0" w:space="0" w:color="auto"/>
        <w:left w:val="none" w:sz="0" w:space="0" w:color="auto"/>
        <w:bottom w:val="none" w:sz="0" w:space="0" w:color="auto"/>
        <w:right w:val="none" w:sz="0" w:space="0" w:color="auto"/>
      </w:divBdr>
    </w:div>
    <w:div w:id="1502355461">
      <w:marLeft w:val="0"/>
      <w:marRight w:val="0"/>
      <w:marTop w:val="180"/>
      <w:marBottom w:val="100"/>
      <w:divBdr>
        <w:top w:val="none" w:sz="0" w:space="0" w:color="auto"/>
        <w:left w:val="none" w:sz="0" w:space="0" w:color="auto"/>
        <w:bottom w:val="none" w:sz="0" w:space="0" w:color="auto"/>
        <w:right w:val="none" w:sz="0" w:space="0" w:color="auto"/>
      </w:divBdr>
    </w:div>
    <w:div w:id="1504977338">
      <w:marLeft w:val="0"/>
      <w:marRight w:val="0"/>
      <w:marTop w:val="0"/>
      <w:marBottom w:val="100"/>
      <w:divBdr>
        <w:top w:val="none" w:sz="0" w:space="0" w:color="auto"/>
        <w:left w:val="none" w:sz="0" w:space="0" w:color="auto"/>
        <w:bottom w:val="none" w:sz="0" w:space="0" w:color="auto"/>
        <w:right w:val="none" w:sz="0" w:space="0" w:color="auto"/>
      </w:divBdr>
    </w:div>
    <w:div w:id="1506361744">
      <w:marLeft w:val="0"/>
      <w:marRight w:val="0"/>
      <w:marTop w:val="100"/>
      <w:marBottom w:val="100"/>
      <w:divBdr>
        <w:top w:val="none" w:sz="0" w:space="0" w:color="auto"/>
        <w:left w:val="none" w:sz="0" w:space="0" w:color="auto"/>
        <w:bottom w:val="none" w:sz="0" w:space="0" w:color="auto"/>
        <w:right w:val="none" w:sz="0" w:space="0" w:color="auto"/>
      </w:divBdr>
    </w:div>
    <w:div w:id="1508056932">
      <w:marLeft w:val="0"/>
      <w:marRight w:val="0"/>
      <w:marTop w:val="0"/>
      <w:marBottom w:val="0"/>
      <w:divBdr>
        <w:top w:val="none" w:sz="0" w:space="0" w:color="auto"/>
        <w:left w:val="none" w:sz="0" w:space="0" w:color="auto"/>
        <w:bottom w:val="none" w:sz="0" w:space="0" w:color="auto"/>
        <w:right w:val="none" w:sz="0" w:space="0" w:color="auto"/>
      </w:divBdr>
    </w:div>
    <w:div w:id="1508864807">
      <w:marLeft w:val="0"/>
      <w:marRight w:val="0"/>
      <w:marTop w:val="0"/>
      <w:marBottom w:val="100"/>
      <w:divBdr>
        <w:top w:val="none" w:sz="0" w:space="0" w:color="auto"/>
        <w:left w:val="none" w:sz="0" w:space="0" w:color="auto"/>
        <w:bottom w:val="none" w:sz="0" w:space="0" w:color="auto"/>
        <w:right w:val="none" w:sz="0" w:space="0" w:color="auto"/>
      </w:divBdr>
    </w:div>
    <w:div w:id="1509979507">
      <w:marLeft w:val="0"/>
      <w:marRight w:val="0"/>
      <w:marTop w:val="100"/>
      <w:marBottom w:val="100"/>
      <w:divBdr>
        <w:top w:val="none" w:sz="0" w:space="0" w:color="auto"/>
        <w:left w:val="none" w:sz="0" w:space="0" w:color="auto"/>
        <w:bottom w:val="none" w:sz="0" w:space="0" w:color="auto"/>
        <w:right w:val="none" w:sz="0" w:space="0" w:color="auto"/>
      </w:divBdr>
    </w:div>
    <w:div w:id="1510178563">
      <w:marLeft w:val="0"/>
      <w:marRight w:val="0"/>
      <w:marTop w:val="0"/>
      <w:marBottom w:val="100"/>
      <w:divBdr>
        <w:top w:val="none" w:sz="0" w:space="0" w:color="auto"/>
        <w:left w:val="none" w:sz="0" w:space="0" w:color="auto"/>
        <w:bottom w:val="none" w:sz="0" w:space="0" w:color="auto"/>
        <w:right w:val="none" w:sz="0" w:space="0" w:color="auto"/>
      </w:divBdr>
    </w:div>
    <w:div w:id="1510832522">
      <w:marLeft w:val="0"/>
      <w:marRight w:val="0"/>
      <w:marTop w:val="0"/>
      <w:marBottom w:val="100"/>
      <w:divBdr>
        <w:top w:val="none" w:sz="0" w:space="0" w:color="auto"/>
        <w:left w:val="none" w:sz="0" w:space="0" w:color="auto"/>
        <w:bottom w:val="none" w:sz="0" w:space="0" w:color="auto"/>
        <w:right w:val="none" w:sz="0" w:space="0" w:color="auto"/>
      </w:divBdr>
    </w:div>
    <w:div w:id="1510867952">
      <w:marLeft w:val="0"/>
      <w:marRight w:val="0"/>
      <w:marTop w:val="100"/>
      <w:marBottom w:val="0"/>
      <w:divBdr>
        <w:top w:val="none" w:sz="0" w:space="0" w:color="auto"/>
        <w:left w:val="none" w:sz="0" w:space="0" w:color="auto"/>
        <w:bottom w:val="none" w:sz="0" w:space="0" w:color="auto"/>
        <w:right w:val="none" w:sz="0" w:space="0" w:color="auto"/>
      </w:divBdr>
      <w:divsChild>
        <w:div w:id="1387222875">
          <w:marLeft w:val="0"/>
          <w:marRight w:val="0"/>
          <w:marTop w:val="0"/>
          <w:marBottom w:val="0"/>
          <w:divBdr>
            <w:top w:val="none" w:sz="0" w:space="0" w:color="auto"/>
            <w:left w:val="none" w:sz="0" w:space="0" w:color="auto"/>
            <w:bottom w:val="none" w:sz="0" w:space="0" w:color="auto"/>
            <w:right w:val="none" w:sz="0" w:space="0" w:color="auto"/>
          </w:divBdr>
        </w:div>
        <w:div w:id="1608662149">
          <w:marLeft w:val="0"/>
          <w:marRight w:val="0"/>
          <w:marTop w:val="0"/>
          <w:marBottom w:val="0"/>
          <w:divBdr>
            <w:top w:val="none" w:sz="0" w:space="0" w:color="auto"/>
            <w:left w:val="none" w:sz="0" w:space="0" w:color="auto"/>
            <w:bottom w:val="none" w:sz="0" w:space="0" w:color="auto"/>
            <w:right w:val="none" w:sz="0" w:space="0" w:color="auto"/>
          </w:divBdr>
        </w:div>
      </w:divsChild>
    </w:div>
    <w:div w:id="1513452489">
      <w:marLeft w:val="0"/>
      <w:marRight w:val="0"/>
      <w:marTop w:val="0"/>
      <w:marBottom w:val="100"/>
      <w:divBdr>
        <w:top w:val="none" w:sz="0" w:space="0" w:color="auto"/>
        <w:left w:val="none" w:sz="0" w:space="0" w:color="auto"/>
        <w:bottom w:val="none" w:sz="0" w:space="0" w:color="auto"/>
        <w:right w:val="none" w:sz="0" w:space="0" w:color="auto"/>
      </w:divBdr>
    </w:div>
    <w:div w:id="1517189306">
      <w:marLeft w:val="0"/>
      <w:marRight w:val="0"/>
      <w:marTop w:val="0"/>
      <w:marBottom w:val="0"/>
      <w:divBdr>
        <w:top w:val="none" w:sz="0" w:space="0" w:color="auto"/>
        <w:left w:val="none" w:sz="0" w:space="0" w:color="auto"/>
        <w:bottom w:val="none" w:sz="0" w:space="0" w:color="auto"/>
        <w:right w:val="none" w:sz="0" w:space="0" w:color="auto"/>
      </w:divBdr>
      <w:divsChild>
        <w:div w:id="1455366552">
          <w:marLeft w:val="0"/>
          <w:marRight w:val="0"/>
          <w:marTop w:val="0"/>
          <w:marBottom w:val="0"/>
          <w:divBdr>
            <w:top w:val="none" w:sz="0" w:space="0" w:color="auto"/>
            <w:left w:val="none" w:sz="0" w:space="0" w:color="auto"/>
            <w:bottom w:val="none" w:sz="0" w:space="0" w:color="auto"/>
            <w:right w:val="none" w:sz="0" w:space="0" w:color="auto"/>
          </w:divBdr>
          <w:divsChild>
            <w:div w:id="70348360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20897224">
      <w:marLeft w:val="0"/>
      <w:marRight w:val="0"/>
      <w:marTop w:val="100"/>
      <w:marBottom w:val="100"/>
      <w:divBdr>
        <w:top w:val="none" w:sz="0" w:space="0" w:color="auto"/>
        <w:left w:val="none" w:sz="0" w:space="0" w:color="auto"/>
        <w:bottom w:val="none" w:sz="0" w:space="0" w:color="auto"/>
        <w:right w:val="none" w:sz="0" w:space="0" w:color="auto"/>
      </w:divBdr>
    </w:div>
    <w:div w:id="1521049856">
      <w:marLeft w:val="0"/>
      <w:marRight w:val="0"/>
      <w:marTop w:val="0"/>
      <w:marBottom w:val="100"/>
      <w:divBdr>
        <w:top w:val="none" w:sz="0" w:space="0" w:color="auto"/>
        <w:left w:val="none" w:sz="0" w:space="0" w:color="auto"/>
        <w:bottom w:val="none" w:sz="0" w:space="0" w:color="auto"/>
        <w:right w:val="none" w:sz="0" w:space="0" w:color="auto"/>
      </w:divBdr>
    </w:div>
    <w:div w:id="1521355538">
      <w:marLeft w:val="0"/>
      <w:marRight w:val="0"/>
      <w:marTop w:val="0"/>
      <w:marBottom w:val="100"/>
      <w:divBdr>
        <w:top w:val="none" w:sz="0" w:space="0" w:color="auto"/>
        <w:left w:val="none" w:sz="0" w:space="0" w:color="auto"/>
        <w:bottom w:val="none" w:sz="0" w:space="0" w:color="auto"/>
        <w:right w:val="none" w:sz="0" w:space="0" w:color="auto"/>
      </w:divBdr>
    </w:div>
    <w:div w:id="1522040144">
      <w:marLeft w:val="0"/>
      <w:marRight w:val="0"/>
      <w:marTop w:val="0"/>
      <w:marBottom w:val="0"/>
      <w:divBdr>
        <w:top w:val="none" w:sz="0" w:space="0" w:color="auto"/>
        <w:left w:val="none" w:sz="0" w:space="0" w:color="auto"/>
        <w:bottom w:val="none" w:sz="0" w:space="0" w:color="auto"/>
        <w:right w:val="none" w:sz="0" w:space="0" w:color="auto"/>
      </w:divBdr>
    </w:div>
    <w:div w:id="1523202761">
      <w:marLeft w:val="0"/>
      <w:marRight w:val="0"/>
      <w:marTop w:val="0"/>
      <w:marBottom w:val="100"/>
      <w:divBdr>
        <w:top w:val="none" w:sz="0" w:space="0" w:color="auto"/>
        <w:left w:val="none" w:sz="0" w:space="0" w:color="auto"/>
        <w:bottom w:val="none" w:sz="0" w:space="0" w:color="auto"/>
        <w:right w:val="none" w:sz="0" w:space="0" w:color="auto"/>
      </w:divBdr>
    </w:div>
    <w:div w:id="1523474631">
      <w:marLeft w:val="0"/>
      <w:marRight w:val="0"/>
      <w:marTop w:val="0"/>
      <w:marBottom w:val="100"/>
      <w:divBdr>
        <w:top w:val="none" w:sz="0" w:space="0" w:color="auto"/>
        <w:left w:val="none" w:sz="0" w:space="0" w:color="auto"/>
        <w:bottom w:val="none" w:sz="0" w:space="0" w:color="auto"/>
        <w:right w:val="none" w:sz="0" w:space="0" w:color="auto"/>
      </w:divBdr>
    </w:div>
    <w:div w:id="1525289154">
      <w:marLeft w:val="0"/>
      <w:marRight w:val="0"/>
      <w:marTop w:val="80"/>
      <w:marBottom w:val="100"/>
      <w:divBdr>
        <w:top w:val="none" w:sz="0" w:space="0" w:color="auto"/>
        <w:left w:val="none" w:sz="0" w:space="0" w:color="auto"/>
        <w:bottom w:val="none" w:sz="0" w:space="0" w:color="auto"/>
        <w:right w:val="none" w:sz="0" w:space="0" w:color="auto"/>
      </w:divBdr>
    </w:div>
    <w:div w:id="1527016189">
      <w:marLeft w:val="0"/>
      <w:marRight w:val="0"/>
      <w:marTop w:val="0"/>
      <w:marBottom w:val="0"/>
      <w:divBdr>
        <w:top w:val="none" w:sz="0" w:space="0" w:color="auto"/>
        <w:left w:val="none" w:sz="0" w:space="0" w:color="auto"/>
        <w:bottom w:val="none" w:sz="0" w:space="0" w:color="auto"/>
        <w:right w:val="none" w:sz="0" w:space="0" w:color="auto"/>
      </w:divBdr>
    </w:div>
    <w:div w:id="1529098819">
      <w:marLeft w:val="0"/>
      <w:marRight w:val="0"/>
      <w:marTop w:val="100"/>
      <w:marBottom w:val="100"/>
      <w:divBdr>
        <w:top w:val="none" w:sz="0" w:space="0" w:color="auto"/>
        <w:left w:val="none" w:sz="0" w:space="0" w:color="auto"/>
        <w:bottom w:val="none" w:sz="0" w:space="0" w:color="auto"/>
        <w:right w:val="none" w:sz="0" w:space="0" w:color="auto"/>
      </w:divBdr>
    </w:div>
    <w:div w:id="1529179617">
      <w:marLeft w:val="0"/>
      <w:marRight w:val="0"/>
      <w:marTop w:val="180"/>
      <w:marBottom w:val="0"/>
      <w:divBdr>
        <w:top w:val="none" w:sz="0" w:space="0" w:color="auto"/>
        <w:left w:val="none" w:sz="0" w:space="0" w:color="auto"/>
        <w:bottom w:val="none" w:sz="0" w:space="0" w:color="auto"/>
        <w:right w:val="none" w:sz="0" w:space="0" w:color="auto"/>
      </w:divBdr>
    </w:div>
    <w:div w:id="1529292615">
      <w:marLeft w:val="0"/>
      <w:marRight w:val="0"/>
      <w:marTop w:val="0"/>
      <w:marBottom w:val="100"/>
      <w:divBdr>
        <w:top w:val="none" w:sz="0" w:space="0" w:color="auto"/>
        <w:left w:val="none" w:sz="0" w:space="0" w:color="auto"/>
        <w:bottom w:val="none" w:sz="0" w:space="0" w:color="auto"/>
        <w:right w:val="none" w:sz="0" w:space="0" w:color="auto"/>
      </w:divBdr>
    </w:div>
    <w:div w:id="1529297183">
      <w:marLeft w:val="0"/>
      <w:marRight w:val="0"/>
      <w:marTop w:val="0"/>
      <w:marBottom w:val="100"/>
      <w:divBdr>
        <w:top w:val="none" w:sz="0" w:space="0" w:color="auto"/>
        <w:left w:val="none" w:sz="0" w:space="0" w:color="auto"/>
        <w:bottom w:val="none" w:sz="0" w:space="0" w:color="auto"/>
        <w:right w:val="none" w:sz="0" w:space="0" w:color="auto"/>
      </w:divBdr>
      <w:divsChild>
        <w:div w:id="769862333">
          <w:marLeft w:val="0"/>
          <w:marRight w:val="0"/>
          <w:marTop w:val="0"/>
          <w:marBottom w:val="100"/>
          <w:divBdr>
            <w:top w:val="none" w:sz="0" w:space="0" w:color="auto"/>
            <w:left w:val="none" w:sz="0" w:space="0" w:color="auto"/>
            <w:bottom w:val="none" w:sz="0" w:space="0" w:color="auto"/>
            <w:right w:val="none" w:sz="0" w:space="0" w:color="auto"/>
          </w:divBdr>
        </w:div>
      </w:divsChild>
    </w:div>
    <w:div w:id="1529755458">
      <w:marLeft w:val="0"/>
      <w:marRight w:val="0"/>
      <w:marTop w:val="180"/>
      <w:marBottom w:val="0"/>
      <w:divBdr>
        <w:top w:val="none" w:sz="0" w:space="0" w:color="auto"/>
        <w:left w:val="none" w:sz="0" w:space="0" w:color="auto"/>
        <w:bottom w:val="none" w:sz="0" w:space="0" w:color="auto"/>
        <w:right w:val="none" w:sz="0" w:space="0" w:color="auto"/>
      </w:divBdr>
    </w:div>
    <w:div w:id="1531263722">
      <w:marLeft w:val="0"/>
      <w:marRight w:val="0"/>
      <w:marTop w:val="180"/>
      <w:marBottom w:val="100"/>
      <w:divBdr>
        <w:top w:val="none" w:sz="0" w:space="0" w:color="auto"/>
        <w:left w:val="none" w:sz="0" w:space="0" w:color="auto"/>
        <w:bottom w:val="none" w:sz="0" w:space="0" w:color="auto"/>
        <w:right w:val="none" w:sz="0" w:space="0" w:color="auto"/>
      </w:divBdr>
    </w:div>
    <w:div w:id="1531531225">
      <w:marLeft w:val="0"/>
      <w:marRight w:val="0"/>
      <w:marTop w:val="0"/>
      <w:marBottom w:val="100"/>
      <w:divBdr>
        <w:top w:val="none" w:sz="0" w:space="0" w:color="auto"/>
        <w:left w:val="none" w:sz="0" w:space="0" w:color="auto"/>
        <w:bottom w:val="none" w:sz="0" w:space="0" w:color="auto"/>
        <w:right w:val="none" w:sz="0" w:space="0" w:color="auto"/>
      </w:divBdr>
    </w:div>
    <w:div w:id="1532575378">
      <w:marLeft w:val="0"/>
      <w:marRight w:val="0"/>
      <w:marTop w:val="180"/>
      <w:marBottom w:val="0"/>
      <w:divBdr>
        <w:top w:val="none" w:sz="0" w:space="0" w:color="auto"/>
        <w:left w:val="none" w:sz="0" w:space="0" w:color="auto"/>
        <w:bottom w:val="none" w:sz="0" w:space="0" w:color="auto"/>
        <w:right w:val="none" w:sz="0" w:space="0" w:color="auto"/>
      </w:divBdr>
    </w:div>
    <w:div w:id="1532837666">
      <w:marLeft w:val="0"/>
      <w:marRight w:val="0"/>
      <w:marTop w:val="100"/>
      <w:marBottom w:val="100"/>
      <w:divBdr>
        <w:top w:val="none" w:sz="0" w:space="0" w:color="auto"/>
        <w:left w:val="none" w:sz="0" w:space="0" w:color="auto"/>
        <w:bottom w:val="none" w:sz="0" w:space="0" w:color="auto"/>
        <w:right w:val="none" w:sz="0" w:space="0" w:color="auto"/>
      </w:divBdr>
    </w:div>
    <w:div w:id="1533683781">
      <w:marLeft w:val="0"/>
      <w:marRight w:val="0"/>
      <w:marTop w:val="100"/>
      <w:marBottom w:val="100"/>
      <w:divBdr>
        <w:top w:val="none" w:sz="0" w:space="0" w:color="auto"/>
        <w:left w:val="none" w:sz="0" w:space="0" w:color="auto"/>
        <w:bottom w:val="none" w:sz="0" w:space="0" w:color="auto"/>
        <w:right w:val="none" w:sz="0" w:space="0" w:color="auto"/>
      </w:divBdr>
    </w:div>
    <w:div w:id="1534808864">
      <w:marLeft w:val="0"/>
      <w:marRight w:val="0"/>
      <w:marTop w:val="0"/>
      <w:marBottom w:val="100"/>
      <w:divBdr>
        <w:top w:val="none" w:sz="0" w:space="0" w:color="auto"/>
        <w:left w:val="none" w:sz="0" w:space="0" w:color="auto"/>
        <w:bottom w:val="none" w:sz="0" w:space="0" w:color="auto"/>
        <w:right w:val="none" w:sz="0" w:space="0" w:color="auto"/>
      </w:divBdr>
    </w:div>
    <w:div w:id="1534927130">
      <w:marLeft w:val="0"/>
      <w:marRight w:val="0"/>
      <w:marTop w:val="180"/>
      <w:marBottom w:val="0"/>
      <w:divBdr>
        <w:top w:val="none" w:sz="0" w:space="0" w:color="auto"/>
        <w:left w:val="none" w:sz="0" w:space="0" w:color="auto"/>
        <w:bottom w:val="none" w:sz="0" w:space="0" w:color="auto"/>
        <w:right w:val="none" w:sz="0" w:space="0" w:color="auto"/>
      </w:divBdr>
    </w:div>
    <w:div w:id="1536389383">
      <w:marLeft w:val="0"/>
      <w:marRight w:val="0"/>
      <w:marTop w:val="0"/>
      <w:marBottom w:val="100"/>
      <w:divBdr>
        <w:top w:val="none" w:sz="0" w:space="0" w:color="auto"/>
        <w:left w:val="none" w:sz="0" w:space="0" w:color="auto"/>
        <w:bottom w:val="none" w:sz="0" w:space="0" w:color="auto"/>
        <w:right w:val="none" w:sz="0" w:space="0" w:color="auto"/>
      </w:divBdr>
    </w:div>
    <w:div w:id="1538395670">
      <w:marLeft w:val="0"/>
      <w:marRight w:val="0"/>
      <w:marTop w:val="0"/>
      <w:marBottom w:val="0"/>
      <w:divBdr>
        <w:top w:val="none" w:sz="0" w:space="0" w:color="auto"/>
        <w:left w:val="none" w:sz="0" w:space="0" w:color="auto"/>
        <w:bottom w:val="none" w:sz="0" w:space="0" w:color="auto"/>
        <w:right w:val="none" w:sz="0" w:space="0" w:color="auto"/>
      </w:divBdr>
      <w:divsChild>
        <w:div w:id="749430900">
          <w:marLeft w:val="0"/>
          <w:marRight w:val="0"/>
          <w:marTop w:val="0"/>
          <w:marBottom w:val="0"/>
          <w:divBdr>
            <w:top w:val="none" w:sz="0" w:space="0" w:color="auto"/>
            <w:left w:val="none" w:sz="0" w:space="0" w:color="auto"/>
            <w:bottom w:val="none" w:sz="0" w:space="0" w:color="auto"/>
            <w:right w:val="none" w:sz="0" w:space="0" w:color="auto"/>
          </w:divBdr>
          <w:divsChild>
            <w:div w:id="4212965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39974097">
      <w:marLeft w:val="0"/>
      <w:marRight w:val="0"/>
      <w:marTop w:val="100"/>
      <w:marBottom w:val="0"/>
      <w:divBdr>
        <w:top w:val="none" w:sz="0" w:space="0" w:color="auto"/>
        <w:left w:val="none" w:sz="0" w:space="0" w:color="auto"/>
        <w:bottom w:val="none" w:sz="0" w:space="0" w:color="auto"/>
        <w:right w:val="none" w:sz="0" w:space="0" w:color="auto"/>
      </w:divBdr>
      <w:divsChild>
        <w:div w:id="1171600516">
          <w:marLeft w:val="0"/>
          <w:marRight w:val="0"/>
          <w:marTop w:val="0"/>
          <w:marBottom w:val="0"/>
          <w:divBdr>
            <w:top w:val="none" w:sz="0" w:space="0" w:color="auto"/>
            <w:left w:val="none" w:sz="0" w:space="0" w:color="auto"/>
            <w:bottom w:val="none" w:sz="0" w:space="0" w:color="auto"/>
            <w:right w:val="none" w:sz="0" w:space="0" w:color="auto"/>
          </w:divBdr>
        </w:div>
      </w:divsChild>
    </w:div>
    <w:div w:id="1541893001">
      <w:marLeft w:val="0"/>
      <w:marRight w:val="0"/>
      <w:marTop w:val="0"/>
      <w:marBottom w:val="0"/>
      <w:divBdr>
        <w:top w:val="none" w:sz="0" w:space="0" w:color="auto"/>
        <w:left w:val="none" w:sz="0" w:space="0" w:color="auto"/>
        <w:bottom w:val="none" w:sz="0" w:space="0" w:color="auto"/>
        <w:right w:val="none" w:sz="0" w:space="0" w:color="auto"/>
      </w:divBdr>
      <w:divsChild>
        <w:div w:id="86393436">
          <w:marLeft w:val="0"/>
          <w:marRight w:val="0"/>
          <w:marTop w:val="0"/>
          <w:marBottom w:val="100"/>
          <w:divBdr>
            <w:top w:val="none" w:sz="0" w:space="0" w:color="auto"/>
            <w:left w:val="none" w:sz="0" w:space="0" w:color="auto"/>
            <w:bottom w:val="none" w:sz="0" w:space="0" w:color="auto"/>
            <w:right w:val="none" w:sz="0" w:space="0" w:color="auto"/>
          </w:divBdr>
        </w:div>
      </w:divsChild>
    </w:div>
    <w:div w:id="1541933992">
      <w:marLeft w:val="0"/>
      <w:marRight w:val="0"/>
      <w:marTop w:val="80"/>
      <w:marBottom w:val="100"/>
      <w:divBdr>
        <w:top w:val="none" w:sz="0" w:space="0" w:color="auto"/>
        <w:left w:val="none" w:sz="0" w:space="0" w:color="auto"/>
        <w:bottom w:val="none" w:sz="0" w:space="0" w:color="auto"/>
        <w:right w:val="none" w:sz="0" w:space="0" w:color="auto"/>
      </w:divBdr>
    </w:div>
    <w:div w:id="1546941327">
      <w:marLeft w:val="0"/>
      <w:marRight w:val="0"/>
      <w:marTop w:val="100"/>
      <w:marBottom w:val="100"/>
      <w:divBdr>
        <w:top w:val="none" w:sz="0" w:space="0" w:color="auto"/>
        <w:left w:val="none" w:sz="0" w:space="0" w:color="auto"/>
        <w:bottom w:val="none" w:sz="0" w:space="0" w:color="auto"/>
        <w:right w:val="none" w:sz="0" w:space="0" w:color="auto"/>
      </w:divBdr>
    </w:div>
    <w:div w:id="1548297219">
      <w:marLeft w:val="0"/>
      <w:marRight w:val="0"/>
      <w:marTop w:val="100"/>
      <w:marBottom w:val="0"/>
      <w:divBdr>
        <w:top w:val="none" w:sz="0" w:space="0" w:color="auto"/>
        <w:left w:val="none" w:sz="0" w:space="0" w:color="auto"/>
        <w:bottom w:val="none" w:sz="0" w:space="0" w:color="auto"/>
        <w:right w:val="none" w:sz="0" w:space="0" w:color="auto"/>
      </w:divBdr>
    </w:div>
    <w:div w:id="1549074462">
      <w:marLeft w:val="0"/>
      <w:marRight w:val="0"/>
      <w:marTop w:val="100"/>
      <w:marBottom w:val="100"/>
      <w:divBdr>
        <w:top w:val="none" w:sz="0" w:space="0" w:color="auto"/>
        <w:left w:val="none" w:sz="0" w:space="0" w:color="auto"/>
        <w:bottom w:val="none" w:sz="0" w:space="0" w:color="auto"/>
        <w:right w:val="none" w:sz="0" w:space="0" w:color="auto"/>
      </w:divBdr>
    </w:div>
    <w:div w:id="1550149662">
      <w:marLeft w:val="0"/>
      <w:marRight w:val="0"/>
      <w:marTop w:val="0"/>
      <w:marBottom w:val="100"/>
      <w:divBdr>
        <w:top w:val="none" w:sz="0" w:space="0" w:color="auto"/>
        <w:left w:val="none" w:sz="0" w:space="0" w:color="auto"/>
        <w:bottom w:val="none" w:sz="0" w:space="0" w:color="auto"/>
        <w:right w:val="none" w:sz="0" w:space="0" w:color="auto"/>
      </w:divBdr>
    </w:div>
    <w:div w:id="1550996242">
      <w:marLeft w:val="0"/>
      <w:marRight w:val="0"/>
      <w:marTop w:val="100"/>
      <w:marBottom w:val="100"/>
      <w:divBdr>
        <w:top w:val="none" w:sz="0" w:space="0" w:color="auto"/>
        <w:left w:val="none" w:sz="0" w:space="0" w:color="auto"/>
        <w:bottom w:val="none" w:sz="0" w:space="0" w:color="auto"/>
        <w:right w:val="none" w:sz="0" w:space="0" w:color="auto"/>
      </w:divBdr>
    </w:div>
    <w:div w:id="1553227210">
      <w:marLeft w:val="0"/>
      <w:marRight w:val="0"/>
      <w:marTop w:val="0"/>
      <w:marBottom w:val="0"/>
      <w:divBdr>
        <w:top w:val="none" w:sz="0" w:space="0" w:color="auto"/>
        <w:left w:val="none" w:sz="0" w:space="0" w:color="auto"/>
        <w:bottom w:val="none" w:sz="0" w:space="0" w:color="auto"/>
        <w:right w:val="none" w:sz="0" w:space="0" w:color="auto"/>
      </w:divBdr>
      <w:divsChild>
        <w:div w:id="1156916562">
          <w:marLeft w:val="0"/>
          <w:marRight w:val="0"/>
          <w:marTop w:val="0"/>
          <w:marBottom w:val="100"/>
          <w:divBdr>
            <w:top w:val="none" w:sz="0" w:space="0" w:color="auto"/>
            <w:left w:val="none" w:sz="0" w:space="0" w:color="auto"/>
            <w:bottom w:val="none" w:sz="0" w:space="0" w:color="auto"/>
            <w:right w:val="none" w:sz="0" w:space="0" w:color="auto"/>
          </w:divBdr>
        </w:div>
      </w:divsChild>
    </w:div>
    <w:div w:id="1554853649">
      <w:marLeft w:val="0"/>
      <w:marRight w:val="0"/>
      <w:marTop w:val="100"/>
      <w:marBottom w:val="100"/>
      <w:divBdr>
        <w:top w:val="none" w:sz="0" w:space="0" w:color="auto"/>
        <w:left w:val="none" w:sz="0" w:space="0" w:color="auto"/>
        <w:bottom w:val="none" w:sz="0" w:space="0" w:color="auto"/>
        <w:right w:val="none" w:sz="0" w:space="0" w:color="auto"/>
      </w:divBdr>
    </w:div>
    <w:div w:id="1559320395">
      <w:marLeft w:val="0"/>
      <w:marRight w:val="0"/>
      <w:marTop w:val="0"/>
      <w:marBottom w:val="0"/>
      <w:divBdr>
        <w:top w:val="none" w:sz="0" w:space="0" w:color="auto"/>
        <w:left w:val="none" w:sz="0" w:space="0" w:color="auto"/>
        <w:bottom w:val="none" w:sz="0" w:space="0" w:color="auto"/>
        <w:right w:val="none" w:sz="0" w:space="0" w:color="auto"/>
      </w:divBdr>
    </w:div>
    <w:div w:id="1559515513">
      <w:marLeft w:val="0"/>
      <w:marRight w:val="0"/>
      <w:marTop w:val="180"/>
      <w:marBottom w:val="0"/>
      <w:divBdr>
        <w:top w:val="none" w:sz="0" w:space="0" w:color="auto"/>
        <w:left w:val="none" w:sz="0" w:space="0" w:color="auto"/>
        <w:bottom w:val="none" w:sz="0" w:space="0" w:color="auto"/>
        <w:right w:val="none" w:sz="0" w:space="0" w:color="auto"/>
      </w:divBdr>
      <w:divsChild>
        <w:div w:id="172958587">
          <w:marLeft w:val="0"/>
          <w:marRight w:val="0"/>
          <w:marTop w:val="0"/>
          <w:marBottom w:val="0"/>
          <w:divBdr>
            <w:top w:val="none" w:sz="0" w:space="0" w:color="auto"/>
            <w:left w:val="none" w:sz="0" w:space="0" w:color="auto"/>
            <w:bottom w:val="none" w:sz="0" w:space="0" w:color="auto"/>
            <w:right w:val="none" w:sz="0" w:space="0" w:color="auto"/>
          </w:divBdr>
        </w:div>
      </w:divsChild>
    </w:div>
    <w:div w:id="1560244793">
      <w:marLeft w:val="0"/>
      <w:marRight w:val="0"/>
      <w:marTop w:val="100"/>
      <w:marBottom w:val="0"/>
      <w:divBdr>
        <w:top w:val="none" w:sz="0" w:space="0" w:color="auto"/>
        <w:left w:val="none" w:sz="0" w:space="0" w:color="auto"/>
        <w:bottom w:val="none" w:sz="0" w:space="0" w:color="auto"/>
        <w:right w:val="none" w:sz="0" w:space="0" w:color="auto"/>
      </w:divBdr>
    </w:div>
    <w:div w:id="1561205125">
      <w:marLeft w:val="0"/>
      <w:marRight w:val="0"/>
      <w:marTop w:val="0"/>
      <w:marBottom w:val="0"/>
      <w:divBdr>
        <w:top w:val="none" w:sz="0" w:space="0" w:color="auto"/>
        <w:left w:val="none" w:sz="0" w:space="0" w:color="auto"/>
        <w:bottom w:val="none" w:sz="0" w:space="0" w:color="auto"/>
        <w:right w:val="none" w:sz="0" w:space="0" w:color="auto"/>
      </w:divBdr>
    </w:div>
    <w:div w:id="1562137955">
      <w:marLeft w:val="0"/>
      <w:marRight w:val="0"/>
      <w:marTop w:val="0"/>
      <w:marBottom w:val="0"/>
      <w:divBdr>
        <w:top w:val="none" w:sz="0" w:space="0" w:color="auto"/>
        <w:left w:val="none" w:sz="0" w:space="0" w:color="auto"/>
        <w:bottom w:val="none" w:sz="0" w:space="0" w:color="auto"/>
        <w:right w:val="none" w:sz="0" w:space="0" w:color="auto"/>
      </w:divBdr>
    </w:div>
    <w:div w:id="1563978720">
      <w:marLeft w:val="0"/>
      <w:marRight w:val="0"/>
      <w:marTop w:val="0"/>
      <w:marBottom w:val="0"/>
      <w:divBdr>
        <w:top w:val="none" w:sz="0" w:space="0" w:color="auto"/>
        <w:left w:val="none" w:sz="0" w:space="0" w:color="auto"/>
        <w:bottom w:val="none" w:sz="0" w:space="0" w:color="auto"/>
        <w:right w:val="none" w:sz="0" w:space="0" w:color="auto"/>
      </w:divBdr>
      <w:divsChild>
        <w:div w:id="1849980605">
          <w:marLeft w:val="0"/>
          <w:marRight w:val="0"/>
          <w:marTop w:val="0"/>
          <w:marBottom w:val="0"/>
          <w:divBdr>
            <w:top w:val="none" w:sz="0" w:space="0" w:color="auto"/>
            <w:left w:val="none" w:sz="0" w:space="0" w:color="auto"/>
            <w:bottom w:val="none" w:sz="0" w:space="0" w:color="auto"/>
            <w:right w:val="none" w:sz="0" w:space="0" w:color="auto"/>
          </w:divBdr>
          <w:divsChild>
            <w:div w:id="91281529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64484664">
      <w:marLeft w:val="0"/>
      <w:marRight w:val="0"/>
      <w:marTop w:val="0"/>
      <w:marBottom w:val="0"/>
      <w:divBdr>
        <w:top w:val="none" w:sz="0" w:space="0" w:color="auto"/>
        <w:left w:val="none" w:sz="0" w:space="0" w:color="auto"/>
        <w:bottom w:val="none" w:sz="0" w:space="0" w:color="auto"/>
        <w:right w:val="none" w:sz="0" w:space="0" w:color="auto"/>
      </w:divBdr>
      <w:divsChild>
        <w:div w:id="17006216">
          <w:marLeft w:val="0"/>
          <w:marRight w:val="0"/>
          <w:marTop w:val="0"/>
          <w:marBottom w:val="100"/>
          <w:divBdr>
            <w:top w:val="none" w:sz="0" w:space="0" w:color="auto"/>
            <w:left w:val="none" w:sz="0" w:space="0" w:color="auto"/>
            <w:bottom w:val="none" w:sz="0" w:space="0" w:color="auto"/>
            <w:right w:val="none" w:sz="0" w:space="0" w:color="auto"/>
          </w:divBdr>
        </w:div>
      </w:divsChild>
    </w:div>
    <w:div w:id="1565947500">
      <w:marLeft w:val="0"/>
      <w:marRight w:val="0"/>
      <w:marTop w:val="0"/>
      <w:marBottom w:val="100"/>
      <w:divBdr>
        <w:top w:val="none" w:sz="0" w:space="0" w:color="auto"/>
        <w:left w:val="none" w:sz="0" w:space="0" w:color="auto"/>
        <w:bottom w:val="none" w:sz="0" w:space="0" w:color="auto"/>
        <w:right w:val="none" w:sz="0" w:space="0" w:color="auto"/>
      </w:divBdr>
    </w:div>
    <w:div w:id="1568492443">
      <w:marLeft w:val="0"/>
      <w:marRight w:val="0"/>
      <w:marTop w:val="0"/>
      <w:marBottom w:val="0"/>
      <w:divBdr>
        <w:top w:val="none" w:sz="0" w:space="0" w:color="auto"/>
        <w:left w:val="none" w:sz="0" w:space="0" w:color="auto"/>
        <w:bottom w:val="none" w:sz="0" w:space="0" w:color="auto"/>
        <w:right w:val="none" w:sz="0" w:space="0" w:color="auto"/>
      </w:divBdr>
    </w:div>
    <w:div w:id="1571035055">
      <w:marLeft w:val="0"/>
      <w:marRight w:val="0"/>
      <w:marTop w:val="100"/>
      <w:marBottom w:val="100"/>
      <w:divBdr>
        <w:top w:val="none" w:sz="0" w:space="0" w:color="auto"/>
        <w:left w:val="none" w:sz="0" w:space="0" w:color="auto"/>
        <w:bottom w:val="none" w:sz="0" w:space="0" w:color="auto"/>
        <w:right w:val="none" w:sz="0" w:space="0" w:color="auto"/>
      </w:divBdr>
    </w:div>
    <w:div w:id="1571423174">
      <w:marLeft w:val="0"/>
      <w:marRight w:val="0"/>
      <w:marTop w:val="0"/>
      <w:marBottom w:val="100"/>
      <w:divBdr>
        <w:top w:val="none" w:sz="0" w:space="0" w:color="auto"/>
        <w:left w:val="none" w:sz="0" w:space="0" w:color="auto"/>
        <w:bottom w:val="none" w:sz="0" w:space="0" w:color="auto"/>
        <w:right w:val="none" w:sz="0" w:space="0" w:color="auto"/>
      </w:divBdr>
    </w:div>
    <w:div w:id="1571768799">
      <w:marLeft w:val="0"/>
      <w:marRight w:val="0"/>
      <w:marTop w:val="0"/>
      <w:marBottom w:val="0"/>
      <w:divBdr>
        <w:top w:val="none" w:sz="0" w:space="0" w:color="auto"/>
        <w:left w:val="none" w:sz="0" w:space="0" w:color="auto"/>
        <w:bottom w:val="none" w:sz="0" w:space="0" w:color="auto"/>
        <w:right w:val="none" w:sz="0" w:space="0" w:color="auto"/>
      </w:divBdr>
    </w:div>
    <w:div w:id="1572034156">
      <w:marLeft w:val="0"/>
      <w:marRight w:val="0"/>
      <w:marTop w:val="180"/>
      <w:marBottom w:val="0"/>
      <w:divBdr>
        <w:top w:val="none" w:sz="0" w:space="0" w:color="auto"/>
        <w:left w:val="none" w:sz="0" w:space="0" w:color="auto"/>
        <w:bottom w:val="none" w:sz="0" w:space="0" w:color="auto"/>
        <w:right w:val="none" w:sz="0" w:space="0" w:color="auto"/>
      </w:divBdr>
    </w:div>
    <w:div w:id="1573807912">
      <w:marLeft w:val="0"/>
      <w:marRight w:val="0"/>
      <w:marTop w:val="180"/>
      <w:marBottom w:val="0"/>
      <w:divBdr>
        <w:top w:val="none" w:sz="0" w:space="0" w:color="auto"/>
        <w:left w:val="none" w:sz="0" w:space="0" w:color="auto"/>
        <w:bottom w:val="none" w:sz="0" w:space="0" w:color="auto"/>
        <w:right w:val="none" w:sz="0" w:space="0" w:color="auto"/>
      </w:divBdr>
    </w:div>
    <w:div w:id="1576478629">
      <w:marLeft w:val="0"/>
      <w:marRight w:val="0"/>
      <w:marTop w:val="180"/>
      <w:marBottom w:val="0"/>
      <w:divBdr>
        <w:top w:val="none" w:sz="0" w:space="0" w:color="auto"/>
        <w:left w:val="none" w:sz="0" w:space="0" w:color="auto"/>
        <w:bottom w:val="none" w:sz="0" w:space="0" w:color="auto"/>
        <w:right w:val="none" w:sz="0" w:space="0" w:color="auto"/>
      </w:divBdr>
    </w:div>
    <w:div w:id="1577857524">
      <w:marLeft w:val="0"/>
      <w:marRight w:val="0"/>
      <w:marTop w:val="0"/>
      <w:marBottom w:val="0"/>
      <w:divBdr>
        <w:top w:val="none" w:sz="0" w:space="0" w:color="auto"/>
        <w:left w:val="none" w:sz="0" w:space="0" w:color="auto"/>
        <w:bottom w:val="none" w:sz="0" w:space="0" w:color="auto"/>
        <w:right w:val="none" w:sz="0" w:space="0" w:color="auto"/>
      </w:divBdr>
      <w:divsChild>
        <w:div w:id="1899129786">
          <w:marLeft w:val="0"/>
          <w:marRight w:val="0"/>
          <w:marTop w:val="0"/>
          <w:marBottom w:val="100"/>
          <w:divBdr>
            <w:top w:val="none" w:sz="0" w:space="0" w:color="auto"/>
            <w:left w:val="none" w:sz="0" w:space="0" w:color="auto"/>
            <w:bottom w:val="none" w:sz="0" w:space="0" w:color="auto"/>
            <w:right w:val="none" w:sz="0" w:space="0" w:color="auto"/>
          </w:divBdr>
        </w:div>
      </w:divsChild>
    </w:div>
    <w:div w:id="1579249728">
      <w:marLeft w:val="0"/>
      <w:marRight w:val="0"/>
      <w:marTop w:val="180"/>
      <w:marBottom w:val="0"/>
      <w:divBdr>
        <w:top w:val="none" w:sz="0" w:space="0" w:color="auto"/>
        <w:left w:val="none" w:sz="0" w:space="0" w:color="auto"/>
        <w:bottom w:val="none" w:sz="0" w:space="0" w:color="auto"/>
        <w:right w:val="none" w:sz="0" w:space="0" w:color="auto"/>
      </w:divBdr>
    </w:div>
    <w:div w:id="1579436130">
      <w:marLeft w:val="0"/>
      <w:marRight w:val="0"/>
      <w:marTop w:val="100"/>
      <w:marBottom w:val="0"/>
      <w:divBdr>
        <w:top w:val="none" w:sz="0" w:space="0" w:color="auto"/>
        <w:left w:val="none" w:sz="0" w:space="0" w:color="auto"/>
        <w:bottom w:val="none" w:sz="0" w:space="0" w:color="auto"/>
        <w:right w:val="none" w:sz="0" w:space="0" w:color="auto"/>
      </w:divBdr>
    </w:div>
    <w:div w:id="1581870478">
      <w:marLeft w:val="0"/>
      <w:marRight w:val="0"/>
      <w:marTop w:val="100"/>
      <w:marBottom w:val="0"/>
      <w:divBdr>
        <w:top w:val="none" w:sz="0" w:space="0" w:color="auto"/>
        <w:left w:val="none" w:sz="0" w:space="0" w:color="auto"/>
        <w:bottom w:val="none" w:sz="0" w:space="0" w:color="auto"/>
        <w:right w:val="none" w:sz="0" w:space="0" w:color="auto"/>
      </w:divBdr>
    </w:div>
    <w:div w:id="1581914305">
      <w:marLeft w:val="0"/>
      <w:marRight w:val="0"/>
      <w:marTop w:val="180"/>
      <w:marBottom w:val="0"/>
      <w:divBdr>
        <w:top w:val="none" w:sz="0" w:space="0" w:color="auto"/>
        <w:left w:val="none" w:sz="0" w:space="0" w:color="auto"/>
        <w:bottom w:val="none" w:sz="0" w:space="0" w:color="auto"/>
        <w:right w:val="none" w:sz="0" w:space="0" w:color="auto"/>
      </w:divBdr>
    </w:div>
    <w:div w:id="1582449054">
      <w:marLeft w:val="0"/>
      <w:marRight w:val="0"/>
      <w:marTop w:val="0"/>
      <w:marBottom w:val="100"/>
      <w:divBdr>
        <w:top w:val="none" w:sz="0" w:space="0" w:color="auto"/>
        <w:left w:val="none" w:sz="0" w:space="0" w:color="auto"/>
        <w:bottom w:val="none" w:sz="0" w:space="0" w:color="auto"/>
        <w:right w:val="none" w:sz="0" w:space="0" w:color="auto"/>
      </w:divBdr>
    </w:div>
    <w:div w:id="1584802873">
      <w:marLeft w:val="0"/>
      <w:marRight w:val="0"/>
      <w:marTop w:val="0"/>
      <w:marBottom w:val="0"/>
      <w:divBdr>
        <w:top w:val="none" w:sz="0" w:space="0" w:color="auto"/>
        <w:left w:val="none" w:sz="0" w:space="0" w:color="auto"/>
        <w:bottom w:val="none" w:sz="0" w:space="0" w:color="auto"/>
        <w:right w:val="none" w:sz="0" w:space="0" w:color="auto"/>
      </w:divBdr>
      <w:divsChild>
        <w:div w:id="466748869">
          <w:marLeft w:val="0"/>
          <w:marRight w:val="0"/>
          <w:marTop w:val="0"/>
          <w:marBottom w:val="0"/>
          <w:divBdr>
            <w:top w:val="none" w:sz="0" w:space="0" w:color="auto"/>
            <w:left w:val="none" w:sz="0" w:space="0" w:color="auto"/>
            <w:bottom w:val="none" w:sz="0" w:space="0" w:color="auto"/>
            <w:right w:val="none" w:sz="0" w:space="0" w:color="auto"/>
          </w:divBdr>
          <w:divsChild>
            <w:div w:id="141643695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89341924">
      <w:marLeft w:val="0"/>
      <w:marRight w:val="0"/>
      <w:marTop w:val="180"/>
      <w:marBottom w:val="0"/>
      <w:divBdr>
        <w:top w:val="none" w:sz="0" w:space="0" w:color="auto"/>
        <w:left w:val="none" w:sz="0" w:space="0" w:color="auto"/>
        <w:bottom w:val="none" w:sz="0" w:space="0" w:color="auto"/>
        <w:right w:val="none" w:sz="0" w:space="0" w:color="auto"/>
      </w:divBdr>
    </w:div>
    <w:div w:id="1589608016">
      <w:marLeft w:val="0"/>
      <w:marRight w:val="0"/>
      <w:marTop w:val="0"/>
      <w:marBottom w:val="0"/>
      <w:divBdr>
        <w:top w:val="none" w:sz="0" w:space="0" w:color="auto"/>
        <w:left w:val="none" w:sz="0" w:space="0" w:color="auto"/>
        <w:bottom w:val="none" w:sz="0" w:space="0" w:color="auto"/>
        <w:right w:val="none" w:sz="0" w:space="0" w:color="auto"/>
      </w:divBdr>
      <w:divsChild>
        <w:div w:id="1455559183">
          <w:marLeft w:val="0"/>
          <w:marRight w:val="0"/>
          <w:marTop w:val="0"/>
          <w:marBottom w:val="0"/>
          <w:divBdr>
            <w:top w:val="none" w:sz="0" w:space="0" w:color="auto"/>
            <w:left w:val="none" w:sz="0" w:space="0" w:color="auto"/>
            <w:bottom w:val="none" w:sz="0" w:space="0" w:color="auto"/>
            <w:right w:val="none" w:sz="0" w:space="0" w:color="auto"/>
          </w:divBdr>
          <w:divsChild>
            <w:div w:id="71658392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89656276">
      <w:marLeft w:val="0"/>
      <w:marRight w:val="0"/>
      <w:marTop w:val="0"/>
      <w:marBottom w:val="100"/>
      <w:divBdr>
        <w:top w:val="none" w:sz="0" w:space="0" w:color="auto"/>
        <w:left w:val="none" w:sz="0" w:space="0" w:color="auto"/>
        <w:bottom w:val="none" w:sz="0" w:space="0" w:color="auto"/>
        <w:right w:val="none" w:sz="0" w:space="0" w:color="auto"/>
      </w:divBdr>
    </w:div>
    <w:div w:id="1589735163">
      <w:marLeft w:val="0"/>
      <w:marRight w:val="0"/>
      <w:marTop w:val="0"/>
      <w:marBottom w:val="0"/>
      <w:divBdr>
        <w:top w:val="none" w:sz="0" w:space="0" w:color="auto"/>
        <w:left w:val="none" w:sz="0" w:space="0" w:color="auto"/>
        <w:bottom w:val="none" w:sz="0" w:space="0" w:color="auto"/>
        <w:right w:val="none" w:sz="0" w:space="0" w:color="auto"/>
      </w:divBdr>
      <w:divsChild>
        <w:div w:id="1806504467">
          <w:marLeft w:val="0"/>
          <w:marRight w:val="0"/>
          <w:marTop w:val="0"/>
          <w:marBottom w:val="0"/>
          <w:divBdr>
            <w:top w:val="none" w:sz="0" w:space="0" w:color="auto"/>
            <w:left w:val="none" w:sz="0" w:space="0" w:color="auto"/>
            <w:bottom w:val="none" w:sz="0" w:space="0" w:color="auto"/>
            <w:right w:val="none" w:sz="0" w:space="0" w:color="auto"/>
          </w:divBdr>
          <w:divsChild>
            <w:div w:id="17375815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90381864">
      <w:marLeft w:val="0"/>
      <w:marRight w:val="0"/>
      <w:marTop w:val="180"/>
      <w:marBottom w:val="0"/>
      <w:divBdr>
        <w:top w:val="none" w:sz="0" w:space="0" w:color="auto"/>
        <w:left w:val="none" w:sz="0" w:space="0" w:color="auto"/>
        <w:bottom w:val="none" w:sz="0" w:space="0" w:color="auto"/>
        <w:right w:val="none" w:sz="0" w:space="0" w:color="auto"/>
      </w:divBdr>
    </w:div>
    <w:div w:id="1590581694">
      <w:marLeft w:val="0"/>
      <w:marRight w:val="0"/>
      <w:marTop w:val="0"/>
      <w:marBottom w:val="0"/>
      <w:divBdr>
        <w:top w:val="none" w:sz="0" w:space="0" w:color="auto"/>
        <w:left w:val="none" w:sz="0" w:space="0" w:color="auto"/>
        <w:bottom w:val="none" w:sz="0" w:space="0" w:color="auto"/>
        <w:right w:val="none" w:sz="0" w:space="0" w:color="auto"/>
      </w:divBdr>
      <w:divsChild>
        <w:div w:id="247471155">
          <w:marLeft w:val="0"/>
          <w:marRight w:val="0"/>
          <w:marTop w:val="0"/>
          <w:marBottom w:val="100"/>
          <w:divBdr>
            <w:top w:val="none" w:sz="0" w:space="0" w:color="auto"/>
            <w:left w:val="none" w:sz="0" w:space="0" w:color="auto"/>
            <w:bottom w:val="none" w:sz="0" w:space="0" w:color="auto"/>
            <w:right w:val="none" w:sz="0" w:space="0" w:color="auto"/>
          </w:divBdr>
        </w:div>
      </w:divsChild>
    </w:div>
    <w:div w:id="1591500461">
      <w:marLeft w:val="0"/>
      <w:marRight w:val="0"/>
      <w:marTop w:val="100"/>
      <w:marBottom w:val="100"/>
      <w:divBdr>
        <w:top w:val="none" w:sz="0" w:space="0" w:color="auto"/>
        <w:left w:val="none" w:sz="0" w:space="0" w:color="auto"/>
        <w:bottom w:val="none" w:sz="0" w:space="0" w:color="auto"/>
        <w:right w:val="none" w:sz="0" w:space="0" w:color="auto"/>
      </w:divBdr>
    </w:div>
    <w:div w:id="1592854929">
      <w:marLeft w:val="0"/>
      <w:marRight w:val="0"/>
      <w:marTop w:val="0"/>
      <w:marBottom w:val="0"/>
      <w:divBdr>
        <w:top w:val="none" w:sz="0" w:space="0" w:color="auto"/>
        <w:left w:val="none" w:sz="0" w:space="0" w:color="auto"/>
        <w:bottom w:val="none" w:sz="0" w:space="0" w:color="auto"/>
        <w:right w:val="none" w:sz="0" w:space="0" w:color="auto"/>
      </w:divBdr>
      <w:divsChild>
        <w:div w:id="299040777">
          <w:marLeft w:val="0"/>
          <w:marRight w:val="0"/>
          <w:marTop w:val="0"/>
          <w:marBottom w:val="0"/>
          <w:divBdr>
            <w:top w:val="none" w:sz="0" w:space="0" w:color="auto"/>
            <w:left w:val="none" w:sz="0" w:space="0" w:color="auto"/>
            <w:bottom w:val="none" w:sz="0" w:space="0" w:color="auto"/>
            <w:right w:val="none" w:sz="0" w:space="0" w:color="auto"/>
          </w:divBdr>
          <w:divsChild>
            <w:div w:id="120671929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95939836">
      <w:marLeft w:val="0"/>
      <w:marRight w:val="0"/>
      <w:marTop w:val="0"/>
      <w:marBottom w:val="0"/>
      <w:divBdr>
        <w:top w:val="none" w:sz="0" w:space="0" w:color="auto"/>
        <w:left w:val="none" w:sz="0" w:space="0" w:color="auto"/>
        <w:bottom w:val="none" w:sz="0" w:space="0" w:color="auto"/>
        <w:right w:val="none" w:sz="0" w:space="0" w:color="auto"/>
      </w:divBdr>
    </w:div>
    <w:div w:id="1597129925">
      <w:marLeft w:val="0"/>
      <w:marRight w:val="0"/>
      <w:marTop w:val="0"/>
      <w:marBottom w:val="0"/>
      <w:divBdr>
        <w:top w:val="none" w:sz="0" w:space="0" w:color="auto"/>
        <w:left w:val="none" w:sz="0" w:space="0" w:color="auto"/>
        <w:bottom w:val="none" w:sz="0" w:space="0" w:color="auto"/>
        <w:right w:val="none" w:sz="0" w:space="0" w:color="auto"/>
      </w:divBdr>
      <w:divsChild>
        <w:div w:id="1247765146">
          <w:marLeft w:val="0"/>
          <w:marRight w:val="0"/>
          <w:marTop w:val="0"/>
          <w:marBottom w:val="100"/>
          <w:divBdr>
            <w:top w:val="none" w:sz="0" w:space="0" w:color="auto"/>
            <w:left w:val="none" w:sz="0" w:space="0" w:color="auto"/>
            <w:bottom w:val="none" w:sz="0" w:space="0" w:color="auto"/>
            <w:right w:val="none" w:sz="0" w:space="0" w:color="auto"/>
          </w:divBdr>
        </w:div>
      </w:divsChild>
    </w:div>
    <w:div w:id="1598060539">
      <w:marLeft w:val="0"/>
      <w:marRight w:val="0"/>
      <w:marTop w:val="180"/>
      <w:marBottom w:val="100"/>
      <w:divBdr>
        <w:top w:val="none" w:sz="0" w:space="0" w:color="auto"/>
        <w:left w:val="none" w:sz="0" w:space="0" w:color="auto"/>
        <w:bottom w:val="none" w:sz="0" w:space="0" w:color="auto"/>
        <w:right w:val="none" w:sz="0" w:space="0" w:color="auto"/>
      </w:divBdr>
    </w:div>
    <w:div w:id="1598905603">
      <w:marLeft w:val="0"/>
      <w:marRight w:val="0"/>
      <w:marTop w:val="100"/>
      <w:marBottom w:val="100"/>
      <w:divBdr>
        <w:top w:val="none" w:sz="0" w:space="0" w:color="auto"/>
        <w:left w:val="none" w:sz="0" w:space="0" w:color="auto"/>
        <w:bottom w:val="none" w:sz="0" w:space="0" w:color="auto"/>
        <w:right w:val="none" w:sz="0" w:space="0" w:color="auto"/>
      </w:divBdr>
    </w:div>
    <w:div w:id="1599366404">
      <w:marLeft w:val="0"/>
      <w:marRight w:val="0"/>
      <w:marTop w:val="0"/>
      <w:marBottom w:val="0"/>
      <w:divBdr>
        <w:top w:val="none" w:sz="0" w:space="0" w:color="auto"/>
        <w:left w:val="none" w:sz="0" w:space="0" w:color="auto"/>
        <w:bottom w:val="none" w:sz="0" w:space="0" w:color="auto"/>
        <w:right w:val="none" w:sz="0" w:space="0" w:color="auto"/>
      </w:divBdr>
    </w:div>
    <w:div w:id="1600747842">
      <w:marLeft w:val="0"/>
      <w:marRight w:val="0"/>
      <w:marTop w:val="80"/>
      <w:marBottom w:val="100"/>
      <w:divBdr>
        <w:top w:val="none" w:sz="0" w:space="0" w:color="auto"/>
        <w:left w:val="none" w:sz="0" w:space="0" w:color="auto"/>
        <w:bottom w:val="none" w:sz="0" w:space="0" w:color="auto"/>
        <w:right w:val="none" w:sz="0" w:space="0" w:color="auto"/>
      </w:divBdr>
    </w:div>
    <w:div w:id="1601183727">
      <w:marLeft w:val="0"/>
      <w:marRight w:val="0"/>
      <w:marTop w:val="0"/>
      <w:marBottom w:val="100"/>
      <w:divBdr>
        <w:top w:val="none" w:sz="0" w:space="0" w:color="auto"/>
        <w:left w:val="none" w:sz="0" w:space="0" w:color="auto"/>
        <w:bottom w:val="none" w:sz="0" w:space="0" w:color="auto"/>
        <w:right w:val="none" w:sz="0" w:space="0" w:color="auto"/>
      </w:divBdr>
    </w:div>
    <w:div w:id="1606308927">
      <w:marLeft w:val="0"/>
      <w:marRight w:val="0"/>
      <w:marTop w:val="100"/>
      <w:marBottom w:val="100"/>
      <w:divBdr>
        <w:top w:val="none" w:sz="0" w:space="0" w:color="auto"/>
        <w:left w:val="none" w:sz="0" w:space="0" w:color="auto"/>
        <w:bottom w:val="none" w:sz="0" w:space="0" w:color="auto"/>
        <w:right w:val="none" w:sz="0" w:space="0" w:color="auto"/>
      </w:divBdr>
    </w:div>
    <w:div w:id="1607349098">
      <w:marLeft w:val="0"/>
      <w:marRight w:val="0"/>
      <w:marTop w:val="180"/>
      <w:marBottom w:val="0"/>
      <w:divBdr>
        <w:top w:val="none" w:sz="0" w:space="0" w:color="auto"/>
        <w:left w:val="none" w:sz="0" w:space="0" w:color="auto"/>
        <w:bottom w:val="none" w:sz="0" w:space="0" w:color="auto"/>
        <w:right w:val="none" w:sz="0" w:space="0" w:color="auto"/>
      </w:divBdr>
    </w:div>
    <w:div w:id="1607612453">
      <w:marLeft w:val="0"/>
      <w:marRight w:val="0"/>
      <w:marTop w:val="0"/>
      <w:marBottom w:val="0"/>
      <w:divBdr>
        <w:top w:val="none" w:sz="0" w:space="0" w:color="auto"/>
        <w:left w:val="none" w:sz="0" w:space="0" w:color="auto"/>
        <w:bottom w:val="none" w:sz="0" w:space="0" w:color="auto"/>
        <w:right w:val="none" w:sz="0" w:space="0" w:color="auto"/>
      </w:divBdr>
    </w:div>
    <w:div w:id="1609042753">
      <w:marLeft w:val="0"/>
      <w:marRight w:val="0"/>
      <w:marTop w:val="0"/>
      <w:marBottom w:val="100"/>
      <w:divBdr>
        <w:top w:val="none" w:sz="0" w:space="0" w:color="auto"/>
        <w:left w:val="none" w:sz="0" w:space="0" w:color="auto"/>
        <w:bottom w:val="none" w:sz="0" w:space="0" w:color="auto"/>
        <w:right w:val="none" w:sz="0" w:space="0" w:color="auto"/>
      </w:divBdr>
    </w:div>
    <w:div w:id="1610355385">
      <w:marLeft w:val="0"/>
      <w:marRight w:val="0"/>
      <w:marTop w:val="0"/>
      <w:marBottom w:val="0"/>
      <w:divBdr>
        <w:top w:val="none" w:sz="0" w:space="0" w:color="auto"/>
        <w:left w:val="none" w:sz="0" w:space="0" w:color="auto"/>
        <w:bottom w:val="none" w:sz="0" w:space="0" w:color="auto"/>
        <w:right w:val="none" w:sz="0" w:space="0" w:color="auto"/>
      </w:divBdr>
      <w:divsChild>
        <w:div w:id="2133666231">
          <w:marLeft w:val="0"/>
          <w:marRight w:val="0"/>
          <w:marTop w:val="0"/>
          <w:marBottom w:val="100"/>
          <w:divBdr>
            <w:top w:val="none" w:sz="0" w:space="0" w:color="auto"/>
            <w:left w:val="none" w:sz="0" w:space="0" w:color="auto"/>
            <w:bottom w:val="none" w:sz="0" w:space="0" w:color="auto"/>
            <w:right w:val="none" w:sz="0" w:space="0" w:color="auto"/>
          </w:divBdr>
        </w:div>
      </w:divsChild>
    </w:div>
    <w:div w:id="1611235291">
      <w:marLeft w:val="0"/>
      <w:marRight w:val="0"/>
      <w:marTop w:val="100"/>
      <w:marBottom w:val="0"/>
      <w:divBdr>
        <w:top w:val="none" w:sz="0" w:space="0" w:color="auto"/>
        <w:left w:val="none" w:sz="0" w:space="0" w:color="auto"/>
        <w:bottom w:val="none" w:sz="0" w:space="0" w:color="auto"/>
        <w:right w:val="none" w:sz="0" w:space="0" w:color="auto"/>
      </w:divBdr>
    </w:div>
    <w:div w:id="1611889236">
      <w:marLeft w:val="0"/>
      <w:marRight w:val="0"/>
      <w:marTop w:val="100"/>
      <w:marBottom w:val="100"/>
      <w:divBdr>
        <w:top w:val="none" w:sz="0" w:space="0" w:color="auto"/>
        <w:left w:val="none" w:sz="0" w:space="0" w:color="auto"/>
        <w:bottom w:val="none" w:sz="0" w:space="0" w:color="auto"/>
        <w:right w:val="none" w:sz="0" w:space="0" w:color="auto"/>
      </w:divBdr>
    </w:div>
    <w:div w:id="1612282026">
      <w:marLeft w:val="0"/>
      <w:marRight w:val="0"/>
      <w:marTop w:val="0"/>
      <w:marBottom w:val="0"/>
      <w:divBdr>
        <w:top w:val="none" w:sz="0" w:space="0" w:color="auto"/>
        <w:left w:val="none" w:sz="0" w:space="0" w:color="auto"/>
        <w:bottom w:val="none" w:sz="0" w:space="0" w:color="auto"/>
        <w:right w:val="none" w:sz="0" w:space="0" w:color="auto"/>
      </w:divBdr>
    </w:div>
    <w:div w:id="1613592773">
      <w:marLeft w:val="0"/>
      <w:marRight w:val="0"/>
      <w:marTop w:val="100"/>
      <w:marBottom w:val="100"/>
      <w:divBdr>
        <w:top w:val="none" w:sz="0" w:space="0" w:color="auto"/>
        <w:left w:val="none" w:sz="0" w:space="0" w:color="auto"/>
        <w:bottom w:val="none" w:sz="0" w:space="0" w:color="auto"/>
        <w:right w:val="none" w:sz="0" w:space="0" w:color="auto"/>
      </w:divBdr>
    </w:div>
    <w:div w:id="1614244110">
      <w:marLeft w:val="0"/>
      <w:marRight w:val="0"/>
      <w:marTop w:val="0"/>
      <w:marBottom w:val="0"/>
      <w:divBdr>
        <w:top w:val="none" w:sz="0" w:space="0" w:color="auto"/>
        <w:left w:val="none" w:sz="0" w:space="0" w:color="auto"/>
        <w:bottom w:val="none" w:sz="0" w:space="0" w:color="auto"/>
        <w:right w:val="none" w:sz="0" w:space="0" w:color="auto"/>
      </w:divBdr>
    </w:div>
    <w:div w:id="1615820978">
      <w:marLeft w:val="0"/>
      <w:marRight w:val="0"/>
      <w:marTop w:val="0"/>
      <w:marBottom w:val="100"/>
      <w:divBdr>
        <w:top w:val="none" w:sz="0" w:space="0" w:color="auto"/>
        <w:left w:val="none" w:sz="0" w:space="0" w:color="auto"/>
        <w:bottom w:val="none" w:sz="0" w:space="0" w:color="auto"/>
        <w:right w:val="none" w:sz="0" w:space="0" w:color="auto"/>
      </w:divBdr>
    </w:div>
    <w:div w:id="1616595590">
      <w:marLeft w:val="0"/>
      <w:marRight w:val="0"/>
      <w:marTop w:val="100"/>
      <w:marBottom w:val="100"/>
      <w:divBdr>
        <w:top w:val="none" w:sz="0" w:space="0" w:color="auto"/>
        <w:left w:val="none" w:sz="0" w:space="0" w:color="auto"/>
        <w:bottom w:val="none" w:sz="0" w:space="0" w:color="auto"/>
        <w:right w:val="none" w:sz="0" w:space="0" w:color="auto"/>
      </w:divBdr>
    </w:div>
    <w:div w:id="1617565592">
      <w:marLeft w:val="0"/>
      <w:marRight w:val="0"/>
      <w:marTop w:val="0"/>
      <w:marBottom w:val="0"/>
      <w:divBdr>
        <w:top w:val="none" w:sz="0" w:space="0" w:color="auto"/>
        <w:left w:val="none" w:sz="0" w:space="0" w:color="auto"/>
        <w:bottom w:val="none" w:sz="0" w:space="0" w:color="auto"/>
        <w:right w:val="none" w:sz="0" w:space="0" w:color="auto"/>
      </w:divBdr>
      <w:divsChild>
        <w:div w:id="99644550">
          <w:marLeft w:val="0"/>
          <w:marRight w:val="0"/>
          <w:marTop w:val="0"/>
          <w:marBottom w:val="100"/>
          <w:divBdr>
            <w:top w:val="none" w:sz="0" w:space="0" w:color="auto"/>
            <w:left w:val="none" w:sz="0" w:space="0" w:color="auto"/>
            <w:bottom w:val="none" w:sz="0" w:space="0" w:color="auto"/>
            <w:right w:val="none" w:sz="0" w:space="0" w:color="auto"/>
          </w:divBdr>
        </w:div>
      </w:divsChild>
    </w:div>
    <w:div w:id="1618682122">
      <w:marLeft w:val="0"/>
      <w:marRight w:val="0"/>
      <w:marTop w:val="180"/>
      <w:marBottom w:val="0"/>
      <w:divBdr>
        <w:top w:val="none" w:sz="0" w:space="0" w:color="auto"/>
        <w:left w:val="none" w:sz="0" w:space="0" w:color="auto"/>
        <w:bottom w:val="none" w:sz="0" w:space="0" w:color="auto"/>
        <w:right w:val="none" w:sz="0" w:space="0" w:color="auto"/>
      </w:divBdr>
    </w:div>
    <w:div w:id="1620260662">
      <w:marLeft w:val="0"/>
      <w:marRight w:val="0"/>
      <w:marTop w:val="0"/>
      <w:marBottom w:val="0"/>
      <w:divBdr>
        <w:top w:val="none" w:sz="0" w:space="0" w:color="auto"/>
        <w:left w:val="none" w:sz="0" w:space="0" w:color="auto"/>
        <w:bottom w:val="none" w:sz="0" w:space="0" w:color="auto"/>
        <w:right w:val="none" w:sz="0" w:space="0" w:color="auto"/>
      </w:divBdr>
    </w:div>
    <w:div w:id="1623457858">
      <w:marLeft w:val="0"/>
      <w:marRight w:val="0"/>
      <w:marTop w:val="0"/>
      <w:marBottom w:val="0"/>
      <w:divBdr>
        <w:top w:val="none" w:sz="0" w:space="0" w:color="auto"/>
        <w:left w:val="none" w:sz="0" w:space="0" w:color="auto"/>
        <w:bottom w:val="none" w:sz="0" w:space="0" w:color="auto"/>
        <w:right w:val="none" w:sz="0" w:space="0" w:color="auto"/>
      </w:divBdr>
      <w:divsChild>
        <w:div w:id="174999890">
          <w:marLeft w:val="0"/>
          <w:marRight w:val="0"/>
          <w:marTop w:val="0"/>
          <w:marBottom w:val="100"/>
          <w:divBdr>
            <w:top w:val="none" w:sz="0" w:space="0" w:color="auto"/>
            <w:left w:val="none" w:sz="0" w:space="0" w:color="auto"/>
            <w:bottom w:val="none" w:sz="0" w:space="0" w:color="auto"/>
            <w:right w:val="none" w:sz="0" w:space="0" w:color="auto"/>
          </w:divBdr>
        </w:div>
      </w:divsChild>
    </w:div>
    <w:div w:id="1625497564">
      <w:marLeft w:val="0"/>
      <w:marRight w:val="0"/>
      <w:marTop w:val="0"/>
      <w:marBottom w:val="100"/>
      <w:divBdr>
        <w:top w:val="none" w:sz="0" w:space="0" w:color="auto"/>
        <w:left w:val="none" w:sz="0" w:space="0" w:color="auto"/>
        <w:bottom w:val="none" w:sz="0" w:space="0" w:color="auto"/>
        <w:right w:val="none" w:sz="0" w:space="0" w:color="auto"/>
      </w:divBdr>
    </w:div>
    <w:div w:id="1626082687">
      <w:marLeft w:val="0"/>
      <w:marRight w:val="0"/>
      <w:marTop w:val="0"/>
      <w:marBottom w:val="0"/>
      <w:divBdr>
        <w:top w:val="none" w:sz="0" w:space="0" w:color="auto"/>
        <w:left w:val="none" w:sz="0" w:space="0" w:color="auto"/>
        <w:bottom w:val="none" w:sz="0" w:space="0" w:color="auto"/>
        <w:right w:val="none" w:sz="0" w:space="0" w:color="auto"/>
      </w:divBdr>
      <w:divsChild>
        <w:div w:id="404573722">
          <w:marLeft w:val="0"/>
          <w:marRight w:val="0"/>
          <w:marTop w:val="0"/>
          <w:marBottom w:val="100"/>
          <w:divBdr>
            <w:top w:val="none" w:sz="0" w:space="0" w:color="auto"/>
            <w:left w:val="none" w:sz="0" w:space="0" w:color="auto"/>
            <w:bottom w:val="none" w:sz="0" w:space="0" w:color="auto"/>
            <w:right w:val="none" w:sz="0" w:space="0" w:color="auto"/>
          </w:divBdr>
        </w:div>
      </w:divsChild>
    </w:div>
    <w:div w:id="1627002974">
      <w:marLeft w:val="0"/>
      <w:marRight w:val="0"/>
      <w:marTop w:val="180"/>
      <w:marBottom w:val="100"/>
      <w:divBdr>
        <w:top w:val="none" w:sz="0" w:space="0" w:color="auto"/>
        <w:left w:val="none" w:sz="0" w:space="0" w:color="auto"/>
        <w:bottom w:val="none" w:sz="0" w:space="0" w:color="auto"/>
        <w:right w:val="none" w:sz="0" w:space="0" w:color="auto"/>
      </w:divBdr>
    </w:div>
    <w:div w:id="1628197255">
      <w:marLeft w:val="0"/>
      <w:marRight w:val="0"/>
      <w:marTop w:val="0"/>
      <w:marBottom w:val="100"/>
      <w:divBdr>
        <w:top w:val="none" w:sz="0" w:space="0" w:color="auto"/>
        <w:left w:val="none" w:sz="0" w:space="0" w:color="auto"/>
        <w:bottom w:val="none" w:sz="0" w:space="0" w:color="auto"/>
        <w:right w:val="none" w:sz="0" w:space="0" w:color="auto"/>
      </w:divBdr>
    </w:div>
    <w:div w:id="1628386527">
      <w:marLeft w:val="0"/>
      <w:marRight w:val="0"/>
      <w:marTop w:val="0"/>
      <w:marBottom w:val="0"/>
      <w:divBdr>
        <w:top w:val="none" w:sz="0" w:space="0" w:color="auto"/>
        <w:left w:val="none" w:sz="0" w:space="0" w:color="auto"/>
        <w:bottom w:val="none" w:sz="0" w:space="0" w:color="auto"/>
        <w:right w:val="none" w:sz="0" w:space="0" w:color="auto"/>
      </w:divBdr>
    </w:div>
    <w:div w:id="1630819612">
      <w:marLeft w:val="0"/>
      <w:marRight w:val="0"/>
      <w:marTop w:val="100"/>
      <w:marBottom w:val="100"/>
      <w:divBdr>
        <w:top w:val="none" w:sz="0" w:space="0" w:color="auto"/>
        <w:left w:val="none" w:sz="0" w:space="0" w:color="auto"/>
        <w:bottom w:val="none" w:sz="0" w:space="0" w:color="auto"/>
        <w:right w:val="none" w:sz="0" w:space="0" w:color="auto"/>
      </w:divBdr>
    </w:div>
    <w:div w:id="1631125999">
      <w:marLeft w:val="0"/>
      <w:marRight w:val="0"/>
      <w:marTop w:val="0"/>
      <w:marBottom w:val="0"/>
      <w:divBdr>
        <w:top w:val="none" w:sz="0" w:space="0" w:color="auto"/>
        <w:left w:val="none" w:sz="0" w:space="0" w:color="auto"/>
        <w:bottom w:val="none" w:sz="0" w:space="0" w:color="auto"/>
        <w:right w:val="none" w:sz="0" w:space="0" w:color="auto"/>
      </w:divBdr>
      <w:divsChild>
        <w:div w:id="633025365">
          <w:marLeft w:val="0"/>
          <w:marRight w:val="0"/>
          <w:marTop w:val="0"/>
          <w:marBottom w:val="100"/>
          <w:divBdr>
            <w:top w:val="none" w:sz="0" w:space="0" w:color="auto"/>
            <w:left w:val="none" w:sz="0" w:space="0" w:color="auto"/>
            <w:bottom w:val="none" w:sz="0" w:space="0" w:color="auto"/>
            <w:right w:val="none" w:sz="0" w:space="0" w:color="auto"/>
          </w:divBdr>
        </w:div>
      </w:divsChild>
    </w:div>
    <w:div w:id="1631206711">
      <w:marLeft w:val="0"/>
      <w:marRight w:val="0"/>
      <w:marTop w:val="100"/>
      <w:marBottom w:val="100"/>
      <w:divBdr>
        <w:top w:val="none" w:sz="0" w:space="0" w:color="auto"/>
        <w:left w:val="none" w:sz="0" w:space="0" w:color="auto"/>
        <w:bottom w:val="none" w:sz="0" w:space="0" w:color="auto"/>
        <w:right w:val="none" w:sz="0" w:space="0" w:color="auto"/>
      </w:divBdr>
    </w:div>
    <w:div w:id="1633094870">
      <w:marLeft w:val="0"/>
      <w:marRight w:val="0"/>
      <w:marTop w:val="180"/>
      <w:marBottom w:val="0"/>
      <w:divBdr>
        <w:top w:val="none" w:sz="0" w:space="0" w:color="auto"/>
        <w:left w:val="none" w:sz="0" w:space="0" w:color="auto"/>
        <w:bottom w:val="none" w:sz="0" w:space="0" w:color="auto"/>
        <w:right w:val="none" w:sz="0" w:space="0" w:color="auto"/>
      </w:divBdr>
    </w:div>
    <w:div w:id="1633513855">
      <w:marLeft w:val="0"/>
      <w:marRight w:val="0"/>
      <w:marTop w:val="0"/>
      <w:marBottom w:val="0"/>
      <w:divBdr>
        <w:top w:val="none" w:sz="0" w:space="0" w:color="auto"/>
        <w:left w:val="none" w:sz="0" w:space="0" w:color="auto"/>
        <w:bottom w:val="none" w:sz="0" w:space="0" w:color="auto"/>
        <w:right w:val="none" w:sz="0" w:space="0" w:color="auto"/>
      </w:divBdr>
    </w:div>
    <w:div w:id="1633709953">
      <w:marLeft w:val="0"/>
      <w:marRight w:val="0"/>
      <w:marTop w:val="100"/>
      <w:marBottom w:val="100"/>
      <w:divBdr>
        <w:top w:val="none" w:sz="0" w:space="0" w:color="auto"/>
        <w:left w:val="none" w:sz="0" w:space="0" w:color="auto"/>
        <w:bottom w:val="none" w:sz="0" w:space="0" w:color="auto"/>
        <w:right w:val="none" w:sz="0" w:space="0" w:color="auto"/>
      </w:divBdr>
    </w:div>
    <w:div w:id="1634293549">
      <w:marLeft w:val="0"/>
      <w:marRight w:val="0"/>
      <w:marTop w:val="180"/>
      <w:marBottom w:val="0"/>
      <w:divBdr>
        <w:top w:val="none" w:sz="0" w:space="0" w:color="auto"/>
        <w:left w:val="none" w:sz="0" w:space="0" w:color="auto"/>
        <w:bottom w:val="none" w:sz="0" w:space="0" w:color="auto"/>
        <w:right w:val="none" w:sz="0" w:space="0" w:color="auto"/>
      </w:divBdr>
    </w:div>
    <w:div w:id="1638101824">
      <w:marLeft w:val="0"/>
      <w:marRight w:val="0"/>
      <w:marTop w:val="0"/>
      <w:marBottom w:val="100"/>
      <w:divBdr>
        <w:top w:val="none" w:sz="0" w:space="0" w:color="auto"/>
        <w:left w:val="none" w:sz="0" w:space="0" w:color="auto"/>
        <w:bottom w:val="none" w:sz="0" w:space="0" w:color="auto"/>
        <w:right w:val="none" w:sz="0" w:space="0" w:color="auto"/>
      </w:divBdr>
    </w:div>
    <w:div w:id="1638680300">
      <w:marLeft w:val="0"/>
      <w:marRight w:val="0"/>
      <w:marTop w:val="0"/>
      <w:marBottom w:val="100"/>
      <w:divBdr>
        <w:top w:val="none" w:sz="0" w:space="0" w:color="auto"/>
        <w:left w:val="none" w:sz="0" w:space="0" w:color="auto"/>
        <w:bottom w:val="none" w:sz="0" w:space="0" w:color="auto"/>
        <w:right w:val="none" w:sz="0" w:space="0" w:color="auto"/>
      </w:divBdr>
    </w:div>
    <w:div w:id="1642156053">
      <w:marLeft w:val="0"/>
      <w:marRight w:val="0"/>
      <w:marTop w:val="0"/>
      <w:marBottom w:val="0"/>
      <w:divBdr>
        <w:top w:val="none" w:sz="0" w:space="0" w:color="auto"/>
        <w:left w:val="none" w:sz="0" w:space="0" w:color="auto"/>
        <w:bottom w:val="none" w:sz="0" w:space="0" w:color="auto"/>
        <w:right w:val="none" w:sz="0" w:space="0" w:color="auto"/>
      </w:divBdr>
    </w:div>
    <w:div w:id="1644120611">
      <w:marLeft w:val="0"/>
      <w:marRight w:val="0"/>
      <w:marTop w:val="0"/>
      <w:marBottom w:val="0"/>
      <w:divBdr>
        <w:top w:val="none" w:sz="0" w:space="0" w:color="auto"/>
        <w:left w:val="none" w:sz="0" w:space="0" w:color="auto"/>
        <w:bottom w:val="none" w:sz="0" w:space="0" w:color="auto"/>
        <w:right w:val="none" w:sz="0" w:space="0" w:color="auto"/>
      </w:divBdr>
      <w:divsChild>
        <w:div w:id="1349063367">
          <w:marLeft w:val="0"/>
          <w:marRight w:val="0"/>
          <w:marTop w:val="0"/>
          <w:marBottom w:val="100"/>
          <w:divBdr>
            <w:top w:val="none" w:sz="0" w:space="0" w:color="auto"/>
            <w:left w:val="none" w:sz="0" w:space="0" w:color="auto"/>
            <w:bottom w:val="none" w:sz="0" w:space="0" w:color="auto"/>
            <w:right w:val="none" w:sz="0" w:space="0" w:color="auto"/>
          </w:divBdr>
        </w:div>
      </w:divsChild>
    </w:div>
    <w:div w:id="1645741683">
      <w:marLeft w:val="0"/>
      <w:marRight w:val="0"/>
      <w:marTop w:val="0"/>
      <w:marBottom w:val="0"/>
      <w:divBdr>
        <w:top w:val="none" w:sz="0" w:space="0" w:color="auto"/>
        <w:left w:val="none" w:sz="0" w:space="0" w:color="auto"/>
        <w:bottom w:val="none" w:sz="0" w:space="0" w:color="auto"/>
        <w:right w:val="none" w:sz="0" w:space="0" w:color="auto"/>
      </w:divBdr>
    </w:div>
    <w:div w:id="1647011083">
      <w:marLeft w:val="0"/>
      <w:marRight w:val="0"/>
      <w:marTop w:val="0"/>
      <w:marBottom w:val="0"/>
      <w:divBdr>
        <w:top w:val="none" w:sz="0" w:space="0" w:color="auto"/>
        <w:left w:val="none" w:sz="0" w:space="0" w:color="auto"/>
        <w:bottom w:val="none" w:sz="0" w:space="0" w:color="auto"/>
        <w:right w:val="none" w:sz="0" w:space="0" w:color="auto"/>
      </w:divBdr>
      <w:divsChild>
        <w:div w:id="252665068">
          <w:marLeft w:val="0"/>
          <w:marRight w:val="0"/>
          <w:marTop w:val="0"/>
          <w:marBottom w:val="100"/>
          <w:divBdr>
            <w:top w:val="none" w:sz="0" w:space="0" w:color="auto"/>
            <w:left w:val="none" w:sz="0" w:space="0" w:color="auto"/>
            <w:bottom w:val="none" w:sz="0" w:space="0" w:color="auto"/>
            <w:right w:val="none" w:sz="0" w:space="0" w:color="auto"/>
          </w:divBdr>
        </w:div>
      </w:divsChild>
    </w:div>
    <w:div w:id="1651326236">
      <w:marLeft w:val="0"/>
      <w:marRight w:val="0"/>
      <w:marTop w:val="180"/>
      <w:marBottom w:val="0"/>
      <w:divBdr>
        <w:top w:val="none" w:sz="0" w:space="0" w:color="auto"/>
        <w:left w:val="none" w:sz="0" w:space="0" w:color="auto"/>
        <w:bottom w:val="none" w:sz="0" w:space="0" w:color="auto"/>
        <w:right w:val="none" w:sz="0" w:space="0" w:color="auto"/>
      </w:divBdr>
    </w:div>
    <w:div w:id="1652322503">
      <w:marLeft w:val="0"/>
      <w:marRight w:val="0"/>
      <w:marTop w:val="0"/>
      <w:marBottom w:val="0"/>
      <w:divBdr>
        <w:top w:val="none" w:sz="0" w:space="0" w:color="auto"/>
        <w:left w:val="none" w:sz="0" w:space="0" w:color="auto"/>
        <w:bottom w:val="none" w:sz="0" w:space="0" w:color="auto"/>
        <w:right w:val="none" w:sz="0" w:space="0" w:color="auto"/>
      </w:divBdr>
    </w:div>
    <w:div w:id="1652710950">
      <w:marLeft w:val="0"/>
      <w:marRight w:val="0"/>
      <w:marTop w:val="0"/>
      <w:marBottom w:val="100"/>
      <w:divBdr>
        <w:top w:val="none" w:sz="0" w:space="0" w:color="auto"/>
        <w:left w:val="none" w:sz="0" w:space="0" w:color="auto"/>
        <w:bottom w:val="none" w:sz="0" w:space="0" w:color="auto"/>
        <w:right w:val="none" w:sz="0" w:space="0" w:color="auto"/>
      </w:divBdr>
    </w:div>
    <w:div w:id="1652827310">
      <w:marLeft w:val="0"/>
      <w:marRight w:val="0"/>
      <w:marTop w:val="100"/>
      <w:marBottom w:val="100"/>
      <w:divBdr>
        <w:top w:val="none" w:sz="0" w:space="0" w:color="auto"/>
        <w:left w:val="none" w:sz="0" w:space="0" w:color="auto"/>
        <w:bottom w:val="none" w:sz="0" w:space="0" w:color="auto"/>
        <w:right w:val="none" w:sz="0" w:space="0" w:color="auto"/>
      </w:divBdr>
    </w:div>
    <w:div w:id="1654262574">
      <w:marLeft w:val="0"/>
      <w:marRight w:val="0"/>
      <w:marTop w:val="0"/>
      <w:marBottom w:val="0"/>
      <w:divBdr>
        <w:top w:val="none" w:sz="0" w:space="0" w:color="auto"/>
        <w:left w:val="none" w:sz="0" w:space="0" w:color="auto"/>
        <w:bottom w:val="none" w:sz="0" w:space="0" w:color="auto"/>
        <w:right w:val="none" w:sz="0" w:space="0" w:color="auto"/>
      </w:divBdr>
      <w:divsChild>
        <w:div w:id="792208152">
          <w:marLeft w:val="0"/>
          <w:marRight w:val="0"/>
          <w:marTop w:val="0"/>
          <w:marBottom w:val="100"/>
          <w:divBdr>
            <w:top w:val="none" w:sz="0" w:space="0" w:color="auto"/>
            <w:left w:val="none" w:sz="0" w:space="0" w:color="auto"/>
            <w:bottom w:val="none" w:sz="0" w:space="0" w:color="auto"/>
            <w:right w:val="none" w:sz="0" w:space="0" w:color="auto"/>
          </w:divBdr>
        </w:div>
      </w:divsChild>
    </w:div>
    <w:div w:id="1662149481">
      <w:marLeft w:val="0"/>
      <w:marRight w:val="0"/>
      <w:marTop w:val="0"/>
      <w:marBottom w:val="0"/>
      <w:divBdr>
        <w:top w:val="none" w:sz="0" w:space="0" w:color="auto"/>
        <w:left w:val="none" w:sz="0" w:space="0" w:color="auto"/>
        <w:bottom w:val="none" w:sz="0" w:space="0" w:color="auto"/>
        <w:right w:val="none" w:sz="0" w:space="0" w:color="auto"/>
      </w:divBdr>
      <w:divsChild>
        <w:div w:id="1418863010">
          <w:marLeft w:val="0"/>
          <w:marRight w:val="0"/>
          <w:marTop w:val="0"/>
          <w:marBottom w:val="100"/>
          <w:divBdr>
            <w:top w:val="none" w:sz="0" w:space="0" w:color="auto"/>
            <w:left w:val="none" w:sz="0" w:space="0" w:color="auto"/>
            <w:bottom w:val="none" w:sz="0" w:space="0" w:color="auto"/>
            <w:right w:val="none" w:sz="0" w:space="0" w:color="auto"/>
          </w:divBdr>
        </w:div>
      </w:divsChild>
    </w:div>
    <w:div w:id="1664968362">
      <w:marLeft w:val="0"/>
      <w:marRight w:val="0"/>
      <w:marTop w:val="0"/>
      <w:marBottom w:val="0"/>
      <w:divBdr>
        <w:top w:val="none" w:sz="0" w:space="0" w:color="auto"/>
        <w:left w:val="none" w:sz="0" w:space="0" w:color="auto"/>
        <w:bottom w:val="none" w:sz="0" w:space="0" w:color="auto"/>
        <w:right w:val="none" w:sz="0" w:space="0" w:color="auto"/>
      </w:divBdr>
    </w:div>
    <w:div w:id="1666130942">
      <w:marLeft w:val="0"/>
      <w:marRight w:val="0"/>
      <w:marTop w:val="0"/>
      <w:marBottom w:val="0"/>
      <w:divBdr>
        <w:top w:val="none" w:sz="0" w:space="0" w:color="auto"/>
        <w:left w:val="none" w:sz="0" w:space="0" w:color="auto"/>
        <w:bottom w:val="none" w:sz="0" w:space="0" w:color="auto"/>
        <w:right w:val="none" w:sz="0" w:space="0" w:color="auto"/>
      </w:divBdr>
    </w:div>
    <w:div w:id="1666469590">
      <w:marLeft w:val="0"/>
      <w:marRight w:val="0"/>
      <w:marTop w:val="0"/>
      <w:marBottom w:val="0"/>
      <w:divBdr>
        <w:top w:val="none" w:sz="0" w:space="0" w:color="auto"/>
        <w:left w:val="none" w:sz="0" w:space="0" w:color="auto"/>
        <w:bottom w:val="none" w:sz="0" w:space="0" w:color="auto"/>
        <w:right w:val="none" w:sz="0" w:space="0" w:color="auto"/>
      </w:divBdr>
    </w:div>
    <w:div w:id="1667243218">
      <w:marLeft w:val="0"/>
      <w:marRight w:val="0"/>
      <w:marTop w:val="100"/>
      <w:marBottom w:val="100"/>
      <w:divBdr>
        <w:top w:val="none" w:sz="0" w:space="0" w:color="auto"/>
        <w:left w:val="none" w:sz="0" w:space="0" w:color="auto"/>
        <w:bottom w:val="none" w:sz="0" w:space="0" w:color="auto"/>
        <w:right w:val="none" w:sz="0" w:space="0" w:color="auto"/>
      </w:divBdr>
    </w:div>
    <w:div w:id="1667435852">
      <w:marLeft w:val="0"/>
      <w:marRight w:val="0"/>
      <w:marTop w:val="100"/>
      <w:marBottom w:val="0"/>
      <w:divBdr>
        <w:top w:val="none" w:sz="0" w:space="0" w:color="auto"/>
        <w:left w:val="none" w:sz="0" w:space="0" w:color="auto"/>
        <w:bottom w:val="none" w:sz="0" w:space="0" w:color="auto"/>
        <w:right w:val="none" w:sz="0" w:space="0" w:color="auto"/>
      </w:divBdr>
      <w:divsChild>
        <w:div w:id="472023005">
          <w:marLeft w:val="0"/>
          <w:marRight w:val="0"/>
          <w:marTop w:val="0"/>
          <w:marBottom w:val="0"/>
          <w:divBdr>
            <w:top w:val="none" w:sz="0" w:space="0" w:color="auto"/>
            <w:left w:val="none" w:sz="0" w:space="0" w:color="auto"/>
            <w:bottom w:val="none" w:sz="0" w:space="0" w:color="auto"/>
            <w:right w:val="none" w:sz="0" w:space="0" w:color="auto"/>
          </w:divBdr>
        </w:div>
      </w:divsChild>
    </w:div>
    <w:div w:id="1667589443">
      <w:marLeft w:val="0"/>
      <w:marRight w:val="0"/>
      <w:marTop w:val="0"/>
      <w:marBottom w:val="0"/>
      <w:divBdr>
        <w:top w:val="none" w:sz="0" w:space="0" w:color="auto"/>
        <w:left w:val="none" w:sz="0" w:space="0" w:color="auto"/>
        <w:bottom w:val="none" w:sz="0" w:space="0" w:color="auto"/>
        <w:right w:val="none" w:sz="0" w:space="0" w:color="auto"/>
      </w:divBdr>
    </w:div>
    <w:div w:id="1670792742">
      <w:marLeft w:val="0"/>
      <w:marRight w:val="0"/>
      <w:marTop w:val="0"/>
      <w:marBottom w:val="0"/>
      <w:divBdr>
        <w:top w:val="none" w:sz="0" w:space="0" w:color="auto"/>
        <w:left w:val="none" w:sz="0" w:space="0" w:color="auto"/>
        <w:bottom w:val="none" w:sz="0" w:space="0" w:color="auto"/>
        <w:right w:val="none" w:sz="0" w:space="0" w:color="auto"/>
      </w:divBdr>
      <w:divsChild>
        <w:div w:id="321154372">
          <w:marLeft w:val="0"/>
          <w:marRight w:val="0"/>
          <w:marTop w:val="0"/>
          <w:marBottom w:val="100"/>
          <w:divBdr>
            <w:top w:val="none" w:sz="0" w:space="0" w:color="auto"/>
            <w:left w:val="none" w:sz="0" w:space="0" w:color="auto"/>
            <w:bottom w:val="none" w:sz="0" w:space="0" w:color="auto"/>
            <w:right w:val="none" w:sz="0" w:space="0" w:color="auto"/>
          </w:divBdr>
        </w:div>
      </w:divsChild>
    </w:div>
    <w:div w:id="1674841532">
      <w:marLeft w:val="0"/>
      <w:marRight w:val="0"/>
      <w:marTop w:val="80"/>
      <w:marBottom w:val="100"/>
      <w:divBdr>
        <w:top w:val="none" w:sz="0" w:space="0" w:color="auto"/>
        <w:left w:val="none" w:sz="0" w:space="0" w:color="auto"/>
        <w:bottom w:val="none" w:sz="0" w:space="0" w:color="auto"/>
        <w:right w:val="none" w:sz="0" w:space="0" w:color="auto"/>
      </w:divBdr>
    </w:div>
    <w:div w:id="1675378879">
      <w:marLeft w:val="0"/>
      <w:marRight w:val="0"/>
      <w:marTop w:val="0"/>
      <w:marBottom w:val="100"/>
      <w:divBdr>
        <w:top w:val="none" w:sz="0" w:space="0" w:color="auto"/>
        <w:left w:val="none" w:sz="0" w:space="0" w:color="auto"/>
        <w:bottom w:val="none" w:sz="0" w:space="0" w:color="auto"/>
        <w:right w:val="none" w:sz="0" w:space="0" w:color="auto"/>
      </w:divBdr>
    </w:div>
    <w:div w:id="1676687417">
      <w:marLeft w:val="0"/>
      <w:marRight w:val="0"/>
      <w:marTop w:val="100"/>
      <w:marBottom w:val="100"/>
      <w:divBdr>
        <w:top w:val="none" w:sz="0" w:space="0" w:color="auto"/>
        <w:left w:val="none" w:sz="0" w:space="0" w:color="auto"/>
        <w:bottom w:val="none" w:sz="0" w:space="0" w:color="auto"/>
        <w:right w:val="none" w:sz="0" w:space="0" w:color="auto"/>
      </w:divBdr>
    </w:div>
    <w:div w:id="1677221906">
      <w:marLeft w:val="0"/>
      <w:marRight w:val="0"/>
      <w:marTop w:val="180"/>
      <w:marBottom w:val="0"/>
      <w:divBdr>
        <w:top w:val="none" w:sz="0" w:space="0" w:color="auto"/>
        <w:left w:val="none" w:sz="0" w:space="0" w:color="auto"/>
        <w:bottom w:val="none" w:sz="0" w:space="0" w:color="auto"/>
        <w:right w:val="none" w:sz="0" w:space="0" w:color="auto"/>
      </w:divBdr>
      <w:divsChild>
        <w:div w:id="390081628">
          <w:marLeft w:val="0"/>
          <w:marRight w:val="0"/>
          <w:marTop w:val="0"/>
          <w:marBottom w:val="0"/>
          <w:divBdr>
            <w:top w:val="none" w:sz="0" w:space="0" w:color="auto"/>
            <w:left w:val="none" w:sz="0" w:space="0" w:color="auto"/>
            <w:bottom w:val="none" w:sz="0" w:space="0" w:color="auto"/>
            <w:right w:val="none" w:sz="0" w:space="0" w:color="auto"/>
          </w:divBdr>
        </w:div>
        <w:div w:id="1325623262">
          <w:marLeft w:val="0"/>
          <w:marRight w:val="0"/>
          <w:marTop w:val="0"/>
          <w:marBottom w:val="0"/>
          <w:divBdr>
            <w:top w:val="none" w:sz="0" w:space="0" w:color="auto"/>
            <w:left w:val="none" w:sz="0" w:space="0" w:color="auto"/>
            <w:bottom w:val="none" w:sz="0" w:space="0" w:color="auto"/>
            <w:right w:val="none" w:sz="0" w:space="0" w:color="auto"/>
          </w:divBdr>
        </w:div>
      </w:divsChild>
    </w:div>
    <w:div w:id="1677532937">
      <w:marLeft w:val="0"/>
      <w:marRight w:val="0"/>
      <w:marTop w:val="0"/>
      <w:marBottom w:val="0"/>
      <w:divBdr>
        <w:top w:val="none" w:sz="0" w:space="0" w:color="auto"/>
        <w:left w:val="none" w:sz="0" w:space="0" w:color="auto"/>
        <w:bottom w:val="none" w:sz="0" w:space="0" w:color="auto"/>
        <w:right w:val="none" w:sz="0" w:space="0" w:color="auto"/>
      </w:divBdr>
    </w:div>
    <w:div w:id="1683362443">
      <w:marLeft w:val="0"/>
      <w:marRight w:val="0"/>
      <w:marTop w:val="0"/>
      <w:marBottom w:val="100"/>
      <w:divBdr>
        <w:top w:val="none" w:sz="0" w:space="0" w:color="auto"/>
        <w:left w:val="none" w:sz="0" w:space="0" w:color="auto"/>
        <w:bottom w:val="none" w:sz="0" w:space="0" w:color="auto"/>
        <w:right w:val="none" w:sz="0" w:space="0" w:color="auto"/>
      </w:divBdr>
    </w:div>
    <w:div w:id="1686665960">
      <w:marLeft w:val="0"/>
      <w:marRight w:val="0"/>
      <w:marTop w:val="100"/>
      <w:marBottom w:val="100"/>
      <w:divBdr>
        <w:top w:val="none" w:sz="0" w:space="0" w:color="auto"/>
        <w:left w:val="none" w:sz="0" w:space="0" w:color="auto"/>
        <w:bottom w:val="none" w:sz="0" w:space="0" w:color="auto"/>
        <w:right w:val="none" w:sz="0" w:space="0" w:color="auto"/>
      </w:divBdr>
    </w:div>
    <w:div w:id="1689597649">
      <w:marLeft w:val="0"/>
      <w:marRight w:val="0"/>
      <w:marTop w:val="100"/>
      <w:marBottom w:val="100"/>
      <w:divBdr>
        <w:top w:val="none" w:sz="0" w:space="0" w:color="auto"/>
        <w:left w:val="none" w:sz="0" w:space="0" w:color="auto"/>
        <w:bottom w:val="none" w:sz="0" w:space="0" w:color="auto"/>
        <w:right w:val="none" w:sz="0" w:space="0" w:color="auto"/>
      </w:divBdr>
    </w:div>
    <w:div w:id="1691102408">
      <w:marLeft w:val="0"/>
      <w:marRight w:val="0"/>
      <w:marTop w:val="180"/>
      <w:marBottom w:val="0"/>
      <w:divBdr>
        <w:top w:val="none" w:sz="0" w:space="0" w:color="auto"/>
        <w:left w:val="none" w:sz="0" w:space="0" w:color="auto"/>
        <w:bottom w:val="none" w:sz="0" w:space="0" w:color="auto"/>
        <w:right w:val="none" w:sz="0" w:space="0" w:color="auto"/>
      </w:divBdr>
      <w:divsChild>
        <w:div w:id="860364479">
          <w:marLeft w:val="0"/>
          <w:marRight w:val="0"/>
          <w:marTop w:val="0"/>
          <w:marBottom w:val="0"/>
          <w:divBdr>
            <w:top w:val="none" w:sz="0" w:space="0" w:color="auto"/>
            <w:left w:val="none" w:sz="0" w:space="0" w:color="auto"/>
            <w:bottom w:val="none" w:sz="0" w:space="0" w:color="auto"/>
            <w:right w:val="none" w:sz="0" w:space="0" w:color="auto"/>
          </w:divBdr>
        </w:div>
        <w:div w:id="143393563">
          <w:marLeft w:val="0"/>
          <w:marRight w:val="0"/>
          <w:marTop w:val="0"/>
          <w:marBottom w:val="0"/>
          <w:divBdr>
            <w:top w:val="none" w:sz="0" w:space="0" w:color="auto"/>
            <w:left w:val="none" w:sz="0" w:space="0" w:color="auto"/>
            <w:bottom w:val="none" w:sz="0" w:space="0" w:color="auto"/>
            <w:right w:val="none" w:sz="0" w:space="0" w:color="auto"/>
          </w:divBdr>
        </w:div>
        <w:div w:id="437067138">
          <w:marLeft w:val="0"/>
          <w:marRight w:val="0"/>
          <w:marTop w:val="0"/>
          <w:marBottom w:val="0"/>
          <w:divBdr>
            <w:top w:val="none" w:sz="0" w:space="0" w:color="auto"/>
            <w:left w:val="none" w:sz="0" w:space="0" w:color="auto"/>
            <w:bottom w:val="none" w:sz="0" w:space="0" w:color="auto"/>
            <w:right w:val="none" w:sz="0" w:space="0" w:color="auto"/>
          </w:divBdr>
        </w:div>
      </w:divsChild>
    </w:div>
    <w:div w:id="1692027313">
      <w:marLeft w:val="0"/>
      <w:marRight w:val="0"/>
      <w:marTop w:val="180"/>
      <w:marBottom w:val="0"/>
      <w:divBdr>
        <w:top w:val="none" w:sz="0" w:space="0" w:color="auto"/>
        <w:left w:val="none" w:sz="0" w:space="0" w:color="auto"/>
        <w:bottom w:val="none" w:sz="0" w:space="0" w:color="auto"/>
        <w:right w:val="none" w:sz="0" w:space="0" w:color="auto"/>
      </w:divBdr>
    </w:div>
    <w:div w:id="1695306829">
      <w:marLeft w:val="0"/>
      <w:marRight w:val="0"/>
      <w:marTop w:val="0"/>
      <w:marBottom w:val="0"/>
      <w:divBdr>
        <w:top w:val="none" w:sz="0" w:space="0" w:color="auto"/>
        <w:left w:val="none" w:sz="0" w:space="0" w:color="auto"/>
        <w:bottom w:val="none" w:sz="0" w:space="0" w:color="auto"/>
        <w:right w:val="none" w:sz="0" w:space="0" w:color="auto"/>
      </w:divBdr>
    </w:div>
    <w:div w:id="1695575863">
      <w:marLeft w:val="0"/>
      <w:marRight w:val="0"/>
      <w:marTop w:val="100"/>
      <w:marBottom w:val="100"/>
      <w:divBdr>
        <w:top w:val="none" w:sz="0" w:space="0" w:color="auto"/>
        <w:left w:val="none" w:sz="0" w:space="0" w:color="auto"/>
        <w:bottom w:val="none" w:sz="0" w:space="0" w:color="auto"/>
        <w:right w:val="none" w:sz="0" w:space="0" w:color="auto"/>
      </w:divBdr>
    </w:div>
    <w:div w:id="1696420191">
      <w:marLeft w:val="0"/>
      <w:marRight w:val="0"/>
      <w:marTop w:val="80"/>
      <w:marBottom w:val="100"/>
      <w:divBdr>
        <w:top w:val="none" w:sz="0" w:space="0" w:color="auto"/>
        <w:left w:val="none" w:sz="0" w:space="0" w:color="auto"/>
        <w:bottom w:val="none" w:sz="0" w:space="0" w:color="auto"/>
        <w:right w:val="none" w:sz="0" w:space="0" w:color="auto"/>
      </w:divBdr>
    </w:div>
    <w:div w:id="1697078622">
      <w:marLeft w:val="0"/>
      <w:marRight w:val="0"/>
      <w:marTop w:val="0"/>
      <w:marBottom w:val="0"/>
      <w:divBdr>
        <w:top w:val="none" w:sz="0" w:space="0" w:color="auto"/>
        <w:left w:val="none" w:sz="0" w:space="0" w:color="auto"/>
        <w:bottom w:val="none" w:sz="0" w:space="0" w:color="auto"/>
        <w:right w:val="none" w:sz="0" w:space="0" w:color="auto"/>
      </w:divBdr>
    </w:div>
    <w:div w:id="1698238259">
      <w:marLeft w:val="0"/>
      <w:marRight w:val="0"/>
      <w:marTop w:val="0"/>
      <w:marBottom w:val="100"/>
      <w:divBdr>
        <w:top w:val="none" w:sz="0" w:space="0" w:color="auto"/>
        <w:left w:val="none" w:sz="0" w:space="0" w:color="auto"/>
        <w:bottom w:val="none" w:sz="0" w:space="0" w:color="auto"/>
        <w:right w:val="none" w:sz="0" w:space="0" w:color="auto"/>
      </w:divBdr>
    </w:div>
    <w:div w:id="1699045693">
      <w:marLeft w:val="0"/>
      <w:marRight w:val="0"/>
      <w:marTop w:val="100"/>
      <w:marBottom w:val="100"/>
      <w:divBdr>
        <w:top w:val="none" w:sz="0" w:space="0" w:color="auto"/>
        <w:left w:val="none" w:sz="0" w:space="0" w:color="auto"/>
        <w:bottom w:val="none" w:sz="0" w:space="0" w:color="auto"/>
        <w:right w:val="none" w:sz="0" w:space="0" w:color="auto"/>
      </w:divBdr>
      <w:divsChild>
        <w:div w:id="42679780">
          <w:marLeft w:val="0"/>
          <w:marRight w:val="0"/>
          <w:marTop w:val="0"/>
          <w:marBottom w:val="0"/>
          <w:divBdr>
            <w:top w:val="none" w:sz="0" w:space="0" w:color="auto"/>
            <w:left w:val="none" w:sz="0" w:space="0" w:color="auto"/>
            <w:bottom w:val="none" w:sz="0" w:space="0" w:color="auto"/>
            <w:right w:val="none" w:sz="0" w:space="0" w:color="auto"/>
          </w:divBdr>
        </w:div>
        <w:div w:id="1966040148">
          <w:marLeft w:val="0"/>
          <w:marRight w:val="0"/>
          <w:marTop w:val="0"/>
          <w:marBottom w:val="0"/>
          <w:divBdr>
            <w:top w:val="none" w:sz="0" w:space="0" w:color="auto"/>
            <w:left w:val="none" w:sz="0" w:space="0" w:color="auto"/>
            <w:bottom w:val="none" w:sz="0" w:space="0" w:color="auto"/>
            <w:right w:val="none" w:sz="0" w:space="0" w:color="auto"/>
          </w:divBdr>
        </w:div>
        <w:div w:id="136992516">
          <w:marLeft w:val="0"/>
          <w:marRight w:val="0"/>
          <w:marTop w:val="0"/>
          <w:marBottom w:val="0"/>
          <w:divBdr>
            <w:top w:val="none" w:sz="0" w:space="0" w:color="auto"/>
            <w:left w:val="none" w:sz="0" w:space="0" w:color="auto"/>
            <w:bottom w:val="none" w:sz="0" w:space="0" w:color="auto"/>
            <w:right w:val="none" w:sz="0" w:space="0" w:color="auto"/>
          </w:divBdr>
        </w:div>
        <w:div w:id="1291545484">
          <w:marLeft w:val="0"/>
          <w:marRight w:val="0"/>
          <w:marTop w:val="0"/>
          <w:marBottom w:val="0"/>
          <w:divBdr>
            <w:top w:val="none" w:sz="0" w:space="0" w:color="auto"/>
            <w:left w:val="none" w:sz="0" w:space="0" w:color="auto"/>
            <w:bottom w:val="none" w:sz="0" w:space="0" w:color="auto"/>
            <w:right w:val="none" w:sz="0" w:space="0" w:color="auto"/>
          </w:divBdr>
        </w:div>
        <w:div w:id="333262326">
          <w:marLeft w:val="0"/>
          <w:marRight w:val="0"/>
          <w:marTop w:val="0"/>
          <w:marBottom w:val="0"/>
          <w:divBdr>
            <w:top w:val="none" w:sz="0" w:space="0" w:color="auto"/>
            <w:left w:val="none" w:sz="0" w:space="0" w:color="auto"/>
            <w:bottom w:val="none" w:sz="0" w:space="0" w:color="auto"/>
            <w:right w:val="none" w:sz="0" w:space="0" w:color="auto"/>
          </w:divBdr>
        </w:div>
        <w:div w:id="1503162312">
          <w:marLeft w:val="0"/>
          <w:marRight w:val="0"/>
          <w:marTop w:val="0"/>
          <w:marBottom w:val="0"/>
          <w:divBdr>
            <w:top w:val="none" w:sz="0" w:space="0" w:color="auto"/>
            <w:left w:val="none" w:sz="0" w:space="0" w:color="auto"/>
            <w:bottom w:val="none" w:sz="0" w:space="0" w:color="auto"/>
            <w:right w:val="none" w:sz="0" w:space="0" w:color="auto"/>
          </w:divBdr>
        </w:div>
        <w:div w:id="17856723">
          <w:marLeft w:val="0"/>
          <w:marRight w:val="0"/>
          <w:marTop w:val="0"/>
          <w:marBottom w:val="0"/>
          <w:divBdr>
            <w:top w:val="none" w:sz="0" w:space="0" w:color="auto"/>
            <w:left w:val="none" w:sz="0" w:space="0" w:color="auto"/>
            <w:bottom w:val="none" w:sz="0" w:space="0" w:color="auto"/>
            <w:right w:val="none" w:sz="0" w:space="0" w:color="auto"/>
          </w:divBdr>
        </w:div>
        <w:div w:id="1360737105">
          <w:marLeft w:val="0"/>
          <w:marRight w:val="0"/>
          <w:marTop w:val="0"/>
          <w:marBottom w:val="0"/>
          <w:divBdr>
            <w:top w:val="none" w:sz="0" w:space="0" w:color="auto"/>
            <w:left w:val="none" w:sz="0" w:space="0" w:color="auto"/>
            <w:bottom w:val="none" w:sz="0" w:space="0" w:color="auto"/>
            <w:right w:val="none" w:sz="0" w:space="0" w:color="auto"/>
          </w:divBdr>
        </w:div>
        <w:div w:id="1130200904">
          <w:marLeft w:val="0"/>
          <w:marRight w:val="0"/>
          <w:marTop w:val="0"/>
          <w:marBottom w:val="0"/>
          <w:divBdr>
            <w:top w:val="none" w:sz="0" w:space="0" w:color="auto"/>
            <w:left w:val="none" w:sz="0" w:space="0" w:color="auto"/>
            <w:bottom w:val="none" w:sz="0" w:space="0" w:color="auto"/>
            <w:right w:val="none" w:sz="0" w:space="0" w:color="auto"/>
          </w:divBdr>
        </w:div>
        <w:div w:id="251285105">
          <w:marLeft w:val="0"/>
          <w:marRight w:val="0"/>
          <w:marTop w:val="0"/>
          <w:marBottom w:val="0"/>
          <w:divBdr>
            <w:top w:val="none" w:sz="0" w:space="0" w:color="auto"/>
            <w:left w:val="none" w:sz="0" w:space="0" w:color="auto"/>
            <w:bottom w:val="none" w:sz="0" w:space="0" w:color="auto"/>
            <w:right w:val="none" w:sz="0" w:space="0" w:color="auto"/>
          </w:divBdr>
        </w:div>
        <w:div w:id="2000109067">
          <w:marLeft w:val="0"/>
          <w:marRight w:val="0"/>
          <w:marTop w:val="0"/>
          <w:marBottom w:val="0"/>
          <w:divBdr>
            <w:top w:val="none" w:sz="0" w:space="0" w:color="auto"/>
            <w:left w:val="none" w:sz="0" w:space="0" w:color="auto"/>
            <w:bottom w:val="none" w:sz="0" w:space="0" w:color="auto"/>
            <w:right w:val="none" w:sz="0" w:space="0" w:color="auto"/>
          </w:divBdr>
        </w:div>
        <w:div w:id="956062142">
          <w:marLeft w:val="0"/>
          <w:marRight w:val="0"/>
          <w:marTop w:val="0"/>
          <w:marBottom w:val="0"/>
          <w:divBdr>
            <w:top w:val="none" w:sz="0" w:space="0" w:color="auto"/>
            <w:left w:val="none" w:sz="0" w:space="0" w:color="auto"/>
            <w:bottom w:val="none" w:sz="0" w:space="0" w:color="auto"/>
            <w:right w:val="none" w:sz="0" w:space="0" w:color="auto"/>
          </w:divBdr>
        </w:div>
        <w:div w:id="1675836064">
          <w:marLeft w:val="0"/>
          <w:marRight w:val="0"/>
          <w:marTop w:val="0"/>
          <w:marBottom w:val="0"/>
          <w:divBdr>
            <w:top w:val="none" w:sz="0" w:space="0" w:color="auto"/>
            <w:left w:val="none" w:sz="0" w:space="0" w:color="auto"/>
            <w:bottom w:val="none" w:sz="0" w:space="0" w:color="auto"/>
            <w:right w:val="none" w:sz="0" w:space="0" w:color="auto"/>
          </w:divBdr>
        </w:div>
        <w:div w:id="728039701">
          <w:marLeft w:val="0"/>
          <w:marRight w:val="0"/>
          <w:marTop w:val="0"/>
          <w:marBottom w:val="0"/>
          <w:divBdr>
            <w:top w:val="none" w:sz="0" w:space="0" w:color="auto"/>
            <w:left w:val="none" w:sz="0" w:space="0" w:color="auto"/>
            <w:bottom w:val="none" w:sz="0" w:space="0" w:color="auto"/>
            <w:right w:val="none" w:sz="0" w:space="0" w:color="auto"/>
          </w:divBdr>
        </w:div>
        <w:div w:id="274602553">
          <w:marLeft w:val="0"/>
          <w:marRight w:val="0"/>
          <w:marTop w:val="0"/>
          <w:marBottom w:val="0"/>
          <w:divBdr>
            <w:top w:val="none" w:sz="0" w:space="0" w:color="auto"/>
            <w:left w:val="none" w:sz="0" w:space="0" w:color="auto"/>
            <w:bottom w:val="none" w:sz="0" w:space="0" w:color="auto"/>
            <w:right w:val="none" w:sz="0" w:space="0" w:color="auto"/>
          </w:divBdr>
        </w:div>
        <w:div w:id="513808349">
          <w:marLeft w:val="0"/>
          <w:marRight w:val="0"/>
          <w:marTop w:val="0"/>
          <w:marBottom w:val="0"/>
          <w:divBdr>
            <w:top w:val="none" w:sz="0" w:space="0" w:color="auto"/>
            <w:left w:val="none" w:sz="0" w:space="0" w:color="auto"/>
            <w:bottom w:val="none" w:sz="0" w:space="0" w:color="auto"/>
            <w:right w:val="none" w:sz="0" w:space="0" w:color="auto"/>
          </w:divBdr>
        </w:div>
        <w:div w:id="74057454">
          <w:marLeft w:val="0"/>
          <w:marRight w:val="0"/>
          <w:marTop w:val="0"/>
          <w:marBottom w:val="0"/>
          <w:divBdr>
            <w:top w:val="none" w:sz="0" w:space="0" w:color="auto"/>
            <w:left w:val="none" w:sz="0" w:space="0" w:color="auto"/>
            <w:bottom w:val="none" w:sz="0" w:space="0" w:color="auto"/>
            <w:right w:val="none" w:sz="0" w:space="0" w:color="auto"/>
          </w:divBdr>
        </w:div>
        <w:div w:id="1693845321">
          <w:marLeft w:val="0"/>
          <w:marRight w:val="0"/>
          <w:marTop w:val="0"/>
          <w:marBottom w:val="0"/>
          <w:divBdr>
            <w:top w:val="none" w:sz="0" w:space="0" w:color="auto"/>
            <w:left w:val="none" w:sz="0" w:space="0" w:color="auto"/>
            <w:bottom w:val="none" w:sz="0" w:space="0" w:color="auto"/>
            <w:right w:val="none" w:sz="0" w:space="0" w:color="auto"/>
          </w:divBdr>
        </w:div>
        <w:div w:id="2113892514">
          <w:marLeft w:val="0"/>
          <w:marRight w:val="0"/>
          <w:marTop w:val="0"/>
          <w:marBottom w:val="0"/>
          <w:divBdr>
            <w:top w:val="none" w:sz="0" w:space="0" w:color="auto"/>
            <w:left w:val="none" w:sz="0" w:space="0" w:color="auto"/>
            <w:bottom w:val="none" w:sz="0" w:space="0" w:color="auto"/>
            <w:right w:val="none" w:sz="0" w:space="0" w:color="auto"/>
          </w:divBdr>
        </w:div>
        <w:div w:id="491683524">
          <w:marLeft w:val="0"/>
          <w:marRight w:val="0"/>
          <w:marTop w:val="0"/>
          <w:marBottom w:val="0"/>
          <w:divBdr>
            <w:top w:val="none" w:sz="0" w:space="0" w:color="auto"/>
            <w:left w:val="none" w:sz="0" w:space="0" w:color="auto"/>
            <w:bottom w:val="none" w:sz="0" w:space="0" w:color="auto"/>
            <w:right w:val="none" w:sz="0" w:space="0" w:color="auto"/>
          </w:divBdr>
        </w:div>
        <w:div w:id="1094788456">
          <w:marLeft w:val="0"/>
          <w:marRight w:val="0"/>
          <w:marTop w:val="0"/>
          <w:marBottom w:val="0"/>
          <w:divBdr>
            <w:top w:val="none" w:sz="0" w:space="0" w:color="auto"/>
            <w:left w:val="none" w:sz="0" w:space="0" w:color="auto"/>
            <w:bottom w:val="none" w:sz="0" w:space="0" w:color="auto"/>
            <w:right w:val="none" w:sz="0" w:space="0" w:color="auto"/>
          </w:divBdr>
        </w:div>
        <w:div w:id="719281856">
          <w:marLeft w:val="0"/>
          <w:marRight w:val="0"/>
          <w:marTop w:val="0"/>
          <w:marBottom w:val="0"/>
          <w:divBdr>
            <w:top w:val="none" w:sz="0" w:space="0" w:color="auto"/>
            <w:left w:val="none" w:sz="0" w:space="0" w:color="auto"/>
            <w:bottom w:val="none" w:sz="0" w:space="0" w:color="auto"/>
            <w:right w:val="none" w:sz="0" w:space="0" w:color="auto"/>
          </w:divBdr>
        </w:div>
        <w:div w:id="2109619682">
          <w:marLeft w:val="0"/>
          <w:marRight w:val="0"/>
          <w:marTop w:val="0"/>
          <w:marBottom w:val="0"/>
          <w:divBdr>
            <w:top w:val="none" w:sz="0" w:space="0" w:color="auto"/>
            <w:left w:val="none" w:sz="0" w:space="0" w:color="auto"/>
            <w:bottom w:val="none" w:sz="0" w:space="0" w:color="auto"/>
            <w:right w:val="none" w:sz="0" w:space="0" w:color="auto"/>
          </w:divBdr>
        </w:div>
      </w:divsChild>
    </w:div>
    <w:div w:id="1699505750">
      <w:marLeft w:val="0"/>
      <w:marRight w:val="0"/>
      <w:marTop w:val="0"/>
      <w:marBottom w:val="0"/>
      <w:divBdr>
        <w:top w:val="none" w:sz="0" w:space="0" w:color="auto"/>
        <w:left w:val="none" w:sz="0" w:space="0" w:color="auto"/>
        <w:bottom w:val="none" w:sz="0" w:space="0" w:color="auto"/>
        <w:right w:val="none" w:sz="0" w:space="0" w:color="auto"/>
      </w:divBdr>
    </w:div>
    <w:div w:id="1702434386">
      <w:marLeft w:val="0"/>
      <w:marRight w:val="0"/>
      <w:marTop w:val="100"/>
      <w:marBottom w:val="100"/>
      <w:divBdr>
        <w:top w:val="none" w:sz="0" w:space="0" w:color="auto"/>
        <w:left w:val="none" w:sz="0" w:space="0" w:color="auto"/>
        <w:bottom w:val="none" w:sz="0" w:space="0" w:color="auto"/>
        <w:right w:val="none" w:sz="0" w:space="0" w:color="auto"/>
      </w:divBdr>
    </w:div>
    <w:div w:id="1702780965">
      <w:marLeft w:val="0"/>
      <w:marRight w:val="0"/>
      <w:marTop w:val="100"/>
      <w:marBottom w:val="100"/>
      <w:divBdr>
        <w:top w:val="none" w:sz="0" w:space="0" w:color="auto"/>
        <w:left w:val="none" w:sz="0" w:space="0" w:color="auto"/>
        <w:bottom w:val="none" w:sz="0" w:space="0" w:color="auto"/>
        <w:right w:val="none" w:sz="0" w:space="0" w:color="auto"/>
      </w:divBdr>
    </w:div>
    <w:div w:id="1703552836">
      <w:marLeft w:val="0"/>
      <w:marRight w:val="0"/>
      <w:marTop w:val="0"/>
      <w:marBottom w:val="0"/>
      <w:divBdr>
        <w:top w:val="none" w:sz="0" w:space="0" w:color="auto"/>
        <w:left w:val="none" w:sz="0" w:space="0" w:color="auto"/>
        <w:bottom w:val="none" w:sz="0" w:space="0" w:color="auto"/>
        <w:right w:val="none" w:sz="0" w:space="0" w:color="auto"/>
      </w:divBdr>
      <w:divsChild>
        <w:div w:id="619845990">
          <w:marLeft w:val="0"/>
          <w:marRight w:val="0"/>
          <w:marTop w:val="0"/>
          <w:marBottom w:val="100"/>
          <w:divBdr>
            <w:top w:val="none" w:sz="0" w:space="0" w:color="auto"/>
            <w:left w:val="none" w:sz="0" w:space="0" w:color="auto"/>
            <w:bottom w:val="none" w:sz="0" w:space="0" w:color="auto"/>
            <w:right w:val="none" w:sz="0" w:space="0" w:color="auto"/>
          </w:divBdr>
        </w:div>
      </w:divsChild>
    </w:div>
    <w:div w:id="1704818464">
      <w:marLeft w:val="0"/>
      <w:marRight w:val="0"/>
      <w:marTop w:val="100"/>
      <w:marBottom w:val="100"/>
      <w:divBdr>
        <w:top w:val="none" w:sz="0" w:space="0" w:color="auto"/>
        <w:left w:val="none" w:sz="0" w:space="0" w:color="auto"/>
        <w:bottom w:val="none" w:sz="0" w:space="0" w:color="auto"/>
        <w:right w:val="none" w:sz="0" w:space="0" w:color="auto"/>
      </w:divBdr>
    </w:div>
    <w:div w:id="1705326000">
      <w:marLeft w:val="0"/>
      <w:marRight w:val="0"/>
      <w:marTop w:val="0"/>
      <w:marBottom w:val="0"/>
      <w:divBdr>
        <w:top w:val="none" w:sz="0" w:space="0" w:color="auto"/>
        <w:left w:val="none" w:sz="0" w:space="0" w:color="auto"/>
        <w:bottom w:val="none" w:sz="0" w:space="0" w:color="auto"/>
        <w:right w:val="none" w:sz="0" w:space="0" w:color="auto"/>
      </w:divBdr>
      <w:divsChild>
        <w:div w:id="216405746">
          <w:marLeft w:val="0"/>
          <w:marRight w:val="0"/>
          <w:marTop w:val="0"/>
          <w:marBottom w:val="0"/>
          <w:divBdr>
            <w:top w:val="none" w:sz="0" w:space="0" w:color="auto"/>
            <w:left w:val="none" w:sz="0" w:space="0" w:color="auto"/>
            <w:bottom w:val="none" w:sz="0" w:space="0" w:color="auto"/>
            <w:right w:val="none" w:sz="0" w:space="0" w:color="auto"/>
          </w:divBdr>
        </w:div>
      </w:divsChild>
    </w:div>
    <w:div w:id="1706445497">
      <w:marLeft w:val="0"/>
      <w:marRight w:val="0"/>
      <w:marTop w:val="0"/>
      <w:marBottom w:val="0"/>
      <w:divBdr>
        <w:top w:val="none" w:sz="0" w:space="0" w:color="auto"/>
        <w:left w:val="none" w:sz="0" w:space="0" w:color="auto"/>
        <w:bottom w:val="none" w:sz="0" w:space="0" w:color="auto"/>
        <w:right w:val="none" w:sz="0" w:space="0" w:color="auto"/>
      </w:divBdr>
      <w:divsChild>
        <w:div w:id="289091086">
          <w:marLeft w:val="0"/>
          <w:marRight w:val="0"/>
          <w:marTop w:val="0"/>
          <w:marBottom w:val="100"/>
          <w:divBdr>
            <w:top w:val="none" w:sz="0" w:space="0" w:color="auto"/>
            <w:left w:val="none" w:sz="0" w:space="0" w:color="auto"/>
            <w:bottom w:val="none" w:sz="0" w:space="0" w:color="auto"/>
            <w:right w:val="none" w:sz="0" w:space="0" w:color="auto"/>
          </w:divBdr>
        </w:div>
      </w:divsChild>
    </w:div>
    <w:div w:id="1706523160">
      <w:marLeft w:val="0"/>
      <w:marRight w:val="0"/>
      <w:marTop w:val="0"/>
      <w:marBottom w:val="0"/>
      <w:divBdr>
        <w:top w:val="none" w:sz="0" w:space="0" w:color="auto"/>
        <w:left w:val="none" w:sz="0" w:space="0" w:color="auto"/>
        <w:bottom w:val="none" w:sz="0" w:space="0" w:color="auto"/>
        <w:right w:val="none" w:sz="0" w:space="0" w:color="auto"/>
      </w:divBdr>
      <w:divsChild>
        <w:div w:id="1138954807">
          <w:marLeft w:val="0"/>
          <w:marRight w:val="0"/>
          <w:marTop w:val="0"/>
          <w:marBottom w:val="0"/>
          <w:divBdr>
            <w:top w:val="none" w:sz="0" w:space="0" w:color="auto"/>
            <w:left w:val="none" w:sz="0" w:space="0" w:color="auto"/>
            <w:bottom w:val="none" w:sz="0" w:space="0" w:color="auto"/>
            <w:right w:val="none" w:sz="0" w:space="0" w:color="auto"/>
          </w:divBdr>
          <w:divsChild>
            <w:div w:id="49862387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07178782">
      <w:marLeft w:val="0"/>
      <w:marRight w:val="0"/>
      <w:marTop w:val="100"/>
      <w:marBottom w:val="100"/>
      <w:divBdr>
        <w:top w:val="none" w:sz="0" w:space="0" w:color="auto"/>
        <w:left w:val="none" w:sz="0" w:space="0" w:color="auto"/>
        <w:bottom w:val="none" w:sz="0" w:space="0" w:color="auto"/>
        <w:right w:val="none" w:sz="0" w:space="0" w:color="auto"/>
      </w:divBdr>
    </w:div>
    <w:div w:id="1707217261">
      <w:marLeft w:val="0"/>
      <w:marRight w:val="0"/>
      <w:marTop w:val="0"/>
      <w:marBottom w:val="100"/>
      <w:divBdr>
        <w:top w:val="none" w:sz="0" w:space="0" w:color="auto"/>
        <w:left w:val="none" w:sz="0" w:space="0" w:color="auto"/>
        <w:bottom w:val="none" w:sz="0" w:space="0" w:color="auto"/>
        <w:right w:val="none" w:sz="0" w:space="0" w:color="auto"/>
      </w:divBdr>
    </w:div>
    <w:div w:id="1708411353">
      <w:marLeft w:val="0"/>
      <w:marRight w:val="0"/>
      <w:marTop w:val="180"/>
      <w:marBottom w:val="0"/>
      <w:divBdr>
        <w:top w:val="none" w:sz="0" w:space="0" w:color="auto"/>
        <w:left w:val="none" w:sz="0" w:space="0" w:color="auto"/>
        <w:bottom w:val="none" w:sz="0" w:space="0" w:color="auto"/>
        <w:right w:val="none" w:sz="0" w:space="0" w:color="auto"/>
      </w:divBdr>
    </w:div>
    <w:div w:id="1712992987">
      <w:marLeft w:val="0"/>
      <w:marRight w:val="0"/>
      <w:marTop w:val="180"/>
      <w:marBottom w:val="0"/>
      <w:divBdr>
        <w:top w:val="none" w:sz="0" w:space="0" w:color="auto"/>
        <w:left w:val="none" w:sz="0" w:space="0" w:color="auto"/>
        <w:bottom w:val="none" w:sz="0" w:space="0" w:color="auto"/>
        <w:right w:val="none" w:sz="0" w:space="0" w:color="auto"/>
      </w:divBdr>
    </w:div>
    <w:div w:id="1713995595">
      <w:marLeft w:val="0"/>
      <w:marRight w:val="0"/>
      <w:marTop w:val="0"/>
      <w:marBottom w:val="0"/>
      <w:divBdr>
        <w:top w:val="none" w:sz="0" w:space="0" w:color="auto"/>
        <w:left w:val="none" w:sz="0" w:space="0" w:color="auto"/>
        <w:bottom w:val="none" w:sz="0" w:space="0" w:color="auto"/>
        <w:right w:val="none" w:sz="0" w:space="0" w:color="auto"/>
      </w:divBdr>
      <w:divsChild>
        <w:div w:id="210851005">
          <w:marLeft w:val="0"/>
          <w:marRight w:val="0"/>
          <w:marTop w:val="0"/>
          <w:marBottom w:val="100"/>
          <w:divBdr>
            <w:top w:val="none" w:sz="0" w:space="0" w:color="auto"/>
            <w:left w:val="none" w:sz="0" w:space="0" w:color="auto"/>
            <w:bottom w:val="none" w:sz="0" w:space="0" w:color="auto"/>
            <w:right w:val="none" w:sz="0" w:space="0" w:color="auto"/>
          </w:divBdr>
        </w:div>
      </w:divsChild>
    </w:div>
    <w:div w:id="1714184705">
      <w:marLeft w:val="0"/>
      <w:marRight w:val="0"/>
      <w:marTop w:val="0"/>
      <w:marBottom w:val="0"/>
      <w:divBdr>
        <w:top w:val="none" w:sz="0" w:space="0" w:color="auto"/>
        <w:left w:val="none" w:sz="0" w:space="0" w:color="auto"/>
        <w:bottom w:val="none" w:sz="0" w:space="0" w:color="auto"/>
        <w:right w:val="none" w:sz="0" w:space="0" w:color="auto"/>
      </w:divBdr>
      <w:divsChild>
        <w:div w:id="1388144586">
          <w:marLeft w:val="0"/>
          <w:marRight w:val="0"/>
          <w:marTop w:val="0"/>
          <w:marBottom w:val="0"/>
          <w:divBdr>
            <w:top w:val="none" w:sz="0" w:space="0" w:color="auto"/>
            <w:left w:val="none" w:sz="0" w:space="0" w:color="auto"/>
            <w:bottom w:val="none" w:sz="0" w:space="0" w:color="auto"/>
            <w:right w:val="none" w:sz="0" w:space="0" w:color="auto"/>
          </w:divBdr>
          <w:divsChild>
            <w:div w:id="103346113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14498576">
      <w:marLeft w:val="0"/>
      <w:marRight w:val="0"/>
      <w:marTop w:val="0"/>
      <w:marBottom w:val="0"/>
      <w:divBdr>
        <w:top w:val="none" w:sz="0" w:space="0" w:color="auto"/>
        <w:left w:val="none" w:sz="0" w:space="0" w:color="auto"/>
        <w:bottom w:val="none" w:sz="0" w:space="0" w:color="auto"/>
        <w:right w:val="none" w:sz="0" w:space="0" w:color="auto"/>
      </w:divBdr>
      <w:divsChild>
        <w:div w:id="1122380415">
          <w:marLeft w:val="0"/>
          <w:marRight w:val="0"/>
          <w:marTop w:val="0"/>
          <w:marBottom w:val="100"/>
          <w:divBdr>
            <w:top w:val="none" w:sz="0" w:space="0" w:color="auto"/>
            <w:left w:val="none" w:sz="0" w:space="0" w:color="auto"/>
            <w:bottom w:val="none" w:sz="0" w:space="0" w:color="auto"/>
            <w:right w:val="none" w:sz="0" w:space="0" w:color="auto"/>
          </w:divBdr>
        </w:div>
      </w:divsChild>
    </w:div>
    <w:div w:id="1715038914">
      <w:marLeft w:val="0"/>
      <w:marRight w:val="0"/>
      <w:marTop w:val="180"/>
      <w:marBottom w:val="100"/>
      <w:divBdr>
        <w:top w:val="none" w:sz="0" w:space="0" w:color="auto"/>
        <w:left w:val="none" w:sz="0" w:space="0" w:color="auto"/>
        <w:bottom w:val="none" w:sz="0" w:space="0" w:color="auto"/>
        <w:right w:val="none" w:sz="0" w:space="0" w:color="auto"/>
      </w:divBdr>
    </w:div>
    <w:div w:id="1717461183">
      <w:marLeft w:val="0"/>
      <w:marRight w:val="0"/>
      <w:marTop w:val="0"/>
      <w:marBottom w:val="100"/>
      <w:divBdr>
        <w:top w:val="none" w:sz="0" w:space="0" w:color="auto"/>
        <w:left w:val="none" w:sz="0" w:space="0" w:color="auto"/>
        <w:bottom w:val="none" w:sz="0" w:space="0" w:color="auto"/>
        <w:right w:val="none" w:sz="0" w:space="0" w:color="auto"/>
      </w:divBdr>
    </w:div>
    <w:div w:id="1721394538">
      <w:marLeft w:val="0"/>
      <w:marRight w:val="0"/>
      <w:marTop w:val="180"/>
      <w:marBottom w:val="0"/>
      <w:divBdr>
        <w:top w:val="none" w:sz="0" w:space="0" w:color="auto"/>
        <w:left w:val="none" w:sz="0" w:space="0" w:color="auto"/>
        <w:bottom w:val="none" w:sz="0" w:space="0" w:color="auto"/>
        <w:right w:val="none" w:sz="0" w:space="0" w:color="auto"/>
      </w:divBdr>
    </w:div>
    <w:div w:id="1724257124">
      <w:marLeft w:val="0"/>
      <w:marRight w:val="0"/>
      <w:marTop w:val="0"/>
      <w:marBottom w:val="0"/>
      <w:divBdr>
        <w:top w:val="none" w:sz="0" w:space="0" w:color="auto"/>
        <w:left w:val="none" w:sz="0" w:space="0" w:color="auto"/>
        <w:bottom w:val="none" w:sz="0" w:space="0" w:color="auto"/>
        <w:right w:val="none" w:sz="0" w:space="0" w:color="auto"/>
      </w:divBdr>
    </w:div>
    <w:div w:id="1725716421">
      <w:marLeft w:val="0"/>
      <w:marRight w:val="0"/>
      <w:marTop w:val="0"/>
      <w:marBottom w:val="0"/>
      <w:divBdr>
        <w:top w:val="none" w:sz="0" w:space="0" w:color="auto"/>
        <w:left w:val="none" w:sz="0" w:space="0" w:color="auto"/>
        <w:bottom w:val="none" w:sz="0" w:space="0" w:color="auto"/>
        <w:right w:val="none" w:sz="0" w:space="0" w:color="auto"/>
      </w:divBdr>
    </w:div>
    <w:div w:id="1726878402">
      <w:marLeft w:val="0"/>
      <w:marRight w:val="0"/>
      <w:marTop w:val="0"/>
      <w:marBottom w:val="0"/>
      <w:divBdr>
        <w:top w:val="none" w:sz="0" w:space="0" w:color="auto"/>
        <w:left w:val="none" w:sz="0" w:space="0" w:color="auto"/>
        <w:bottom w:val="none" w:sz="0" w:space="0" w:color="auto"/>
        <w:right w:val="none" w:sz="0" w:space="0" w:color="auto"/>
      </w:divBdr>
    </w:div>
    <w:div w:id="1729768633">
      <w:marLeft w:val="0"/>
      <w:marRight w:val="0"/>
      <w:marTop w:val="0"/>
      <w:marBottom w:val="0"/>
      <w:divBdr>
        <w:top w:val="none" w:sz="0" w:space="0" w:color="auto"/>
        <w:left w:val="none" w:sz="0" w:space="0" w:color="auto"/>
        <w:bottom w:val="none" w:sz="0" w:space="0" w:color="auto"/>
        <w:right w:val="none" w:sz="0" w:space="0" w:color="auto"/>
      </w:divBdr>
    </w:div>
    <w:div w:id="1731228854">
      <w:marLeft w:val="0"/>
      <w:marRight w:val="0"/>
      <w:marTop w:val="0"/>
      <w:marBottom w:val="100"/>
      <w:divBdr>
        <w:top w:val="none" w:sz="0" w:space="0" w:color="auto"/>
        <w:left w:val="none" w:sz="0" w:space="0" w:color="auto"/>
        <w:bottom w:val="none" w:sz="0" w:space="0" w:color="auto"/>
        <w:right w:val="none" w:sz="0" w:space="0" w:color="auto"/>
      </w:divBdr>
    </w:div>
    <w:div w:id="1731533679">
      <w:marLeft w:val="0"/>
      <w:marRight w:val="0"/>
      <w:marTop w:val="100"/>
      <w:marBottom w:val="100"/>
      <w:divBdr>
        <w:top w:val="none" w:sz="0" w:space="0" w:color="auto"/>
        <w:left w:val="none" w:sz="0" w:space="0" w:color="auto"/>
        <w:bottom w:val="none" w:sz="0" w:space="0" w:color="auto"/>
        <w:right w:val="none" w:sz="0" w:space="0" w:color="auto"/>
      </w:divBdr>
    </w:div>
    <w:div w:id="1732266613">
      <w:marLeft w:val="0"/>
      <w:marRight w:val="0"/>
      <w:marTop w:val="0"/>
      <w:marBottom w:val="100"/>
      <w:divBdr>
        <w:top w:val="none" w:sz="0" w:space="0" w:color="auto"/>
        <w:left w:val="none" w:sz="0" w:space="0" w:color="auto"/>
        <w:bottom w:val="none" w:sz="0" w:space="0" w:color="auto"/>
        <w:right w:val="none" w:sz="0" w:space="0" w:color="auto"/>
      </w:divBdr>
    </w:div>
    <w:div w:id="1734503142">
      <w:marLeft w:val="0"/>
      <w:marRight w:val="0"/>
      <w:marTop w:val="0"/>
      <w:marBottom w:val="0"/>
      <w:divBdr>
        <w:top w:val="none" w:sz="0" w:space="0" w:color="auto"/>
        <w:left w:val="none" w:sz="0" w:space="0" w:color="auto"/>
        <w:bottom w:val="none" w:sz="0" w:space="0" w:color="auto"/>
        <w:right w:val="none" w:sz="0" w:space="0" w:color="auto"/>
      </w:divBdr>
      <w:divsChild>
        <w:div w:id="2105493845">
          <w:marLeft w:val="0"/>
          <w:marRight w:val="0"/>
          <w:marTop w:val="0"/>
          <w:marBottom w:val="100"/>
          <w:divBdr>
            <w:top w:val="none" w:sz="0" w:space="0" w:color="auto"/>
            <w:left w:val="none" w:sz="0" w:space="0" w:color="auto"/>
            <w:bottom w:val="none" w:sz="0" w:space="0" w:color="auto"/>
            <w:right w:val="none" w:sz="0" w:space="0" w:color="auto"/>
          </w:divBdr>
        </w:div>
      </w:divsChild>
    </w:div>
    <w:div w:id="1736465717">
      <w:marLeft w:val="0"/>
      <w:marRight w:val="0"/>
      <w:marTop w:val="0"/>
      <w:marBottom w:val="0"/>
      <w:divBdr>
        <w:top w:val="none" w:sz="0" w:space="0" w:color="auto"/>
        <w:left w:val="none" w:sz="0" w:space="0" w:color="auto"/>
        <w:bottom w:val="none" w:sz="0" w:space="0" w:color="auto"/>
        <w:right w:val="none" w:sz="0" w:space="0" w:color="auto"/>
      </w:divBdr>
    </w:div>
    <w:div w:id="1737313185">
      <w:marLeft w:val="0"/>
      <w:marRight w:val="0"/>
      <w:marTop w:val="100"/>
      <w:marBottom w:val="100"/>
      <w:divBdr>
        <w:top w:val="none" w:sz="0" w:space="0" w:color="auto"/>
        <w:left w:val="none" w:sz="0" w:space="0" w:color="auto"/>
        <w:bottom w:val="none" w:sz="0" w:space="0" w:color="auto"/>
        <w:right w:val="none" w:sz="0" w:space="0" w:color="auto"/>
      </w:divBdr>
    </w:div>
    <w:div w:id="1737892989">
      <w:marLeft w:val="0"/>
      <w:marRight w:val="0"/>
      <w:marTop w:val="0"/>
      <w:marBottom w:val="0"/>
      <w:divBdr>
        <w:top w:val="none" w:sz="0" w:space="0" w:color="auto"/>
        <w:left w:val="none" w:sz="0" w:space="0" w:color="auto"/>
        <w:bottom w:val="none" w:sz="0" w:space="0" w:color="auto"/>
        <w:right w:val="none" w:sz="0" w:space="0" w:color="auto"/>
      </w:divBdr>
    </w:div>
    <w:div w:id="1740521206">
      <w:marLeft w:val="0"/>
      <w:marRight w:val="0"/>
      <w:marTop w:val="0"/>
      <w:marBottom w:val="100"/>
      <w:divBdr>
        <w:top w:val="none" w:sz="0" w:space="0" w:color="auto"/>
        <w:left w:val="none" w:sz="0" w:space="0" w:color="auto"/>
        <w:bottom w:val="none" w:sz="0" w:space="0" w:color="auto"/>
        <w:right w:val="none" w:sz="0" w:space="0" w:color="auto"/>
      </w:divBdr>
    </w:div>
    <w:div w:id="1740590538">
      <w:marLeft w:val="0"/>
      <w:marRight w:val="0"/>
      <w:marTop w:val="0"/>
      <w:marBottom w:val="0"/>
      <w:divBdr>
        <w:top w:val="none" w:sz="0" w:space="0" w:color="auto"/>
        <w:left w:val="none" w:sz="0" w:space="0" w:color="auto"/>
        <w:bottom w:val="none" w:sz="0" w:space="0" w:color="auto"/>
        <w:right w:val="none" w:sz="0" w:space="0" w:color="auto"/>
      </w:divBdr>
    </w:div>
    <w:div w:id="1742676420">
      <w:marLeft w:val="0"/>
      <w:marRight w:val="0"/>
      <w:marTop w:val="0"/>
      <w:marBottom w:val="100"/>
      <w:divBdr>
        <w:top w:val="none" w:sz="0" w:space="0" w:color="auto"/>
        <w:left w:val="none" w:sz="0" w:space="0" w:color="auto"/>
        <w:bottom w:val="none" w:sz="0" w:space="0" w:color="auto"/>
        <w:right w:val="none" w:sz="0" w:space="0" w:color="auto"/>
      </w:divBdr>
    </w:div>
    <w:div w:id="1745255739">
      <w:marLeft w:val="0"/>
      <w:marRight w:val="0"/>
      <w:marTop w:val="100"/>
      <w:marBottom w:val="100"/>
      <w:divBdr>
        <w:top w:val="none" w:sz="0" w:space="0" w:color="auto"/>
        <w:left w:val="none" w:sz="0" w:space="0" w:color="auto"/>
        <w:bottom w:val="none" w:sz="0" w:space="0" w:color="auto"/>
        <w:right w:val="none" w:sz="0" w:space="0" w:color="auto"/>
      </w:divBdr>
    </w:div>
    <w:div w:id="1746417809">
      <w:marLeft w:val="0"/>
      <w:marRight w:val="0"/>
      <w:marTop w:val="100"/>
      <w:marBottom w:val="100"/>
      <w:divBdr>
        <w:top w:val="none" w:sz="0" w:space="0" w:color="auto"/>
        <w:left w:val="none" w:sz="0" w:space="0" w:color="auto"/>
        <w:bottom w:val="none" w:sz="0" w:space="0" w:color="auto"/>
        <w:right w:val="none" w:sz="0" w:space="0" w:color="auto"/>
      </w:divBdr>
    </w:div>
    <w:div w:id="1746488861">
      <w:marLeft w:val="0"/>
      <w:marRight w:val="0"/>
      <w:marTop w:val="0"/>
      <w:marBottom w:val="100"/>
      <w:divBdr>
        <w:top w:val="none" w:sz="0" w:space="0" w:color="auto"/>
        <w:left w:val="none" w:sz="0" w:space="0" w:color="auto"/>
        <w:bottom w:val="none" w:sz="0" w:space="0" w:color="auto"/>
        <w:right w:val="none" w:sz="0" w:space="0" w:color="auto"/>
      </w:divBdr>
    </w:div>
    <w:div w:id="1748502696">
      <w:marLeft w:val="0"/>
      <w:marRight w:val="0"/>
      <w:marTop w:val="100"/>
      <w:marBottom w:val="100"/>
      <w:divBdr>
        <w:top w:val="none" w:sz="0" w:space="0" w:color="auto"/>
        <w:left w:val="none" w:sz="0" w:space="0" w:color="auto"/>
        <w:bottom w:val="none" w:sz="0" w:space="0" w:color="auto"/>
        <w:right w:val="none" w:sz="0" w:space="0" w:color="auto"/>
      </w:divBdr>
    </w:div>
    <w:div w:id="1749035399">
      <w:marLeft w:val="0"/>
      <w:marRight w:val="0"/>
      <w:marTop w:val="0"/>
      <w:marBottom w:val="0"/>
      <w:divBdr>
        <w:top w:val="none" w:sz="0" w:space="0" w:color="auto"/>
        <w:left w:val="none" w:sz="0" w:space="0" w:color="auto"/>
        <w:bottom w:val="none" w:sz="0" w:space="0" w:color="auto"/>
        <w:right w:val="none" w:sz="0" w:space="0" w:color="auto"/>
      </w:divBdr>
      <w:divsChild>
        <w:div w:id="1759057587">
          <w:marLeft w:val="0"/>
          <w:marRight w:val="0"/>
          <w:marTop w:val="0"/>
          <w:marBottom w:val="0"/>
          <w:divBdr>
            <w:top w:val="none" w:sz="0" w:space="0" w:color="auto"/>
            <w:left w:val="none" w:sz="0" w:space="0" w:color="auto"/>
            <w:bottom w:val="none" w:sz="0" w:space="0" w:color="auto"/>
            <w:right w:val="none" w:sz="0" w:space="0" w:color="auto"/>
          </w:divBdr>
          <w:divsChild>
            <w:div w:id="161254220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49111479">
      <w:marLeft w:val="0"/>
      <w:marRight w:val="0"/>
      <w:marTop w:val="0"/>
      <w:marBottom w:val="0"/>
      <w:divBdr>
        <w:top w:val="none" w:sz="0" w:space="0" w:color="auto"/>
        <w:left w:val="none" w:sz="0" w:space="0" w:color="auto"/>
        <w:bottom w:val="none" w:sz="0" w:space="0" w:color="auto"/>
        <w:right w:val="none" w:sz="0" w:space="0" w:color="auto"/>
      </w:divBdr>
    </w:div>
    <w:div w:id="1750270324">
      <w:marLeft w:val="0"/>
      <w:marRight w:val="0"/>
      <w:marTop w:val="0"/>
      <w:marBottom w:val="0"/>
      <w:divBdr>
        <w:top w:val="none" w:sz="0" w:space="0" w:color="auto"/>
        <w:left w:val="none" w:sz="0" w:space="0" w:color="auto"/>
        <w:bottom w:val="none" w:sz="0" w:space="0" w:color="auto"/>
        <w:right w:val="none" w:sz="0" w:space="0" w:color="auto"/>
      </w:divBdr>
      <w:divsChild>
        <w:div w:id="424960300">
          <w:marLeft w:val="0"/>
          <w:marRight w:val="0"/>
          <w:marTop w:val="0"/>
          <w:marBottom w:val="100"/>
          <w:divBdr>
            <w:top w:val="none" w:sz="0" w:space="0" w:color="auto"/>
            <w:left w:val="none" w:sz="0" w:space="0" w:color="auto"/>
            <w:bottom w:val="none" w:sz="0" w:space="0" w:color="auto"/>
            <w:right w:val="none" w:sz="0" w:space="0" w:color="auto"/>
          </w:divBdr>
        </w:div>
      </w:divsChild>
    </w:div>
    <w:div w:id="1753550526">
      <w:marLeft w:val="0"/>
      <w:marRight w:val="0"/>
      <w:marTop w:val="100"/>
      <w:marBottom w:val="100"/>
      <w:divBdr>
        <w:top w:val="none" w:sz="0" w:space="0" w:color="auto"/>
        <w:left w:val="none" w:sz="0" w:space="0" w:color="auto"/>
        <w:bottom w:val="none" w:sz="0" w:space="0" w:color="auto"/>
        <w:right w:val="none" w:sz="0" w:space="0" w:color="auto"/>
      </w:divBdr>
    </w:div>
    <w:div w:id="1754352251">
      <w:marLeft w:val="0"/>
      <w:marRight w:val="0"/>
      <w:marTop w:val="180"/>
      <w:marBottom w:val="0"/>
      <w:divBdr>
        <w:top w:val="none" w:sz="0" w:space="0" w:color="auto"/>
        <w:left w:val="none" w:sz="0" w:space="0" w:color="auto"/>
        <w:bottom w:val="none" w:sz="0" w:space="0" w:color="auto"/>
        <w:right w:val="none" w:sz="0" w:space="0" w:color="auto"/>
      </w:divBdr>
    </w:div>
    <w:div w:id="1756244075">
      <w:marLeft w:val="0"/>
      <w:marRight w:val="0"/>
      <w:marTop w:val="0"/>
      <w:marBottom w:val="100"/>
      <w:divBdr>
        <w:top w:val="none" w:sz="0" w:space="0" w:color="auto"/>
        <w:left w:val="none" w:sz="0" w:space="0" w:color="auto"/>
        <w:bottom w:val="none" w:sz="0" w:space="0" w:color="auto"/>
        <w:right w:val="none" w:sz="0" w:space="0" w:color="auto"/>
      </w:divBdr>
    </w:div>
    <w:div w:id="1758014398">
      <w:marLeft w:val="0"/>
      <w:marRight w:val="0"/>
      <w:marTop w:val="0"/>
      <w:marBottom w:val="0"/>
      <w:divBdr>
        <w:top w:val="none" w:sz="0" w:space="0" w:color="auto"/>
        <w:left w:val="none" w:sz="0" w:space="0" w:color="auto"/>
        <w:bottom w:val="none" w:sz="0" w:space="0" w:color="auto"/>
        <w:right w:val="none" w:sz="0" w:space="0" w:color="auto"/>
      </w:divBdr>
    </w:div>
    <w:div w:id="1760445824">
      <w:marLeft w:val="0"/>
      <w:marRight w:val="0"/>
      <w:marTop w:val="0"/>
      <w:marBottom w:val="0"/>
      <w:divBdr>
        <w:top w:val="none" w:sz="0" w:space="0" w:color="auto"/>
        <w:left w:val="none" w:sz="0" w:space="0" w:color="auto"/>
        <w:bottom w:val="none" w:sz="0" w:space="0" w:color="auto"/>
        <w:right w:val="none" w:sz="0" w:space="0" w:color="auto"/>
      </w:divBdr>
      <w:divsChild>
        <w:div w:id="1052575463">
          <w:marLeft w:val="0"/>
          <w:marRight w:val="0"/>
          <w:marTop w:val="0"/>
          <w:marBottom w:val="100"/>
          <w:divBdr>
            <w:top w:val="none" w:sz="0" w:space="0" w:color="auto"/>
            <w:left w:val="none" w:sz="0" w:space="0" w:color="auto"/>
            <w:bottom w:val="none" w:sz="0" w:space="0" w:color="auto"/>
            <w:right w:val="none" w:sz="0" w:space="0" w:color="auto"/>
          </w:divBdr>
        </w:div>
      </w:divsChild>
    </w:div>
    <w:div w:id="1760981154">
      <w:marLeft w:val="0"/>
      <w:marRight w:val="0"/>
      <w:marTop w:val="0"/>
      <w:marBottom w:val="0"/>
      <w:divBdr>
        <w:top w:val="none" w:sz="0" w:space="0" w:color="auto"/>
        <w:left w:val="none" w:sz="0" w:space="0" w:color="auto"/>
        <w:bottom w:val="none" w:sz="0" w:space="0" w:color="auto"/>
        <w:right w:val="none" w:sz="0" w:space="0" w:color="auto"/>
      </w:divBdr>
      <w:divsChild>
        <w:div w:id="1275138969">
          <w:marLeft w:val="0"/>
          <w:marRight w:val="0"/>
          <w:marTop w:val="0"/>
          <w:marBottom w:val="0"/>
          <w:divBdr>
            <w:top w:val="none" w:sz="0" w:space="0" w:color="auto"/>
            <w:left w:val="none" w:sz="0" w:space="0" w:color="auto"/>
            <w:bottom w:val="none" w:sz="0" w:space="0" w:color="auto"/>
            <w:right w:val="none" w:sz="0" w:space="0" w:color="auto"/>
          </w:divBdr>
          <w:divsChild>
            <w:div w:id="200173856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62292289">
      <w:marLeft w:val="0"/>
      <w:marRight w:val="0"/>
      <w:marTop w:val="0"/>
      <w:marBottom w:val="0"/>
      <w:divBdr>
        <w:top w:val="none" w:sz="0" w:space="0" w:color="auto"/>
        <w:left w:val="none" w:sz="0" w:space="0" w:color="auto"/>
        <w:bottom w:val="none" w:sz="0" w:space="0" w:color="auto"/>
        <w:right w:val="none" w:sz="0" w:space="0" w:color="auto"/>
      </w:divBdr>
      <w:divsChild>
        <w:div w:id="2041781273">
          <w:marLeft w:val="0"/>
          <w:marRight w:val="0"/>
          <w:marTop w:val="0"/>
          <w:marBottom w:val="100"/>
          <w:divBdr>
            <w:top w:val="none" w:sz="0" w:space="0" w:color="auto"/>
            <w:left w:val="none" w:sz="0" w:space="0" w:color="auto"/>
            <w:bottom w:val="none" w:sz="0" w:space="0" w:color="auto"/>
            <w:right w:val="none" w:sz="0" w:space="0" w:color="auto"/>
          </w:divBdr>
        </w:div>
      </w:divsChild>
    </w:div>
    <w:div w:id="1762604965">
      <w:marLeft w:val="0"/>
      <w:marRight w:val="0"/>
      <w:marTop w:val="0"/>
      <w:marBottom w:val="0"/>
      <w:divBdr>
        <w:top w:val="none" w:sz="0" w:space="0" w:color="auto"/>
        <w:left w:val="none" w:sz="0" w:space="0" w:color="auto"/>
        <w:bottom w:val="none" w:sz="0" w:space="0" w:color="auto"/>
        <w:right w:val="none" w:sz="0" w:space="0" w:color="auto"/>
      </w:divBdr>
      <w:divsChild>
        <w:div w:id="868029054">
          <w:marLeft w:val="0"/>
          <w:marRight w:val="0"/>
          <w:marTop w:val="0"/>
          <w:marBottom w:val="100"/>
          <w:divBdr>
            <w:top w:val="none" w:sz="0" w:space="0" w:color="auto"/>
            <w:left w:val="none" w:sz="0" w:space="0" w:color="auto"/>
            <w:bottom w:val="none" w:sz="0" w:space="0" w:color="auto"/>
            <w:right w:val="none" w:sz="0" w:space="0" w:color="auto"/>
          </w:divBdr>
        </w:div>
      </w:divsChild>
    </w:div>
    <w:div w:id="1762798496">
      <w:marLeft w:val="0"/>
      <w:marRight w:val="0"/>
      <w:marTop w:val="180"/>
      <w:marBottom w:val="0"/>
      <w:divBdr>
        <w:top w:val="none" w:sz="0" w:space="0" w:color="auto"/>
        <w:left w:val="none" w:sz="0" w:space="0" w:color="auto"/>
        <w:bottom w:val="none" w:sz="0" w:space="0" w:color="auto"/>
        <w:right w:val="none" w:sz="0" w:space="0" w:color="auto"/>
      </w:divBdr>
    </w:div>
    <w:div w:id="1763993296">
      <w:marLeft w:val="0"/>
      <w:marRight w:val="0"/>
      <w:marTop w:val="0"/>
      <w:marBottom w:val="0"/>
      <w:divBdr>
        <w:top w:val="none" w:sz="0" w:space="0" w:color="auto"/>
        <w:left w:val="none" w:sz="0" w:space="0" w:color="auto"/>
        <w:bottom w:val="none" w:sz="0" w:space="0" w:color="auto"/>
        <w:right w:val="none" w:sz="0" w:space="0" w:color="auto"/>
      </w:divBdr>
      <w:divsChild>
        <w:div w:id="589655934">
          <w:marLeft w:val="0"/>
          <w:marRight w:val="0"/>
          <w:marTop w:val="0"/>
          <w:marBottom w:val="0"/>
          <w:divBdr>
            <w:top w:val="none" w:sz="0" w:space="0" w:color="auto"/>
            <w:left w:val="none" w:sz="0" w:space="0" w:color="auto"/>
            <w:bottom w:val="none" w:sz="0" w:space="0" w:color="auto"/>
            <w:right w:val="none" w:sz="0" w:space="0" w:color="auto"/>
          </w:divBdr>
          <w:divsChild>
            <w:div w:id="209042593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66995559">
      <w:marLeft w:val="0"/>
      <w:marRight w:val="0"/>
      <w:marTop w:val="180"/>
      <w:marBottom w:val="0"/>
      <w:divBdr>
        <w:top w:val="none" w:sz="0" w:space="0" w:color="auto"/>
        <w:left w:val="none" w:sz="0" w:space="0" w:color="auto"/>
        <w:bottom w:val="none" w:sz="0" w:space="0" w:color="auto"/>
        <w:right w:val="none" w:sz="0" w:space="0" w:color="auto"/>
      </w:divBdr>
    </w:div>
    <w:div w:id="1767383367">
      <w:marLeft w:val="0"/>
      <w:marRight w:val="0"/>
      <w:marTop w:val="0"/>
      <w:marBottom w:val="0"/>
      <w:divBdr>
        <w:top w:val="none" w:sz="0" w:space="0" w:color="auto"/>
        <w:left w:val="none" w:sz="0" w:space="0" w:color="auto"/>
        <w:bottom w:val="none" w:sz="0" w:space="0" w:color="auto"/>
        <w:right w:val="none" w:sz="0" w:space="0" w:color="auto"/>
      </w:divBdr>
    </w:div>
    <w:div w:id="1768578136">
      <w:marLeft w:val="0"/>
      <w:marRight w:val="0"/>
      <w:marTop w:val="0"/>
      <w:marBottom w:val="100"/>
      <w:divBdr>
        <w:top w:val="none" w:sz="0" w:space="0" w:color="auto"/>
        <w:left w:val="none" w:sz="0" w:space="0" w:color="auto"/>
        <w:bottom w:val="none" w:sz="0" w:space="0" w:color="auto"/>
        <w:right w:val="none" w:sz="0" w:space="0" w:color="auto"/>
      </w:divBdr>
    </w:div>
    <w:div w:id="1769958740">
      <w:marLeft w:val="0"/>
      <w:marRight w:val="0"/>
      <w:marTop w:val="100"/>
      <w:marBottom w:val="100"/>
      <w:divBdr>
        <w:top w:val="none" w:sz="0" w:space="0" w:color="auto"/>
        <w:left w:val="none" w:sz="0" w:space="0" w:color="auto"/>
        <w:bottom w:val="none" w:sz="0" w:space="0" w:color="auto"/>
        <w:right w:val="none" w:sz="0" w:space="0" w:color="auto"/>
      </w:divBdr>
    </w:div>
    <w:div w:id="1771468066">
      <w:marLeft w:val="0"/>
      <w:marRight w:val="0"/>
      <w:marTop w:val="180"/>
      <w:marBottom w:val="0"/>
      <w:divBdr>
        <w:top w:val="none" w:sz="0" w:space="0" w:color="auto"/>
        <w:left w:val="none" w:sz="0" w:space="0" w:color="auto"/>
        <w:bottom w:val="none" w:sz="0" w:space="0" w:color="auto"/>
        <w:right w:val="none" w:sz="0" w:space="0" w:color="auto"/>
      </w:divBdr>
    </w:div>
    <w:div w:id="1771730285">
      <w:marLeft w:val="0"/>
      <w:marRight w:val="0"/>
      <w:marTop w:val="0"/>
      <w:marBottom w:val="100"/>
      <w:divBdr>
        <w:top w:val="none" w:sz="0" w:space="0" w:color="auto"/>
        <w:left w:val="none" w:sz="0" w:space="0" w:color="auto"/>
        <w:bottom w:val="none" w:sz="0" w:space="0" w:color="auto"/>
        <w:right w:val="none" w:sz="0" w:space="0" w:color="auto"/>
      </w:divBdr>
    </w:div>
    <w:div w:id="1771774047">
      <w:marLeft w:val="0"/>
      <w:marRight w:val="0"/>
      <w:marTop w:val="180"/>
      <w:marBottom w:val="100"/>
      <w:divBdr>
        <w:top w:val="none" w:sz="0" w:space="0" w:color="auto"/>
        <w:left w:val="none" w:sz="0" w:space="0" w:color="auto"/>
        <w:bottom w:val="none" w:sz="0" w:space="0" w:color="auto"/>
        <w:right w:val="none" w:sz="0" w:space="0" w:color="auto"/>
      </w:divBdr>
    </w:div>
    <w:div w:id="1771924075">
      <w:marLeft w:val="0"/>
      <w:marRight w:val="0"/>
      <w:marTop w:val="0"/>
      <w:marBottom w:val="0"/>
      <w:divBdr>
        <w:top w:val="none" w:sz="0" w:space="0" w:color="auto"/>
        <w:left w:val="none" w:sz="0" w:space="0" w:color="auto"/>
        <w:bottom w:val="none" w:sz="0" w:space="0" w:color="auto"/>
        <w:right w:val="none" w:sz="0" w:space="0" w:color="auto"/>
      </w:divBdr>
    </w:div>
    <w:div w:id="1773284045">
      <w:marLeft w:val="0"/>
      <w:marRight w:val="0"/>
      <w:marTop w:val="100"/>
      <w:marBottom w:val="100"/>
      <w:divBdr>
        <w:top w:val="none" w:sz="0" w:space="0" w:color="auto"/>
        <w:left w:val="none" w:sz="0" w:space="0" w:color="auto"/>
        <w:bottom w:val="none" w:sz="0" w:space="0" w:color="auto"/>
        <w:right w:val="none" w:sz="0" w:space="0" w:color="auto"/>
      </w:divBdr>
      <w:divsChild>
        <w:div w:id="20515582">
          <w:marLeft w:val="0"/>
          <w:marRight w:val="0"/>
          <w:marTop w:val="0"/>
          <w:marBottom w:val="0"/>
          <w:divBdr>
            <w:top w:val="none" w:sz="0" w:space="0" w:color="auto"/>
            <w:left w:val="none" w:sz="0" w:space="0" w:color="auto"/>
            <w:bottom w:val="none" w:sz="0" w:space="0" w:color="auto"/>
            <w:right w:val="none" w:sz="0" w:space="0" w:color="auto"/>
          </w:divBdr>
        </w:div>
      </w:divsChild>
    </w:div>
    <w:div w:id="1775397803">
      <w:marLeft w:val="0"/>
      <w:marRight w:val="0"/>
      <w:marTop w:val="0"/>
      <w:marBottom w:val="0"/>
      <w:divBdr>
        <w:top w:val="none" w:sz="0" w:space="0" w:color="auto"/>
        <w:left w:val="none" w:sz="0" w:space="0" w:color="auto"/>
        <w:bottom w:val="none" w:sz="0" w:space="0" w:color="auto"/>
        <w:right w:val="none" w:sz="0" w:space="0" w:color="auto"/>
      </w:divBdr>
    </w:div>
    <w:div w:id="1775859459">
      <w:marLeft w:val="0"/>
      <w:marRight w:val="0"/>
      <w:marTop w:val="180"/>
      <w:marBottom w:val="0"/>
      <w:divBdr>
        <w:top w:val="none" w:sz="0" w:space="0" w:color="auto"/>
        <w:left w:val="none" w:sz="0" w:space="0" w:color="auto"/>
        <w:bottom w:val="none" w:sz="0" w:space="0" w:color="auto"/>
        <w:right w:val="none" w:sz="0" w:space="0" w:color="auto"/>
      </w:divBdr>
    </w:div>
    <w:div w:id="1776048798">
      <w:marLeft w:val="0"/>
      <w:marRight w:val="0"/>
      <w:marTop w:val="180"/>
      <w:marBottom w:val="100"/>
      <w:divBdr>
        <w:top w:val="none" w:sz="0" w:space="0" w:color="auto"/>
        <w:left w:val="none" w:sz="0" w:space="0" w:color="auto"/>
        <w:bottom w:val="none" w:sz="0" w:space="0" w:color="auto"/>
        <w:right w:val="none" w:sz="0" w:space="0" w:color="auto"/>
      </w:divBdr>
    </w:div>
    <w:div w:id="1776166800">
      <w:marLeft w:val="0"/>
      <w:marRight w:val="0"/>
      <w:marTop w:val="0"/>
      <w:marBottom w:val="0"/>
      <w:divBdr>
        <w:top w:val="none" w:sz="0" w:space="0" w:color="auto"/>
        <w:left w:val="none" w:sz="0" w:space="0" w:color="auto"/>
        <w:bottom w:val="none" w:sz="0" w:space="0" w:color="auto"/>
        <w:right w:val="none" w:sz="0" w:space="0" w:color="auto"/>
      </w:divBdr>
    </w:div>
    <w:div w:id="1777171497">
      <w:marLeft w:val="0"/>
      <w:marRight w:val="0"/>
      <w:marTop w:val="80"/>
      <w:marBottom w:val="0"/>
      <w:divBdr>
        <w:top w:val="none" w:sz="0" w:space="0" w:color="auto"/>
        <w:left w:val="none" w:sz="0" w:space="0" w:color="auto"/>
        <w:bottom w:val="none" w:sz="0" w:space="0" w:color="auto"/>
        <w:right w:val="none" w:sz="0" w:space="0" w:color="auto"/>
      </w:divBdr>
    </w:div>
    <w:div w:id="1777797443">
      <w:marLeft w:val="0"/>
      <w:marRight w:val="0"/>
      <w:marTop w:val="180"/>
      <w:marBottom w:val="0"/>
      <w:divBdr>
        <w:top w:val="none" w:sz="0" w:space="0" w:color="auto"/>
        <w:left w:val="none" w:sz="0" w:space="0" w:color="auto"/>
        <w:bottom w:val="none" w:sz="0" w:space="0" w:color="auto"/>
        <w:right w:val="none" w:sz="0" w:space="0" w:color="auto"/>
      </w:divBdr>
    </w:div>
    <w:div w:id="1778021411">
      <w:marLeft w:val="0"/>
      <w:marRight w:val="0"/>
      <w:marTop w:val="0"/>
      <w:marBottom w:val="0"/>
      <w:divBdr>
        <w:top w:val="none" w:sz="0" w:space="0" w:color="auto"/>
        <w:left w:val="none" w:sz="0" w:space="0" w:color="auto"/>
        <w:bottom w:val="none" w:sz="0" w:space="0" w:color="auto"/>
        <w:right w:val="none" w:sz="0" w:space="0" w:color="auto"/>
      </w:divBdr>
      <w:divsChild>
        <w:div w:id="834297608">
          <w:marLeft w:val="0"/>
          <w:marRight w:val="0"/>
          <w:marTop w:val="0"/>
          <w:marBottom w:val="100"/>
          <w:divBdr>
            <w:top w:val="none" w:sz="0" w:space="0" w:color="auto"/>
            <w:left w:val="none" w:sz="0" w:space="0" w:color="auto"/>
            <w:bottom w:val="none" w:sz="0" w:space="0" w:color="auto"/>
            <w:right w:val="none" w:sz="0" w:space="0" w:color="auto"/>
          </w:divBdr>
        </w:div>
      </w:divsChild>
    </w:div>
    <w:div w:id="1780683927">
      <w:marLeft w:val="0"/>
      <w:marRight w:val="0"/>
      <w:marTop w:val="0"/>
      <w:marBottom w:val="0"/>
      <w:divBdr>
        <w:top w:val="none" w:sz="0" w:space="0" w:color="auto"/>
        <w:left w:val="none" w:sz="0" w:space="0" w:color="auto"/>
        <w:bottom w:val="none" w:sz="0" w:space="0" w:color="auto"/>
        <w:right w:val="none" w:sz="0" w:space="0" w:color="auto"/>
      </w:divBdr>
    </w:div>
    <w:div w:id="1782530054">
      <w:marLeft w:val="0"/>
      <w:marRight w:val="0"/>
      <w:marTop w:val="0"/>
      <w:marBottom w:val="100"/>
      <w:divBdr>
        <w:top w:val="none" w:sz="0" w:space="0" w:color="auto"/>
        <w:left w:val="none" w:sz="0" w:space="0" w:color="auto"/>
        <w:bottom w:val="none" w:sz="0" w:space="0" w:color="auto"/>
        <w:right w:val="none" w:sz="0" w:space="0" w:color="auto"/>
      </w:divBdr>
    </w:div>
    <w:div w:id="1783724956">
      <w:marLeft w:val="0"/>
      <w:marRight w:val="0"/>
      <w:marTop w:val="180"/>
      <w:marBottom w:val="0"/>
      <w:divBdr>
        <w:top w:val="none" w:sz="0" w:space="0" w:color="auto"/>
        <w:left w:val="none" w:sz="0" w:space="0" w:color="auto"/>
        <w:bottom w:val="none" w:sz="0" w:space="0" w:color="auto"/>
        <w:right w:val="none" w:sz="0" w:space="0" w:color="auto"/>
      </w:divBdr>
    </w:div>
    <w:div w:id="1784878340">
      <w:marLeft w:val="0"/>
      <w:marRight w:val="0"/>
      <w:marTop w:val="0"/>
      <w:marBottom w:val="100"/>
      <w:divBdr>
        <w:top w:val="none" w:sz="0" w:space="0" w:color="auto"/>
        <w:left w:val="none" w:sz="0" w:space="0" w:color="auto"/>
        <w:bottom w:val="none" w:sz="0" w:space="0" w:color="auto"/>
        <w:right w:val="none" w:sz="0" w:space="0" w:color="auto"/>
      </w:divBdr>
    </w:div>
    <w:div w:id="1786386483">
      <w:marLeft w:val="0"/>
      <w:marRight w:val="0"/>
      <w:marTop w:val="80"/>
      <w:marBottom w:val="0"/>
      <w:divBdr>
        <w:top w:val="none" w:sz="0" w:space="0" w:color="auto"/>
        <w:left w:val="none" w:sz="0" w:space="0" w:color="auto"/>
        <w:bottom w:val="none" w:sz="0" w:space="0" w:color="auto"/>
        <w:right w:val="none" w:sz="0" w:space="0" w:color="auto"/>
      </w:divBdr>
    </w:div>
    <w:div w:id="1786386541">
      <w:marLeft w:val="0"/>
      <w:marRight w:val="0"/>
      <w:marTop w:val="0"/>
      <w:marBottom w:val="0"/>
      <w:divBdr>
        <w:top w:val="none" w:sz="0" w:space="0" w:color="auto"/>
        <w:left w:val="none" w:sz="0" w:space="0" w:color="auto"/>
        <w:bottom w:val="none" w:sz="0" w:space="0" w:color="auto"/>
        <w:right w:val="none" w:sz="0" w:space="0" w:color="auto"/>
      </w:divBdr>
      <w:divsChild>
        <w:div w:id="1009059436">
          <w:marLeft w:val="0"/>
          <w:marRight w:val="0"/>
          <w:marTop w:val="0"/>
          <w:marBottom w:val="100"/>
          <w:divBdr>
            <w:top w:val="none" w:sz="0" w:space="0" w:color="auto"/>
            <w:left w:val="none" w:sz="0" w:space="0" w:color="auto"/>
            <w:bottom w:val="none" w:sz="0" w:space="0" w:color="auto"/>
            <w:right w:val="none" w:sz="0" w:space="0" w:color="auto"/>
          </w:divBdr>
        </w:div>
      </w:divsChild>
    </w:div>
    <w:div w:id="1789347802">
      <w:marLeft w:val="0"/>
      <w:marRight w:val="0"/>
      <w:marTop w:val="0"/>
      <w:marBottom w:val="0"/>
      <w:divBdr>
        <w:top w:val="none" w:sz="0" w:space="0" w:color="auto"/>
        <w:left w:val="none" w:sz="0" w:space="0" w:color="auto"/>
        <w:bottom w:val="none" w:sz="0" w:space="0" w:color="auto"/>
        <w:right w:val="none" w:sz="0" w:space="0" w:color="auto"/>
      </w:divBdr>
    </w:div>
    <w:div w:id="1789620652">
      <w:marLeft w:val="0"/>
      <w:marRight w:val="0"/>
      <w:marTop w:val="100"/>
      <w:marBottom w:val="100"/>
      <w:divBdr>
        <w:top w:val="none" w:sz="0" w:space="0" w:color="auto"/>
        <w:left w:val="none" w:sz="0" w:space="0" w:color="auto"/>
        <w:bottom w:val="none" w:sz="0" w:space="0" w:color="auto"/>
        <w:right w:val="none" w:sz="0" w:space="0" w:color="auto"/>
      </w:divBdr>
    </w:div>
    <w:div w:id="1789664211">
      <w:marLeft w:val="0"/>
      <w:marRight w:val="0"/>
      <w:marTop w:val="100"/>
      <w:marBottom w:val="100"/>
      <w:divBdr>
        <w:top w:val="none" w:sz="0" w:space="0" w:color="auto"/>
        <w:left w:val="none" w:sz="0" w:space="0" w:color="auto"/>
        <w:bottom w:val="none" w:sz="0" w:space="0" w:color="auto"/>
        <w:right w:val="none" w:sz="0" w:space="0" w:color="auto"/>
      </w:divBdr>
    </w:div>
    <w:div w:id="1790009023">
      <w:marLeft w:val="0"/>
      <w:marRight w:val="0"/>
      <w:marTop w:val="0"/>
      <w:marBottom w:val="100"/>
      <w:divBdr>
        <w:top w:val="none" w:sz="0" w:space="0" w:color="auto"/>
        <w:left w:val="none" w:sz="0" w:space="0" w:color="auto"/>
        <w:bottom w:val="none" w:sz="0" w:space="0" w:color="auto"/>
        <w:right w:val="none" w:sz="0" w:space="0" w:color="auto"/>
      </w:divBdr>
    </w:div>
    <w:div w:id="1790472611">
      <w:marLeft w:val="0"/>
      <w:marRight w:val="0"/>
      <w:marTop w:val="180"/>
      <w:marBottom w:val="0"/>
      <w:divBdr>
        <w:top w:val="none" w:sz="0" w:space="0" w:color="auto"/>
        <w:left w:val="none" w:sz="0" w:space="0" w:color="auto"/>
        <w:bottom w:val="none" w:sz="0" w:space="0" w:color="auto"/>
        <w:right w:val="none" w:sz="0" w:space="0" w:color="auto"/>
      </w:divBdr>
    </w:div>
    <w:div w:id="1790514867">
      <w:marLeft w:val="0"/>
      <w:marRight w:val="0"/>
      <w:marTop w:val="0"/>
      <w:marBottom w:val="100"/>
      <w:divBdr>
        <w:top w:val="none" w:sz="0" w:space="0" w:color="auto"/>
        <w:left w:val="none" w:sz="0" w:space="0" w:color="auto"/>
        <w:bottom w:val="none" w:sz="0" w:space="0" w:color="auto"/>
        <w:right w:val="none" w:sz="0" w:space="0" w:color="auto"/>
      </w:divBdr>
    </w:div>
    <w:div w:id="1791700703">
      <w:marLeft w:val="0"/>
      <w:marRight w:val="0"/>
      <w:marTop w:val="0"/>
      <w:marBottom w:val="0"/>
      <w:divBdr>
        <w:top w:val="none" w:sz="0" w:space="0" w:color="auto"/>
        <w:left w:val="none" w:sz="0" w:space="0" w:color="auto"/>
        <w:bottom w:val="none" w:sz="0" w:space="0" w:color="auto"/>
        <w:right w:val="none" w:sz="0" w:space="0" w:color="auto"/>
      </w:divBdr>
      <w:divsChild>
        <w:div w:id="810488696">
          <w:marLeft w:val="0"/>
          <w:marRight w:val="0"/>
          <w:marTop w:val="0"/>
          <w:marBottom w:val="0"/>
          <w:divBdr>
            <w:top w:val="none" w:sz="0" w:space="0" w:color="auto"/>
            <w:left w:val="none" w:sz="0" w:space="0" w:color="auto"/>
            <w:bottom w:val="none" w:sz="0" w:space="0" w:color="auto"/>
            <w:right w:val="none" w:sz="0" w:space="0" w:color="auto"/>
          </w:divBdr>
          <w:divsChild>
            <w:div w:id="81842645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94326004">
      <w:marLeft w:val="0"/>
      <w:marRight w:val="0"/>
      <w:marTop w:val="0"/>
      <w:marBottom w:val="10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796824266">
      <w:marLeft w:val="0"/>
      <w:marRight w:val="0"/>
      <w:marTop w:val="180"/>
      <w:marBottom w:val="100"/>
      <w:divBdr>
        <w:top w:val="none" w:sz="0" w:space="0" w:color="auto"/>
        <w:left w:val="none" w:sz="0" w:space="0" w:color="auto"/>
        <w:bottom w:val="none" w:sz="0" w:space="0" w:color="auto"/>
        <w:right w:val="none" w:sz="0" w:space="0" w:color="auto"/>
      </w:divBdr>
    </w:div>
    <w:div w:id="1797025434">
      <w:marLeft w:val="0"/>
      <w:marRight w:val="0"/>
      <w:marTop w:val="0"/>
      <w:marBottom w:val="0"/>
      <w:divBdr>
        <w:top w:val="none" w:sz="0" w:space="0" w:color="auto"/>
        <w:left w:val="none" w:sz="0" w:space="0" w:color="auto"/>
        <w:bottom w:val="none" w:sz="0" w:space="0" w:color="auto"/>
        <w:right w:val="none" w:sz="0" w:space="0" w:color="auto"/>
      </w:divBdr>
    </w:div>
    <w:div w:id="1798141009">
      <w:marLeft w:val="0"/>
      <w:marRight w:val="0"/>
      <w:marTop w:val="0"/>
      <w:marBottom w:val="0"/>
      <w:divBdr>
        <w:top w:val="none" w:sz="0" w:space="0" w:color="auto"/>
        <w:left w:val="none" w:sz="0" w:space="0" w:color="auto"/>
        <w:bottom w:val="none" w:sz="0" w:space="0" w:color="auto"/>
        <w:right w:val="none" w:sz="0" w:space="0" w:color="auto"/>
      </w:divBdr>
      <w:divsChild>
        <w:div w:id="192810358">
          <w:marLeft w:val="0"/>
          <w:marRight w:val="0"/>
          <w:marTop w:val="0"/>
          <w:marBottom w:val="0"/>
          <w:divBdr>
            <w:top w:val="none" w:sz="0" w:space="0" w:color="auto"/>
            <w:left w:val="none" w:sz="0" w:space="0" w:color="auto"/>
            <w:bottom w:val="none" w:sz="0" w:space="0" w:color="auto"/>
            <w:right w:val="none" w:sz="0" w:space="0" w:color="auto"/>
          </w:divBdr>
          <w:divsChild>
            <w:div w:id="98258352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98405207">
      <w:marLeft w:val="0"/>
      <w:marRight w:val="0"/>
      <w:marTop w:val="0"/>
      <w:marBottom w:val="0"/>
      <w:divBdr>
        <w:top w:val="none" w:sz="0" w:space="0" w:color="auto"/>
        <w:left w:val="none" w:sz="0" w:space="0" w:color="auto"/>
        <w:bottom w:val="none" w:sz="0" w:space="0" w:color="auto"/>
        <w:right w:val="none" w:sz="0" w:space="0" w:color="auto"/>
      </w:divBdr>
      <w:divsChild>
        <w:div w:id="1035427999">
          <w:marLeft w:val="0"/>
          <w:marRight w:val="0"/>
          <w:marTop w:val="0"/>
          <w:marBottom w:val="0"/>
          <w:divBdr>
            <w:top w:val="none" w:sz="0" w:space="0" w:color="auto"/>
            <w:left w:val="none" w:sz="0" w:space="0" w:color="auto"/>
            <w:bottom w:val="none" w:sz="0" w:space="0" w:color="auto"/>
            <w:right w:val="none" w:sz="0" w:space="0" w:color="auto"/>
          </w:divBdr>
          <w:divsChild>
            <w:div w:id="81422234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98832504">
      <w:marLeft w:val="0"/>
      <w:marRight w:val="0"/>
      <w:marTop w:val="0"/>
      <w:marBottom w:val="100"/>
      <w:divBdr>
        <w:top w:val="none" w:sz="0" w:space="0" w:color="auto"/>
        <w:left w:val="none" w:sz="0" w:space="0" w:color="auto"/>
        <w:bottom w:val="none" w:sz="0" w:space="0" w:color="auto"/>
        <w:right w:val="none" w:sz="0" w:space="0" w:color="auto"/>
      </w:divBdr>
    </w:div>
    <w:div w:id="1801067516">
      <w:marLeft w:val="0"/>
      <w:marRight w:val="0"/>
      <w:marTop w:val="0"/>
      <w:marBottom w:val="0"/>
      <w:divBdr>
        <w:top w:val="none" w:sz="0" w:space="0" w:color="auto"/>
        <w:left w:val="none" w:sz="0" w:space="0" w:color="auto"/>
        <w:bottom w:val="none" w:sz="0" w:space="0" w:color="auto"/>
        <w:right w:val="none" w:sz="0" w:space="0" w:color="auto"/>
      </w:divBdr>
    </w:div>
    <w:div w:id="1801335483">
      <w:marLeft w:val="0"/>
      <w:marRight w:val="0"/>
      <w:marTop w:val="0"/>
      <w:marBottom w:val="0"/>
      <w:divBdr>
        <w:top w:val="none" w:sz="0" w:space="0" w:color="auto"/>
        <w:left w:val="none" w:sz="0" w:space="0" w:color="auto"/>
        <w:bottom w:val="none" w:sz="0" w:space="0" w:color="auto"/>
        <w:right w:val="none" w:sz="0" w:space="0" w:color="auto"/>
      </w:divBdr>
      <w:divsChild>
        <w:div w:id="889146926">
          <w:marLeft w:val="0"/>
          <w:marRight w:val="0"/>
          <w:marTop w:val="0"/>
          <w:marBottom w:val="100"/>
          <w:divBdr>
            <w:top w:val="none" w:sz="0" w:space="0" w:color="auto"/>
            <w:left w:val="none" w:sz="0" w:space="0" w:color="auto"/>
            <w:bottom w:val="none" w:sz="0" w:space="0" w:color="auto"/>
            <w:right w:val="none" w:sz="0" w:space="0" w:color="auto"/>
          </w:divBdr>
        </w:div>
      </w:divsChild>
    </w:div>
    <w:div w:id="1803886927">
      <w:marLeft w:val="0"/>
      <w:marRight w:val="0"/>
      <w:marTop w:val="0"/>
      <w:marBottom w:val="0"/>
      <w:divBdr>
        <w:top w:val="none" w:sz="0" w:space="0" w:color="auto"/>
        <w:left w:val="none" w:sz="0" w:space="0" w:color="auto"/>
        <w:bottom w:val="none" w:sz="0" w:space="0" w:color="auto"/>
        <w:right w:val="none" w:sz="0" w:space="0" w:color="auto"/>
      </w:divBdr>
    </w:div>
    <w:div w:id="1805657701">
      <w:marLeft w:val="0"/>
      <w:marRight w:val="0"/>
      <w:marTop w:val="0"/>
      <w:marBottom w:val="100"/>
      <w:divBdr>
        <w:top w:val="none" w:sz="0" w:space="0" w:color="auto"/>
        <w:left w:val="none" w:sz="0" w:space="0" w:color="auto"/>
        <w:bottom w:val="none" w:sz="0" w:space="0" w:color="auto"/>
        <w:right w:val="none" w:sz="0" w:space="0" w:color="auto"/>
      </w:divBdr>
    </w:div>
    <w:div w:id="1806311328">
      <w:marLeft w:val="0"/>
      <w:marRight w:val="0"/>
      <w:marTop w:val="180"/>
      <w:marBottom w:val="0"/>
      <w:divBdr>
        <w:top w:val="none" w:sz="0" w:space="0" w:color="auto"/>
        <w:left w:val="none" w:sz="0" w:space="0" w:color="auto"/>
        <w:bottom w:val="none" w:sz="0" w:space="0" w:color="auto"/>
        <w:right w:val="none" w:sz="0" w:space="0" w:color="auto"/>
      </w:divBdr>
    </w:div>
    <w:div w:id="1807896677">
      <w:marLeft w:val="0"/>
      <w:marRight w:val="0"/>
      <w:marTop w:val="100"/>
      <w:marBottom w:val="0"/>
      <w:divBdr>
        <w:top w:val="none" w:sz="0" w:space="0" w:color="auto"/>
        <w:left w:val="none" w:sz="0" w:space="0" w:color="auto"/>
        <w:bottom w:val="none" w:sz="0" w:space="0" w:color="auto"/>
        <w:right w:val="none" w:sz="0" w:space="0" w:color="auto"/>
      </w:divBdr>
    </w:div>
    <w:div w:id="1809201043">
      <w:marLeft w:val="0"/>
      <w:marRight w:val="0"/>
      <w:marTop w:val="180"/>
      <w:marBottom w:val="0"/>
      <w:divBdr>
        <w:top w:val="none" w:sz="0" w:space="0" w:color="auto"/>
        <w:left w:val="none" w:sz="0" w:space="0" w:color="auto"/>
        <w:bottom w:val="none" w:sz="0" w:space="0" w:color="auto"/>
        <w:right w:val="none" w:sz="0" w:space="0" w:color="auto"/>
      </w:divBdr>
    </w:div>
    <w:div w:id="1810636098">
      <w:marLeft w:val="0"/>
      <w:marRight w:val="0"/>
      <w:marTop w:val="180"/>
      <w:marBottom w:val="0"/>
      <w:divBdr>
        <w:top w:val="none" w:sz="0" w:space="0" w:color="auto"/>
        <w:left w:val="none" w:sz="0" w:space="0" w:color="auto"/>
        <w:bottom w:val="none" w:sz="0" w:space="0" w:color="auto"/>
        <w:right w:val="none" w:sz="0" w:space="0" w:color="auto"/>
      </w:divBdr>
    </w:div>
    <w:div w:id="1811748674">
      <w:marLeft w:val="0"/>
      <w:marRight w:val="0"/>
      <w:marTop w:val="100"/>
      <w:marBottom w:val="100"/>
      <w:divBdr>
        <w:top w:val="none" w:sz="0" w:space="0" w:color="auto"/>
        <w:left w:val="none" w:sz="0" w:space="0" w:color="auto"/>
        <w:bottom w:val="none" w:sz="0" w:space="0" w:color="auto"/>
        <w:right w:val="none" w:sz="0" w:space="0" w:color="auto"/>
      </w:divBdr>
    </w:div>
    <w:div w:id="1821143826">
      <w:marLeft w:val="0"/>
      <w:marRight w:val="0"/>
      <w:marTop w:val="100"/>
      <w:marBottom w:val="100"/>
      <w:divBdr>
        <w:top w:val="none" w:sz="0" w:space="0" w:color="auto"/>
        <w:left w:val="none" w:sz="0" w:space="0" w:color="auto"/>
        <w:bottom w:val="none" w:sz="0" w:space="0" w:color="auto"/>
        <w:right w:val="none" w:sz="0" w:space="0" w:color="auto"/>
      </w:divBdr>
    </w:div>
    <w:div w:id="1828280470">
      <w:marLeft w:val="0"/>
      <w:marRight w:val="0"/>
      <w:marTop w:val="100"/>
      <w:marBottom w:val="100"/>
      <w:divBdr>
        <w:top w:val="none" w:sz="0" w:space="0" w:color="auto"/>
        <w:left w:val="none" w:sz="0" w:space="0" w:color="auto"/>
        <w:bottom w:val="none" w:sz="0" w:space="0" w:color="auto"/>
        <w:right w:val="none" w:sz="0" w:space="0" w:color="auto"/>
      </w:divBdr>
    </w:div>
    <w:div w:id="1829134187">
      <w:marLeft w:val="0"/>
      <w:marRight w:val="0"/>
      <w:marTop w:val="100"/>
      <w:marBottom w:val="100"/>
      <w:divBdr>
        <w:top w:val="none" w:sz="0" w:space="0" w:color="auto"/>
        <w:left w:val="none" w:sz="0" w:space="0" w:color="auto"/>
        <w:bottom w:val="none" w:sz="0" w:space="0" w:color="auto"/>
        <w:right w:val="none" w:sz="0" w:space="0" w:color="auto"/>
      </w:divBdr>
    </w:div>
    <w:div w:id="1831171985">
      <w:marLeft w:val="0"/>
      <w:marRight w:val="0"/>
      <w:marTop w:val="100"/>
      <w:marBottom w:val="100"/>
      <w:divBdr>
        <w:top w:val="none" w:sz="0" w:space="0" w:color="auto"/>
        <w:left w:val="none" w:sz="0" w:space="0" w:color="auto"/>
        <w:bottom w:val="none" w:sz="0" w:space="0" w:color="auto"/>
        <w:right w:val="none" w:sz="0" w:space="0" w:color="auto"/>
      </w:divBdr>
    </w:div>
    <w:div w:id="1831481410">
      <w:marLeft w:val="0"/>
      <w:marRight w:val="0"/>
      <w:marTop w:val="100"/>
      <w:marBottom w:val="100"/>
      <w:divBdr>
        <w:top w:val="none" w:sz="0" w:space="0" w:color="auto"/>
        <w:left w:val="none" w:sz="0" w:space="0" w:color="auto"/>
        <w:bottom w:val="none" w:sz="0" w:space="0" w:color="auto"/>
        <w:right w:val="none" w:sz="0" w:space="0" w:color="auto"/>
      </w:divBdr>
    </w:div>
    <w:div w:id="1833332002">
      <w:marLeft w:val="0"/>
      <w:marRight w:val="0"/>
      <w:marTop w:val="0"/>
      <w:marBottom w:val="0"/>
      <w:divBdr>
        <w:top w:val="none" w:sz="0" w:space="0" w:color="auto"/>
        <w:left w:val="none" w:sz="0" w:space="0" w:color="auto"/>
        <w:bottom w:val="none" w:sz="0" w:space="0" w:color="auto"/>
        <w:right w:val="none" w:sz="0" w:space="0" w:color="auto"/>
      </w:divBdr>
      <w:divsChild>
        <w:div w:id="1835610722">
          <w:marLeft w:val="0"/>
          <w:marRight w:val="0"/>
          <w:marTop w:val="0"/>
          <w:marBottom w:val="0"/>
          <w:divBdr>
            <w:top w:val="none" w:sz="0" w:space="0" w:color="auto"/>
            <w:left w:val="none" w:sz="0" w:space="0" w:color="auto"/>
            <w:bottom w:val="none" w:sz="0" w:space="0" w:color="auto"/>
            <w:right w:val="none" w:sz="0" w:space="0" w:color="auto"/>
          </w:divBdr>
          <w:divsChild>
            <w:div w:id="84621232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33787982">
      <w:marLeft w:val="0"/>
      <w:marRight w:val="0"/>
      <w:marTop w:val="0"/>
      <w:marBottom w:val="0"/>
      <w:divBdr>
        <w:top w:val="none" w:sz="0" w:space="0" w:color="auto"/>
        <w:left w:val="none" w:sz="0" w:space="0" w:color="auto"/>
        <w:bottom w:val="none" w:sz="0" w:space="0" w:color="auto"/>
        <w:right w:val="none" w:sz="0" w:space="0" w:color="auto"/>
      </w:divBdr>
      <w:divsChild>
        <w:div w:id="1835022496">
          <w:marLeft w:val="0"/>
          <w:marRight w:val="0"/>
          <w:marTop w:val="0"/>
          <w:marBottom w:val="0"/>
          <w:divBdr>
            <w:top w:val="none" w:sz="0" w:space="0" w:color="auto"/>
            <w:left w:val="none" w:sz="0" w:space="0" w:color="auto"/>
            <w:bottom w:val="none" w:sz="0" w:space="0" w:color="auto"/>
            <w:right w:val="none" w:sz="0" w:space="0" w:color="auto"/>
          </w:divBdr>
          <w:divsChild>
            <w:div w:id="124592142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34300064">
      <w:marLeft w:val="0"/>
      <w:marRight w:val="0"/>
      <w:marTop w:val="0"/>
      <w:marBottom w:val="0"/>
      <w:divBdr>
        <w:top w:val="none" w:sz="0" w:space="0" w:color="auto"/>
        <w:left w:val="none" w:sz="0" w:space="0" w:color="auto"/>
        <w:bottom w:val="none" w:sz="0" w:space="0" w:color="auto"/>
        <w:right w:val="none" w:sz="0" w:space="0" w:color="auto"/>
      </w:divBdr>
    </w:div>
    <w:div w:id="1835412475">
      <w:marLeft w:val="0"/>
      <w:marRight w:val="0"/>
      <w:marTop w:val="0"/>
      <w:marBottom w:val="0"/>
      <w:divBdr>
        <w:top w:val="none" w:sz="0" w:space="0" w:color="auto"/>
        <w:left w:val="none" w:sz="0" w:space="0" w:color="auto"/>
        <w:bottom w:val="none" w:sz="0" w:space="0" w:color="auto"/>
        <w:right w:val="none" w:sz="0" w:space="0" w:color="auto"/>
      </w:divBdr>
      <w:divsChild>
        <w:div w:id="1165127941">
          <w:marLeft w:val="0"/>
          <w:marRight w:val="0"/>
          <w:marTop w:val="0"/>
          <w:marBottom w:val="0"/>
          <w:divBdr>
            <w:top w:val="none" w:sz="0" w:space="0" w:color="auto"/>
            <w:left w:val="none" w:sz="0" w:space="0" w:color="auto"/>
            <w:bottom w:val="none" w:sz="0" w:space="0" w:color="auto"/>
            <w:right w:val="none" w:sz="0" w:space="0" w:color="auto"/>
          </w:divBdr>
          <w:divsChild>
            <w:div w:id="169792686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35758399">
      <w:marLeft w:val="0"/>
      <w:marRight w:val="0"/>
      <w:marTop w:val="0"/>
      <w:marBottom w:val="100"/>
      <w:divBdr>
        <w:top w:val="none" w:sz="0" w:space="0" w:color="auto"/>
        <w:left w:val="none" w:sz="0" w:space="0" w:color="auto"/>
        <w:bottom w:val="none" w:sz="0" w:space="0" w:color="auto"/>
        <w:right w:val="none" w:sz="0" w:space="0" w:color="auto"/>
      </w:divBdr>
    </w:div>
    <w:div w:id="1838954914">
      <w:marLeft w:val="0"/>
      <w:marRight w:val="0"/>
      <w:marTop w:val="80"/>
      <w:marBottom w:val="0"/>
      <w:divBdr>
        <w:top w:val="none" w:sz="0" w:space="0" w:color="auto"/>
        <w:left w:val="none" w:sz="0" w:space="0" w:color="auto"/>
        <w:bottom w:val="none" w:sz="0" w:space="0" w:color="auto"/>
        <w:right w:val="none" w:sz="0" w:space="0" w:color="auto"/>
      </w:divBdr>
    </w:div>
    <w:div w:id="1838958243">
      <w:marLeft w:val="0"/>
      <w:marRight w:val="0"/>
      <w:marTop w:val="180"/>
      <w:marBottom w:val="0"/>
      <w:divBdr>
        <w:top w:val="none" w:sz="0" w:space="0" w:color="auto"/>
        <w:left w:val="none" w:sz="0" w:space="0" w:color="auto"/>
        <w:bottom w:val="none" w:sz="0" w:space="0" w:color="auto"/>
        <w:right w:val="none" w:sz="0" w:space="0" w:color="auto"/>
      </w:divBdr>
    </w:div>
    <w:div w:id="1839270693">
      <w:marLeft w:val="0"/>
      <w:marRight w:val="0"/>
      <w:marTop w:val="0"/>
      <w:marBottom w:val="0"/>
      <w:divBdr>
        <w:top w:val="none" w:sz="0" w:space="0" w:color="auto"/>
        <w:left w:val="none" w:sz="0" w:space="0" w:color="auto"/>
        <w:bottom w:val="none" w:sz="0" w:space="0" w:color="auto"/>
        <w:right w:val="none" w:sz="0" w:space="0" w:color="auto"/>
      </w:divBdr>
    </w:div>
    <w:div w:id="1840265576">
      <w:marLeft w:val="0"/>
      <w:marRight w:val="0"/>
      <w:marTop w:val="100"/>
      <w:marBottom w:val="0"/>
      <w:divBdr>
        <w:top w:val="none" w:sz="0" w:space="0" w:color="auto"/>
        <w:left w:val="none" w:sz="0" w:space="0" w:color="auto"/>
        <w:bottom w:val="none" w:sz="0" w:space="0" w:color="auto"/>
        <w:right w:val="none" w:sz="0" w:space="0" w:color="auto"/>
      </w:divBdr>
    </w:div>
    <w:div w:id="1842236197">
      <w:marLeft w:val="0"/>
      <w:marRight w:val="0"/>
      <w:marTop w:val="0"/>
      <w:marBottom w:val="0"/>
      <w:divBdr>
        <w:top w:val="none" w:sz="0" w:space="0" w:color="auto"/>
        <w:left w:val="none" w:sz="0" w:space="0" w:color="auto"/>
        <w:bottom w:val="none" w:sz="0" w:space="0" w:color="auto"/>
        <w:right w:val="none" w:sz="0" w:space="0" w:color="auto"/>
      </w:divBdr>
    </w:div>
    <w:div w:id="1842701996">
      <w:marLeft w:val="0"/>
      <w:marRight w:val="0"/>
      <w:marTop w:val="0"/>
      <w:marBottom w:val="0"/>
      <w:divBdr>
        <w:top w:val="none" w:sz="0" w:space="0" w:color="auto"/>
        <w:left w:val="none" w:sz="0" w:space="0" w:color="auto"/>
        <w:bottom w:val="none" w:sz="0" w:space="0" w:color="auto"/>
        <w:right w:val="none" w:sz="0" w:space="0" w:color="auto"/>
      </w:divBdr>
    </w:div>
    <w:div w:id="1846700173">
      <w:marLeft w:val="0"/>
      <w:marRight w:val="0"/>
      <w:marTop w:val="0"/>
      <w:marBottom w:val="0"/>
      <w:divBdr>
        <w:top w:val="none" w:sz="0" w:space="0" w:color="auto"/>
        <w:left w:val="none" w:sz="0" w:space="0" w:color="auto"/>
        <w:bottom w:val="none" w:sz="0" w:space="0" w:color="auto"/>
        <w:right w:val="none" w:sz="0" w:space="0" w:color="auto"/>
      </w:divBdr>
    </w:div>
    <w:div w:id="1850294636">
      <w:marLeft w:val="0"/>
      <w:marRight w:val="0"/>
      <w:marTop w:val="80"/>
      <w:marBottom w:val="100"/>
      <w:divBdr>
        <w:top w:val="none" w:sz="0" w:space="0" w:color="auto"/>
        <w:left w:val="none" w:sz="0" w:space="0" w:color="auto"/>
        <w:bottom w:val="none" w:sz="0" w:space="0" w:color="auto"/>
        <w:right w:val="none" w:sz="0" w:space="0" w:color="auto"/>
      </w:divBdr>
    </w:div>
    <w:div w:id="1850371726">
      <w:marLeft w:val="0"/>
      <w:marRight w:val="0"/>
      <w:marTop w:val="100"/>
      <w:marBottom w:val="100"/>
      <w:divBdr>
        <w:top w:val="none" w:sz="0" w:space="0" w:color="auto"/>
        <w:left w:val="none" w:sz="0" w:space="0" w:color="auto"/>
        <w:bottom w:val="none" w:sz="0" w:space="0" w:color="auto"/>
        <w:right w:val="none" w:sz="0" w:space="0" w:color="auto"/>
      </w:divBdr>
    </w:div>
    <w:div w:id="1851488774">
      <w:marLeft w:val="0"/>
      <w:marRight w:val="0"/>
      <w:marTop w:val="100"/>
      <w:marBottom w:val="0"/>
      <w:divBdr>
        <w:top w:val="none" w:sz="0" w:space="0" w:color="auto"/>
        <w:left w:val="none" w:sz="0" w:space="0" w:color="auto"/>
        <w:bottom w:val="none" w:sz="0" w:space="0" w:color="auto"/>
        <w:right w:val="none" w:sz="0" w:space="0" w:color="auto"/>
      </w:divBdr>
    </w:div>
    <w:div w:id="1852909814">
      <w:marLeft w:val="0"/>
      <w:marRight w:val="0"/>
      <w:marTop w:val="0"/>
      <w:marBottom w:val="0"/>
      <w:divBdr>
        <w:top w:val="none" w:sz="0" w:space="0" w:color="auto"/>
        <w:left w:val="none" w:sz="0" w:space="0" w:color="auto"/>
        <w:bottom w:val="none" w:sz="0" w:space="0" w:color="auto"/>
        <w:right w:val="none" w:sz="0" w:space="0" w:color="auto"/>
      </w:divBdr>
      <w:divsChild>
        <w:div w:id="1677028349">
          <w:marLeft w:val="0"/>
          <w:marRight w:val="0"/>
          <w:marTop w:val="0"/>
          <w:marBottom w:val="0"/>
          <w:divBdr>
            <w:top w:val="none" w:sz="0" w:space="0" w:color="auto"/>
            <w:left w:val="none" w:sz="0" w:space="0" w:color="auto"/>
            <w:bottom w:val="none" w:sz="0" w:space="0" w:color="auto"/>
            <w:right w:val="none" w:sz="0" w:space="0" w:color="auto"/>
          </w:divBdr>
          <w:divsChild>
            <w:div w:id="44042199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53105017">
      <w:marLeft w:val="0"/>
      <w:marRight w:val="0"/>
      <w:marTop w:val="180"/>
      <w:marBottom w:val="0"/>
      <w:divBdr>
        <w:top w:val="none" w:sz="0" w:space="0" w:color="auto"/>
        <w:left w:val="none" w:sz="0" w:space="0" w:color="auto"/>
        <w:bottom w:val="none" w:sz="0" w:space="0" w:color="auto"/>
        <w:right w:val="none" w:sz="0" w:space="0" w:color="auto"/>
      </w:divBdr>
    </w:div>
    <w:div w:id="1853296011">
      <w:marLeft w:val="0"/>
      <w:marRight w:val="0"/>
      <w:marTop w:val="0"/>
      <w:marBottom w:val="0"/>
      <w:divBdr>
        <w:top w:val="none" w:sz="0" w:space="0" w:color="auto"/>
        <w:left w:val="none" w:sz="0" w:space="0" w:color="auto"/>
        <w:bottom w:val="none" w:sz="0" w:space="0" w:color="auto"/>
        <w:right w:val="none" w:sz="0" w:space="0" w:color="auto"/>
      </w:divBdr>
    </w:div>
    <w:div w:id="1853834640">
      <w:marLeft w:val="0"/>
      <w:marRight w:val="0"/>
      <w:marTop w:val="180"/>
      <w:marBottom w:val="0"/>
      <w:divBdr>
        <w:top w:val="none" w:sz="0" w:space="0" w:color="auto"/>
        <w:left w:val="none" w:sz="0" w:space="0" w:color="auto"/>
        <w:bottom w:val="none" w:sz="0" w:space="0" w:color="auto"/>
        <w:right w:val="none" w:sz="0" w:space="0" w:color="auto"/>
      </w:divBdr>
    </w:div>
    <w:div w:id="1856385489">
      <w:marLeft w:val="0"/>
      <w:marRight w:val="0"/>
      <w:marTop w:val="100"/>
      <w:marBottom w:val="100"/>
      <w:divBdr>
        <w:top w:val="none" w:sz="0" w:space="0" w:color="auto"/>
        <w:left w:val="none" w:sz="0" w:space="0" w:color="auto"/>
        <w:bottom w:val="none" w:sz="0" w:space="0" w:color="auto"/>
        <w:right w:val="none" w:sz="0" w:space="0" w:color="auto"/>
      </w:divBdr>
    </w:div>
    <w:div w:id="1857966309">
      <w:marLeft w:val="0"/>
      <w:marRight w:val="0"/>
      <w:marTop w:val="0"/>
      <w:marBottom w:val="100"/>
      <w:divBdr>
        <w:top w:val="none" w:sz="0" w:space="0" w:color="auto"/>
        <w:left w:val="none" w:sz="0" w:space="0" w:color="auto"/>
        <w:bottom w:val="none" w:sz="0" w:space="0" w:color="auto"/>
        <w:right w:val="none" w:sz="0" w:space="0" w:color="auto"/>
      </w:divBdr>
    </w:div>
    <w:div w:id="1858347188">
      <w:marLeft w:val="0"/>
      <w:marRight w:val="0"/>
      <w:marTop w:val="0"/>
      <w:marBottom w:val="100"/>
      <w:divBdr>
        <w:top w:val="none" w:sz="0" w:space="0" w:color="auto"/>
        <w:left w:val="none" w:sz="0" w:space="0" w:color="auto"/>
        <w:bottom w:val="none" w:sz="0" w:space="0" w:color="auto"/>
        <w:right w:val="none" w:sz="0" w:space="0" w:color="auto"/>
      </w:divBdr>
    </w:div>
    <w:div w:id="1858694839">
      <w:marLeft w:val="0"/>
      <w:marRight w:val="0"/>
      <w:marTop w:val="0"/>
      <w:marBottom w:val="0"/>
      <w:divBdr>
        <w:top w:val="none" w:sz="0" w:space="0" w:color="auto"/>
        <w:left w:val="none" w:sz="0" w:space="0" w:color="auto"/>
        <w:bottom w:val="none" w:sz="0" w:space="0" w:color="auto"/>
        <w:right w:val="none" w:sz="0" w:space="0" w:color="auto"/>
      </w:divBdr>
      <w:divsChild>
        <w:div w:id="127281871">
          <w:marLeft w:val="0"/>
          <w:marRight w:val="0"/>
          <w:marTop w:val="0"/>
          <w:marBottom w:val="0"/>
          <w:divBdr>
            <w:top w:val="none" w:sz="0" w:space="0" w:color="auto"/>
            <w:left w:val="none" w:sz="0" w:space="0" w:color="auto"/>
            <w:bottom w:val="none" w:sz="0" w:space="0" w:color="auto"/>
            <w:right w:val="none" w:sz="0" w:space="0" w:color="auto"/>
          </w:divBdr>
          <w:divsChild>
            <w:div w:id="114612478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59345482">
      <w:marLeft w:val="0"/>
      <w:marRight w:val="0"/>
      <w:marTop w:val="0"/>
      <w:marBottom w:val="0"/>
      <w:divBdr>
        <w:top w:val="none" w:sz="0" w:space="0" w:color="auto"/>
        <w:left w:val="none" w:sz="0" w:space="0" w:color="auto"/>
        <w:bottom w:val="none" w:sz="0" w:space="0" w:color="auto"/>
        <w:right w:val="none" w:sz="0" w:space="0" w:color="auto"/>
      </w:divBdr>
      <w:divsChild>
        <w:div w:id="1737360374">
          <w:marLeft w:val="0"/>
          <w:marRight w:val="0"/>
          <w:marTop w:val="0"/>
          <w:marBottom w:val="100"/>
          <w:divBdr>
            <w:top w:val="none" w:sz="0" w:space="0" w:color="auto"/>
            <w:left w:val="none" w:sz="0" w:space="0" w:color="auto"/>
            <w:bottom w:val="none" w:sz="0" w:space="0" w:color="auto"/>
            <w:right w:val="none" w:sz="0" w:space="0" w:color="auto"/>
          </w:divBdr>
        </w:div>
      </w:divsChild>
    </w:div>
    <w:div w:id="1860124872">
      <w:marLeft w:val="0"/>
      <w:marRight w:val="0"/>
      <w:marTop w:val="0"/>
      <w:marBottom w:val="0"/>
      <w:divBdr>
        <w:top w:val="none" w:sz="0" w:space="0" w:color="auto"/>
        <w:left w:val="none" w:sz="0" w:space="0" w:color="auto"/>
        <w:bottom w:val="none" w:sz="0" w:space="0" w:color="auto"/>
        <w:right w:val="none" w:sz="0" w:space="0" w:color="auto"/>
      </w:divBdr>
      <w:divsChild>
        <w:div w:id="1823084251">
          <w:marLeft w:val="0"/>
          <w:marRight w:val="0"/>
          <w:marTop w:val="0"/>
          <w:marBottom w:val="0"/>
          <w:divBdr>
            <w:top w:val="none" w:sz="0" w:space="0" w:color="auto"/>
            <w:left w:val="none" w:sz="0" w:space="0" w:color="auto"/>
            <w:bottom w:val="none" w:sz="0" w:space="0" w:color="auto"/>
            <w:right w:val="none" w:sz="0" w:space="0" w:color="auto"/>
          </w:divBdr>
          <w:divsChild>
            <w:div w:id="153642911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60271287">
      <w:marLeft w:val="0"/>
      <w:marRight w:val="0"/>
      <w:marTop w:val="0"/>
      <w:marBottom w:val="0"/>
      <w:divBdr>
        <w:top w:val="none" w:sz="0" w:space="0" w:color="auto"/>
        <w:left w:val="none" w:sz="0" w:space="0" w:color="auto"/>
        <w:bottom w:val="none" w:sz="0" w:space="0" w:color="auto"/>
        <w:right w:val="none" w:sz="0" w:space="0" w:color="auto"/>
      </w:divBdr>
      <w:divsChild>
        <w:div w:id="1113015604">
          <w:marLeft w:val="0"/>
          <w:marRight w:val="0"/>
          <w:marTop w:val="0"/>
          <w:marBottom w:val="0"/>
          <w:divBdr>
            <w:top w:val="none" w:sz="0" w:space="0" w:color="auto"/>
            <w:left w:val="none" w:sz="0" w:space="0" w:color="auto"/>
            <w:bottom w:val="none" w:sz="0" w:space="0" w:color="auto"/>
            <w:right w:val="none" w:sz="0" w:space="0" w:color="auto"/>
          </w:divBdr>
          <w:divsChild>
            <w:div w:id="125516362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61158967">
      <w:marLeft w:val="0"/>
      <w:marRight w:val="0"/>
      <w:marTop w:val="100"/>
      <w:marBottom w:val="100"/>
      <w:divBdr>
        <w:top w:val="none" w:sz="0" w:space="0" w:color="auto"/>
        <w:left w:val="none" w:sz="0" w:space="0" w:color="auto"/>
        <w:bottom w:val="none" w:sz="0" w:space="0" w:color="auto"/>
        <w:right w:val="none" w:sz="0" w:space="0" w:color="auto"/>
      </w:divBdr>
    </w:div>
    <w:div w:id="1862933105">
      <w:marLeft w:val="0"/>
      <w:marRight w:val="0"/>
      <w:marTop w:val="100"/>
      <w:marBottom w:val="100"/>
      <w:divBdr>
        <w:top w:val="none" w:sz="0" w:space="0" w:color="auto"/>
        <w:left w:val="none" w:sz="0" w:space="0" w:color="auto"/>
        <w:bottom w:val="none" w:sz="0" w:space="0" w:color="auto"/>
        <w:right w:val="none" w:sz="0" w:space="0" w:color="auto"/>
      </w:divBdr>
    </w:div>
    <w:div w:id="1863349853">
      <w:marLeft w:val="0"/>
      <w:marRight w:val="0"/>
      <w:marTop w:val="180"/>
      <w:marBottom w:val="0"/>
      <w:divBdr>
        <w:top w:val="none" w:sz="0" w:space="0" w:color="auto"/>
        <w:left w:val="none" w:sz="0" w:space="0" w:color="auto"/>
        <w:bottom w:val="none" w:sz="0" w:space="0" w:color="auto"/>
        <w:right w:val="none" w:sz="0" w:space="0" w:color="auto"/>
      </w:divBdr>
    </w:div>
    <w:div w:id="1865508878">
      <w:marLeft w:val="0"/>
      <w:marRight w:val="0"/>
      <w:marTop w:val="100"/>
      <w:marBottom w:val="100"/>
      <w:divBdr>
        <w:top w:val="none" w:sz="0" w:space="0" w:color="auto"/>
        <w:left w:val="none" w:sz="0" w:space="0" w:color="auto"/>
        <w:bottom w:val="none" w:sz="0" w:space="0" w:color="auto"/>
        <w:right w:val="none" w:sz="0" w:space="0" w:color="auto"/>
      </w:divBdr>
    </w:div>
    <w:div w:id="1865705484">
      <w:marLeft w:val="0"/>
      <w:marRight w:val="0"/>
      <w:marTop w:val="180"/>
      <w:marBottom w:val="100"/>
      <w:divBdr>
        <w:top w:val="none" w:sz="0" w:space="0" w:color="auto"/>
        <w:left w:val="none" w:sz="0" w:space="0" w:color="auto"/>
        <w:bottom w:val="none" w:sz="0" w:space="0" w:color="auto"/>
        <w:right w:val="none" w:sz="0" w:space="0" w:color="auto"/>
      </w:divBdr>
    </w:div>
    <w:div w:id="1867331125">
      <w:marLeft w:val="0"/>
      <w:marRight w:val="0"/>
      <w:marTop w:val="180"/>
      <w:marBottom w:val="100"/>
      <w:divBdr>
        <w:top w:val="none" w:sz="0" w:space="0" w:color="auto"/>
        <w:left w:val="none" w:sz="0" w:space="0" w:color="auto"/>
        <w:bottom w:val="none" w:sz="0" w:space="0" w:color="auto"/>
        <w:right w:val="none" w:sz="0" w:space="0" w:color="auto"/>
      </w:divBdr>
    </w:div>
    <w:div w:id="1872914877">
      <w:marLeft w:val="0"/>
      <w:marRight w:val="0"/>
      <w:marTop w:val="100"/>
      <w:marBottom w:val="100"/>
      <w:divBdr>
        <w:top w:val="none" w:sz="0" w:space="0" w:color="auto"/>
        <w:left w:val="none" w:sz="0" w:space="0" w:color="auto"/>
        <w:bottom w:val="none" w:sz="0" w:space="0" w:color="auto"/>
        <w:right w:val="none" w:sz="0" w:space="0" w:color="auto"/>
      </w:divBdr>
    </w:div>
    <w:div w:id="1873372626">
      <w:marLeft w:val="0"/>
      <w:marRight w:val="0"/>
      <w:marTop w:val="100"/>
      <w:marBottom w:val="0"/>
      <w:divBdr>
        <w:top w:val="none" w:sz="0" w:space="0" w:color="auto"/>
        <w:left w:val="none" w:sz="0" w:space="0" w:color="auto"/>
        <w:bottom w:val="none" w:sz="0" w:space="0" w:color="auto"/>
        <w:right w:val="none" w:sz="0" w:space="0" w:color="auto"/>
      </w:divBdr>
    </w:div>
    <w:div w:id="1874878735">
      <w:marLeft w:val="0"/>
      <w:marRight w:val="0"/>
      <w:marTop w:val="100"/>
      <w:marBottom w:val="0"/>
      <w:divBdr>
        <w:top w:val="none" w:sz="0" w:space="0" w:color="auto"/>
        <w:left w:val="none" w:sz="0" w:space="0" w:color="auto"/>
        <w:bottom w:val="none" w:sz="0" w:space="0" w:color="auto"/>
        <w:right w:val="none" w:sz="0" w:space="0" w:color="auto"/>
      </w:divBdr>
      <w:divsChild>
        <w:div w:id="482434737">
          <w:marLeft w:val="0"/>
          <w:marRight w:val="0"/>
          <w:marTop w:val="0"/>
          <w:marBottom w:val="0"/>
          <w:divBdr>
            <w:top w:val="none" w:sz="0" w:space="0" w:color="auto"/>
            <w:left w:val="none" w:sz="0" w:space="0" w:color="auto"/>
            <w:bottom w:val="none" w:sz="0" w:space="0" w:color="auto"/>
            <w:right w:val="none" w:sz="0" w:space="0" w:color="auto"/>
          </w:divBdr>
        </w:div>
      </w:divsChild>
    </w:div>
    <w:div w:id="1876191083">
      <w:marLeft w:val="0"/>
      <w:marRight w:val="0"/>
      <w:marTop w:val="180"/>
      <w:marBottom w:val="0"/>
      <w:divBdr>
        <w:top w:val="none" w:sz="0" w:space="0" w:color="auto"/>
        <w:left w:val="none" w:sz="0" w:space="0" w:color="auto"/>
        <w:bottom w:val="none" w:sz="0" w:space="0" w:color="auto"/>
        <w:right w:val="none" w:sz="0" w:space="0" w:color="auto"/>
      </w:divBdr>
      <w:divsChild>
        <w:div w:id="1069226445">
          <w:marLeft w:val="0"/>
          <w:marRight w:val="0"/>
          <w:marTop w:val="0"/>
          <w:marBottom w:val="0"/>
          <w:divBdr>
            <w:top w:val="none" w:sz="0" w:space="0" w:color="auto"/>
            <w:left w:val="none" w:sz="0" w:space="0" w:color="auto"/>
            <w:bottom w:val="none" w:sz="0" w:space="0" w:color="auto"/>
            <w:right w:val="none" w:sz="0" w:space="0" w:color="auto"/>
          </w:divBdr>
        </w:div>
        <w:div w:id="1631401474">
          <w:marLeft w:val="0"/>
          <w:marRight w:val="0"/>
          <w:marTop w:val="0"/>
          <w:marBottom w:val="0"/>
          <w:divBdr>
            <w:top w:val="none" w:sz="0" w:space="0" w:color="auto"/>
            <w:left w:val="none" w:sz="0" w:space="0" w:color="auto"/>
            <w:bottom w:val="none" w:sz="0" w:space="0" w:color="auto"/>
            <w:right w:val="none" w:sz="0" w:space="0" w:color="auto"/>
          </w:divBdr>
        </w:div>
      </w:divsChild>
    </w:div>
    <w:div w:id="1876232279">
      <w:marLeft w:val="0"/>
      <w:marRight w:val="0"/>
      <w:marTop w:val="0"/>
      <w:marBottom w:val="0"/>
      <w:divBdr>
        <w:top w:val="none" w:sz="0" w:space="0" w:color="auto"/>
        <w:left w:val="none" w:sz="0" w:space="0" w:color="auto"/>
        <w:bottom w:val="none" w:sz="0" w:space="0" w:color="auto"/>
        <w:right w:val="none" w:sz="0" w:space="0" w:color="auto"/>
      </w:divBdr>
      <w:divsChild>
        <w:div w:id="1010109447">
          <w:marLeft w:val="0"/>
          <w:marRight w:val="0"/>
          <w:marTop w:val="0"/>
          <w:marBottom w:val="0"/>
          <w:divBdr>
            <w:top w:val="none" w:sz="0" w:space="0" w:color="auto"/>
            <w:left w:val="none" w:sz="0" w:space="0" w:color="auto"/>
            <w:bottom w:val="none" w:sz="0" w:space="0" w:color="auto"/>
            <w:right w:val="none" w:sz="0" w:space="0" w:color="auto"/>
          </w:divBdr>
          <w:divsChild>
            <w:div w:id="191439442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76427680">
      <w:marLeft w:val="0"/>
      <w:marRight w:val="0"/>
      <w:marTop w:val="0"/>
      <w:marBottom w:val="0"/>
      <w:divBdr>
        <w:top w:val="none" w:sz="0" w:space="0" w:color="auto"/>
        <w:left w:val="none" w:sz="0" w:space="0" w:color="auto"/>
        <w:bottom w:val="none" w:sz="0" w:space="0" w:color="auto"/>
        <w:right w:val="none" w:sz="0" w:space="0" w:color="auto"/>
      </w:divBdr>
      <w:divsChild>
        <w:div w:id="449016769">
          <w:marLeft w:val="0"/>
          <w:marRight w:val="0"/>
          <w:marTop w:val="0"/>
          <w:marBottom w:val="0"/>
          <w:divBdr>
            <w:top w:val="none" w:sz="0" w:space="0" w:color="auto"/>
            <w:left w:val="none" w:sz="0" w:space="0" w:color="auto"/>
            <w:bottom w:val="none" w:sz="0" w:space="0" w:color="auto"/>
            <w:right w:val="none" w:sz="0" w:space="0" w:color="auto"/>
          </w:divBdr>
          <w:divsChild>
            <w:div w:id="145984053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76505724">
      <w:marLeft w:val="0"/>
      <w:marRight w:val="0"/>
      <w:marTop w:val="100"/>
      <w:marBottom w:val="100"/>
      <w:divBdr>
        <w:top w:val="none" w:sz="0" w:space="0" w:color="auto"/>
        <w:left w:val="none" w:sz="0" w:space="0" w:color="auto"/>
        <w:bottom w:val="none" w:sz="0" w:space="0" w:color="auto"/>
        <w:right w:val="none" w:sz="0" w:space="0" w:color="auto"/>
      </w:divBdr>
    </w:div>
    <w:div w:id="1877966365">
      <w:marLeft w:val="0"/>
      <w:marRight w:val="0"/>
      <w:marTop w:val="180"/>
      <w:marBottom w:val="0"/>
      <w:divBdr>
        <w:top w:val="none" w:sz="0" w:space="0" w:color="auto"/>
        <w:left w:val="none" w:sz="0" w:space="0" w:color="auto"/>
        <w:bottom w:val="none" w:sz="0" w:space="0" w:color="auto"/>
        <w:right w:val="none" w:sz="0" w:space="0" w:color="auto"/>
      </w:divBdr>
    </w:div>
    <w:div w:id="1879202298">
      <w:marLeft w:val="0"/>
      <w:marRight w:val="0"/>
      <w:marTop w:val="0"/>
      <w:marBottom w:val="0"/>
      <w:divBdr>
        <w:top w:val="none" w:sz="0" w:space="0" w:color="auto"/>
        <w:left w:val="none" w:sz="0" w:space="0" w:color="auto"/>
        <w:bottom w:val="none" w:sz="0" w:space="0" w:color="auto"/>
        <w:right w:val="none" w:sz="0" w:space="0" w:color="auto"/>
      </w:divBdr>
    </w:div>
    <w:div w:id="1879316015">
      <w:marLeft w:val="0"/>
      <w:marRight w:val="0"/>
      <w:marTop w:val="180"/>
      <w:marBottom w:val="0"/>
      <w:divBdr>
        <w:top w:val="none" w:sz="0" w:space="0" w:color="auto"/>
        <w:left w:val="none" w:sz="0" w:space="0" w:color="auto"/>
        <w:bottom w:val="none" w:sz="0" w:space="0" w:color="auto"/>
        <w:right w:val="none" w:sz="0" w:space="0" w:color="auto"/>
      </w:divBdr>
    </w:div>
    <w:div w:id="1882667434">
      <w:marLeft w:val="0"/>
      <w:marRight w:val="0"/>
      <w:marTop w:val="100"/>
      <w:marBottom w:val="100"/>
      <w:divBdr>
        <w:top w:val="none" w:sz="0" w:space="0" w:color="auto"/>
        <w:left w:val="none" w:sz="0" w:space="0" w:color="auto"/>
        <w:bottom w:val="none" w:sz="0" w:space="0" w:color="auto"/>
        <w:right w:val="none" w:sz="0" w:space="0" w:color="auto"/>
      </w:divBdr>
    </w:div>
    <w:div w:id="1883248262">
      <w:marLeft w:val="0"/>
      <w:marRight w:val="0"/>
      <w:marTop w:val="0"/>
      <w:marBottom w:val="0"/>
      <w:divBdr>
        <w:top w:val="none" w:sz="0" w:space="0" w:color="auto"/>
        <w:left w:val="none" w:sz="0" w:space="0" w:color="auto"/>
        <w:bottom w:val="none" w:sz="0" w:space="0" w:color="auto"/>
        <w:right w:val="none" w:sz="0" w:space="0" w:color="auto"/>
      </w:divBdr>
    </w:div>
    <w:div w:id="1883906439">
      <w:marLeft w:val="0"/>
      <w:marRight w:val="0"/>
      <w:marTop w:val="100"/>
      <w:marBottom w:val="0"/>
      <w:divBdr>
        <w:top w:val="none" w:sz="0" w:space="0" w:color="auto"/>
        <w:left w:val="none" w:sz="0" w:space="0" w:color="auto"/>
        <w:bottom w:val="none" w:sz="0" w:space="0" w:color="auto"/>
        <w:right w:val="none" w:sz="0" w:space="0" w:color="auto"/>
      </w:divBdr>
    </w:div>
    <w:div w:id="1884169599">
      <w:marLeft w:val="0"/>
      <w:marRight w:val="0"/>
      <w:marTop w:val="100"/>
      <w:marBottom w:val="0"/>
      <w:divBdr>
        <w:top w:val="none" w:sz="0" w:space="0" w:color="auto"/>
        <w:left w:val="none" w:sz="0" w:space="0" w:color="auto"/>
        <w:bottom w:val="none" w:sz="0" w:space="0" w:color="auto"/>
        <w:right w:val="none" w:sz="0" w:space="0" w:color="auto"/>
      </w:divBdr>
    </w:div>
    <w:div w:id="1885016964">
      <w:marLeft w:val="0"/>
      <w:marRight w:val="0"/>
      <w:marTop w:val="0"/>
      <w:marBottom w:val="100"/>
      <w:divBdr>
        <w:top w:val="none" w:sz="0" w:space="0" w:color="auto"/>
        <w:left w:val="none" w:sz="0" w:space="0" w:color="auto"/>
        <w:bottom w:val="none" w:sz="0" w:space="0" w:color="auto"/>
        <w:right w:val="none" w:sz="0" w:space="0" w:color="auto"/>
      </w:divBdr>
    </w:div>
    <w:div w:id="1887060548">
      <w:marLeft w:val="0"/>
      <w:marRight w:val="0"/>
      <w:marTop w:val="0"/>
      <w:marBottom w:val="0"/>
      <w:divBdr>
        <w:top w:val="none" w:sz="0" w:space="0" w:color="auto"/>
        <w:left w:val="none" w:sz="0" w:space="0" w:color="auto"/>
        <w:bottom w:val="none" w:sz="0" w:space="0" w:color="auto"/>
        <w:right w:val="none" w:sz="0" w:space="0" w:color="auto"/>
      </w:divBdr>
      <w:divsChild>
        <w:div w:id="1599756377">
          <w:marLeft w:val="0"/>
          <w:marRight w:val="0"/>
          <w:marTop w:val="0"/>
          <w:marBottom w:val="0"/>
          <w:divBdr>
            <w:top w:val="none" w:sz="0" w:space="0" w:color="auto"/>
            <w:left w:val="none" w:sz="0" w:space="0" w:color="auto"/>
            <w:bottom w:val="none" w:sz="0" w:space="0" w:color="auto"/>
            <w:right w:val="none" w:sz="0" w:space="0" w:color="auto"/>
          </w:divBdr>
          <w:divsChild>
            <w:div w:id="163081562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87178706">
      <w:marLeft w:val="0"/>
      <w:marRight w:val="0"/>
      <w:marTop w:val="100"/>
      <w:marBottom w:val="0"/>
      <w:divBdr>
        <w:top w:val="none" w:sz="0" w:space="0" w:color="auto"/>
        <w:left w:val="none" w:sz="0" w:space="0" w:color="auto"/>
        <w:bottom w:val="none" w:sz="0" w:space="0" w:color="auto"/>
        <w:right w:val="none" w:sz="0" w:space="0" w:color="auto"/>
      </w:divBdr>
    </w:div>
    <w:div w:id="1887567963">
      <w:marLeft w:val="0"/>
      <w:marRight w:val="0"/>
      <w:marTop w:val="0"/>
      <w:marBottom w:val="0"/>
      <w:divBdr>
        <w:top w:val="none" w:sz="0" w:space="0" w:color="auto"/>
        <w:left w:val="none" w:sz="0" w:space="0" w:color="auto"/>
        <w:bottom w:val="none" w:sz="0" w:space="0" w:color="auto"/>
        <w:right w:val="none" w:sz="0" w:space="0" w:color="auto"/>
      </w:divBdr>
      <w:divsChild>
        <w:div w:id="259800708">
          <w:marLeft w:val="0"/>
          <w:marRight w:val="0"/>
          <w:marTop w:val="0"/>
          <w:marBottom w:val="100"/>
          <w:divBdr>
            <w:top w:val="none" w:sz="0" w:space="0" w:color="auto"/>
            <w:left w:val="none" w:sz="0" w:space="0" w:color="auto"/>
            <w:bottom w:val="none" w:sz="0" w:space="0" w:color="auto"/>
            <w:right w:val="none" w:sz="0" w:space="0" w:color="auto"/>
          </w:divBdr>
        </w:div>
      </w:divsChild>
    </w:div>
    <w:div w:id="1890216303">
      <w:marLeft w:val="0"/>
      <w:marRight w:val="0"/>
      <w:marTop w:val="0"/>
      <w:marBottom w:val="0"/>
      <w:divBdr>
        <w:top w:val="none" w:sz="0" w:space="0" w:color="auto"/>
        <w:left w:val="none" w:sz="0" w:space="0" w:color="auto"/>
        <w:bottom w:val="none" w:sz="0" w:space="0" w:color="auto"/>
        <w:right w:val="none" w:sz="0" w:space="0" w:color="auto"/>
      </w:divBdr>
    </w:div>
    <w:div w:id="1890993410">
      <w:marLeft w:val="0"/>
      <w:marRight w:val="0"/>
      <w:marTop w:val="80"/>
      <w:marBottom w:val="100"/>
      <w:divBdr>
        <w:top w:val="none" w:sz="0" w:space="0" w:color="auto"/>
        <w:left w:val="none" w:sz="0" w:space="0" w:color="auto"/>
        <w:bottom w:val="none" w:sz="0" w:space="0" w:color="auto"/>
        <w:right w:val="none" w:sz="0" w:space="0" w:color="auto"/>
      </w:divBdr>
    </w:div>
    <w:div w:id="1890994349">
      <w:marLeft w:val="0"/>
      <w:marRight w:val="0"/>
      <w:marTop w:val="180"/>
      <w:marBottom w:val="100"/>
      <w:divBdr>
        <w:top w:val="none" w:sz="0" w:space="0" w:color="auto"/>
        <w:left w:val="none" w:sz="0" w:space="0" w:color="auto"/>
        <w:bottom w:val="none" w:sz="0" w:space="0" w:color="auto"/>
        <w:right w:val="none" w:sz="0" w:space="0" w:color="auto"/>
      </w:divBdr>
    </w:div>
    <w:div w:id="1891335535">
      <w:marLeft w:val="0"/>
      <w:marRight w:val="0"/>
      <w:marTop w:val="180"/>
      <w:marBottom w:val="0"/>
      <w:divBdr>
        <w:top w:val="none" w:sz="0" w:space="0" w:color="auto"/>
        <w:left w:val="none" w:sz="0" w:space="0" w:color="auto"/>
        <w:bottom w:val="none" w:sz="0" w:space="0" w:color="auto"/>
        <w:right w:val="none" w:sz="0" w:space="0" w:color="auto"/>
      </w:divBdr>
    </w:div>
    <w:div w:id="1892425758">
      <w:marLeft w:val="0"/>
      <w:marRight w:val="0"/>
      <w:marTop w:val="340"/>
      <w:marBottom w:val="340"/>
      <w:divBdr>
        <w:top w:val="none" w:sz="0" w:space="0" w:color="auto"/>
        <w:left w:val="none" w:sz="0" w:space="0" w:color="auto"/>
        <w:bottom w:val="none" w:sz="0" w:space="0" w:color="auto"/>
        <w:right w:val="none" w:sz="0" w:space="0" w:color="auto"/>
      </w:divBdr>
    </w:div>
    <w:div w:id="1894005445">
      <w:marLeft w:val="0"/>
      <w:marRight w:val="0"/>
      <w:marTop w:val="0"/>
      <w:marBottom w:val="100"/>
      <w:divBdr>
        <w:top w:val="none" w:sz="0" w:space="0" w:color="auto"/>
        <w:left w:val="none" w:sz="0" w:space="0" w:color="auto"/>
        <w:bottom w:val="none" w:sz="0" w:space="0" w:color="auto"/>
        <w:right w:val="none" w:sz="0" w:space="0" w:color="auto"/>
      </w:divBdr>
    </w:div>
    <w:div w:id="1894152770">
      <w:marLeft w:val="0"/>
      <w:marRight w:val="0"/>
      <w:marTop w:val="0"/>
      <w:marBottom w:val="100"/>
      <w:divBdr>
        <w:top w:val="none" w:sz="0" w:space="0" w:color="auto"/>
        <w:left w:val="none" w:sz="0" w:space="0" w:color="auto"/>
        <w:bottom w:val="none" w:sz="0" w:space="0" w:color="auto"/>
        <w:right w:val="none" w:sz="0" w:space="0" w:color="auto"/>
      </w:divBdr>
    </w:div>
    <w:div w:id="1894728117">
      <w:marLeft w:val="0"/>
      <w:marRight w:val="0"/>
      <w:marTop w:val="100"/>
      <w:marBottom w:val="100"/>
      <w:divBdr>
        <w:top w:val="none" w:sz="0" w:space="0" w:color="auto"/>
        <w:left w:val="none" w:sz="0" w:space="0" w:color="auto"/>
        <w:bottom w:val="none" w:sz="0" w:space="0" w:color="auto"/>
        <w:right w:val="none" w:sz="0" w:space="0" w:color="auto"/>
      </w:divBdr>
    </w:div>
    <w:div w:id="1895316240">
      <w:marLeft w:val="0"/>
      <w:marRight w:val="0"/>
      <w:marTop w:val="100"/>
      <w:marBottom w:val="0"/>
      <w:divBdr>
        <w:top w:val="none" w:sz="0" w:space="0" w:color="auto"/>
        <w:left w:val="none" w:sz="0" w:space="0" w:color="auto"/>
        <w:bottom w:val="none" w:sz="0" w:space="0" w:color="auto"/>
        <w:right w:val="none" w:sz="0" w:space="0" w:color="auto"/>
      </w:divBdr>
    </w:div>
    <w:div w:id="1896576421">
      <w:marLeft w:val="0"/>
      <w:marRight w:val="0"/>
      <w:marTop w:val="0"/>
      <w:marBottom w:val="100"/>
      <w:divBdr>
        <w:top w:val="none" w:sz="0" w:space="0" w:color="auto"/>
        <w:left w:val="none" w:sz="0" w:space="0" w:color="auto"/>
        <w:bottom w:val="none" w:sz="0" w:space="0" w:color="auto"/>
        <w:right w:val="none" w:sz="0" w:space="0" w:color="auto"/>
      </w:divBdr>
    </w:div>
    <w:div w:id="1897007608">
      <w:marLeft w:val="0"/>
      <w:marRight w:val="0"/>
      <w:marTop w:val="180"/>
      <w:marBottom w:val="0"/>
      <w:divBdr>
        <w:top w:val="none" w:sz="0" w:space="0" w:color="auto"/>
        <w:left w:val="none" w:sz="0" w:space="0" w:color="auto"/>
        <w:bottom w:val="none" w:sz="0" w:space="0" w:color="auto"/>
        <w:right w:val="none" w:sz="0" w:space="0" w:color="auto"/>
      </w:divBdr>
    </w:div>
    <w:div w:id="1897932536">
      <w:marLeft w:val="0"/>
      <w:marRight w:val="0"/>
      <w:marTop w:val="340"/>
      <w:marBottom w:val="340"/>
      <w:divBdr>
        <w:top w:val="none" w:sz="0" w:space="0" w:color="auto"/>
        <w:left w:val="none" w:sz="0" w:space="0" w:color="auto"/>
        <w:bottom w:val="none" w:sz="0" w:space="0" w:color="auto"/>
        <w:right w:val="none" w:sz="0" w:space="0" w:color="auto"/>
      </w:divBdr>
    </w:div>
    <w:div w:id="1898855759">
      <w:marLeft w:val="0"/>
      <w:marRight w:val="0"/>
      <w:marTop w:val="0"/>
      <w:marBottom w:val="100"/>
      <w:divBdr>
        <w:top w:val="none" w:sz="0" w:space="0" w:color="auto"/>
        <w:left w:val="none" w:sz="0" w:space="0" w:color="auto"/>
        <w:bottom w:val="none" w:sz="0" w:space="0" w:color="auto"/>
        <w:right w:val="none" w:sz="0" w:space="0" w:color="auto"/>
      </w:divBdr>
    </w:div>
    <w:div w:id="1900627355">
      <w:marLeft w:val="0"/>
      <w:marRight w:val="0"/>
      <w:marTop w:val="100"/>
      <w:marBottom w:val="100"/>
      <w:divBdr>
        <w:top w:val="none" w:sz="0" w:space="0" w:color="auto"/>
        <w:left w:val="none" w:sz="0" w:space="0" w:color="auto"/>
        <w:bottom w:val="none" w:sz="0" w:space="0" w:color="auto"/>
        <w:right w:val="none" w:sz="0" w:space="0" w:color="auto"/>
      </w:divBdr>
    </w:div>
    <w:div w:id="1903102238">
      <w:marLeft w:val="0"/>
      <w:marRight w:val="0"/>
      <w:marTop w:val="100"/>
      <w:marBottom w:val="100"/>
      <w:divBdr>
        <w:top w:val="none" w:sz="0" w:space="0" w:color="auto"/>
        <w:left w:val="none" w:sz="0" w:space="0" w:color="auto"/>
        <w:bottom w:val="none" w:sz="0" w:space="0" w:color="auto"/>
        <w:right w:val="none" w:sz="0" w:space="0" w:color="auto"/>
      </w:divBdr>
    </w:div>
    <w:div w:id="1904950077">
      <w:marLeft w:val="0"/>
      <w:marRight w:val="0"/>
      <w:marTop w:val="100"/>
      <w:marBottom w:val="100"/>
      <w:divBdr>
        <w:top w:val="none" w:sz="0" w:space="0" w:color="auto"/>
        <w:left w:val="none" w:sz="0" w:space="0" w:color="auto"/>
        <w:bottom w:val="none" w:sz="0" w:space="0" w:color="auto"/>
        <w:right w:val="none" w:sz="0" w:space="0" w:color="auto"/>
      </w:divBdr>
    </w:div>
    <w:div w:id="1906137994">
      <w:marLeft w:val="0"/>
      <w:marRight w:val="0"/>
      <w:marTop w:val="0"/>
      <w:marBottom w:val="0"/>
      <w:divBdr>
        <w:top w:val="none" w:sz="0" w:space="0" w:color="auto"/>
        <w:left w:val="none" w:sz="0" w:space="0" w:color="auto"/>
        <w:bottom w:val="none" w:sz="0" w:space="0" w:color="auto"/>
        <w:right w:val="none" w:sz="0" w:space="0" w:color="auto"/>
      </w:divBdr>
      <w:divsChild>
        <w:div w:id="1421369043">
          <w:marLeft w:val="0"/>
          <w:marRight w:val="0"/>
          <w:marTop w:val="0"/>
          <w:marBottom w:val="0"/>
          <w:divBdr>
            <w:top w:val="none" w:sz="0" w:space="0" w:color="auto"/>
            <w:left w:val="none" w:sz="0" w:space="0" w:color="auto"/>
            <w:bottom w:val="none" w:sz="0" w:space="0" w:color="auto"/>
            <w:right w:val="none" w:sz="0" w:space="0" w:color="auto"/>
          </w:divBdr>
          <w:divsChild>
            <w:div w:id="75636942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06838135">
      <w:marLeft w:val="0"/>
      <w:marRight w:val="0"/>
      <w:marTop w:val="0"/>
      <w:marBottom w:val="0"/>
      <w:divBdr>
        <w:top w:val="none" w:sz="0" w:space="0" w:color="auto"/>
        <w:left w:val="none" w:sz="0" w:space="0" w:color="auto"/>
        <w:bottom w:val="none" w:sz="0" w:space="0" w:color="auto"/>
        <w:right w:val="none" w:sz="0" w:space="0" w:color="auto"/>
      </w:divBdr>
    </w:div>
    <w:div w:id="1907259122">
      <w:marLeft w:val="0"/>
      <w:marRight w:val="0"/>
      <w:marTop w:val="180"/>
      <w:marBottom w:val="0"/>
      <w:divBdr>
        <w:top w:val="none" w:sz="0" w:space="0" w:color="auto"/>
        <w:left w:val="none" w:sz="0" w:space="0" w:color="auto"/>
        <w:bottom w:val="none" w:sz="0" w:space="0" w:color="auto"/>
        <w:right w:val="none" w:sz="0" w:space="0" w:color="auto"/>
      </w:divBdr>
    </w:div>
    <w:div w:id="1907715255">
      <w:marLeft w:val="0"/>
      <w:marRight w:val="0"/>
      <w:marTop w:val="0"/>
      <w:marBottom w:val="0"/>
      <w:divBdr>
        <w:top w:val="none" w:sz="0" w:space="0" w:color="auto"/>
        <w:left w:val="none" w:sz="0" w:space="0" w:color="auto"/>
        <w:bottom w:val="none" w:sz="0" w:space="0" w:color="auto"/>
        <w:right w:val="none" w:sz="0" w:space="0" w:color="auto"/>
      </w:divBdr>
    </w:div>
    <w:div w:id="1910847431">
      <w:marLeft w:val="0"/>
      <w:marRight w:val="0"/>
      <w:marTop w:val="100"/>
      <w:marBottom w:val="100"/>
      <w:divBdr>
        <w:top w:val="none" w:sz="0" w:space="0" w:color="auto"/>
        <w:left w:val="none" w:sz="0" w:space="0" w:color="auto"/>
        <w:bottom w:val="none" w:sz="0" w:space="0" w:color="auto"/>
        <w:right w:val="none" w:sz="0" w:space="0" w:color="auto"/>
      </w:divBdr>
    </w:div>
    <w:div w:id="1911960121">
      <w:marLeft w:val="0"/>
      <w:marRight w:val="0"/>
      <w:marTop w:val="0"/>
      <w:marBottom w:val="0"/>
      <w:divBdr>
        <w:top w:val="none" w:sz="0" w:space="0" w:color="auto"/>
        <w:left w:val="none" w:sz="0" w:space="0" w:color="auto"/>
        <w:bottom w:val="none" w:sz="0" w:space="0" w:color="auto"/>
        <w:right w:val="none" w:sz="0" w:space="0" w:color="auto"/>
      </w:divBdr>
      <w:divsChild>
        <w:div w:id="570696246">
          <w:marLeft w:val="0"/>
          <w:marRight w:val="0"/>
          <w:marTop w:val="0"/>
          <w:marBottom w:val="0"/>
          <w:divBdr>
            <w:top w:val="none" w:sz="0" w:space="0" w:color="auto"/>
            <w:left w:val="none" w:sz="0" w:space="0" w:color="auto"/>
            <w:bottom w:val="none" w:sz="0" w:space="0" w:color="auto"/>
            <w:right w:val="none" w:sz="0" w:space="0" w:color="auto"/>
          </w:divBdr>
          <w:divsChild>
            <w:div w:id="113163664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12692587">
      <w:marLeft w:val="0"/>
      <w:marRight w:val="0"/>
      <w:marTop w:val="180"/>
      <w:marBottom w:val="100"/>
      <w:divBdr>
        <w:top w:val="none" w:sz="0" w:space="0" w:color="auto"/>
        <w:left w:val="none" w:sz="0" w:space="0" w:color="auto"/>
        <w:bottom w:val="none" w:sz="0" w:space="0" w:color="auto"/>
        <w:right w:val="none" w:sz="0" w:space="0" w:color="auto"/>
      </w:divBdr>
    </w:div>
    <w:div w:id="1913462341">
      <w:marLeft w:val="0"/>
      <w:marRight w:val="0"/>
      <w:marTop w:val="0"/>
      <w:marBottom w:val="0"/>
      <w:divBdr>
        <w:top w:val="none" w:sz="0" w:space="0" w:color="auto"/>
        <w:left w:val="none" w:sz="0" w:space="0" w:color="auto"/>
        <w:bottom w:val="none" w:sz="0" w:space="0" w:color="auto"/>
        <w:right w:val="none" w:sz="0" w:space="0" w:color="auto"/>
      </w:divBdr>
    </w:div>
    <w:div w:id="1915434047">
      <w:marLeft w:val="0"/>
      <w:marRight w:val="0"/>
      <w:marTop w:val="100"/>
      <w:marBottom w:val="0"/>
      <w:divBdr>
        <w:top w:val="none" w:sz="0" w:space="0" w:color="auto"/>
        <w:left w:val="none" w:sz="0" w:space="0" w:color="auto"/>
        <w:bottom w:val="none" w:sz="0" w:space="0" w:color="auto"/>
        <w:right w:val="none" w:sz="0" w:space="0" w:color="auto"/>
      </w:divBdr>
    </w:div>
    <w:div w:id="1915815109">
      <w:marLeft w:val="0"/>
      <w:marRight w:val="0"/>
      <w:marTop w:val="0"/>
      <w:marBottom w:val="100"/>
      <w:divBdr>
        <w:top w:val="none" w:sz="0" w:space="0" w:color="auto"/>
        <w:left w:val="none" w:sz="0" w:space="0" w:color="auto"/>
        <w:bottom w:val="none" w:sz="0" w:space="0" w:color="auto"/>
        <w:right w:val="none" w:sz="0" w:space="0" w:color="auto"/>
      </w:divBdr>
    </w:div>
    <w:div w:id="1917127053">
      <w:marLeft w:val="0"/>
      <w:marRight w:val="0"/>
      <w:marTop w:val="180"/>
      <w:marBottom w:val="0"/>
      <w:divBdr>
        <w:top w:val="none" w:sz="0" w:space="0" w:color="auto"/>
        <w:left w:val="none" w:sz="0" w:space="0" w:color="auto"/>
        <w:bottom w:val="none" w:sz="0" w:space="0" w:color="auto"/>
        <w:right w:val="none" w:sz="0" w:space="0" w:color="auto"/>
      </w:divBdr>
    </w:div>
    <w:div w:id="1920868091">
      <w:marLeft w:val="0"/>
      <w:marRight w:val="0"/>
      <w:marTop w:val="0"/>
      <w:marBottom w:val="100"/>
      <w:divBdr>
        <w:top w:val="none" w:sz="0" w:space="0" w:color="auto"/>
        <w:left w:val="none" w:sz="0" w:space="0" w:color="auto"/>
        <w:bottom w:val="none" w:sz="0" w:space="0" w:color="auto"/>
        <w:right w:val="none" w:sz="0" w:space="0" w:color="auto"/>
      </w:divBdr>
    </w:div>
    <w:div w:id="1921282290">
      <w:marLeft w:val="0"/>
      <w:marRight w:val="0"/>
      <w:marTop w:val="0"/>
      <w:marBottom w:val="90"/>
      <w:divBdr>
        <w:top w:val="none" w:sz="0" w:space="0" w:color="auto"/>
        <w:left w:val="none" w:sz="0" w:space="0" w:color="auto"/>
        <w:bottom w:val="none" w:sz="0" w:space="0" w:color="auto"/>
        <w:right w:val="none" w:sz="0" w:space="0" w:color="auto"/>
      </w:divBdr>
    </w:div>
    <w:div w:id="1921601193">
      <w:marLeft w:val="0"/>
      <w:marRight w:val="0"/>
      <w:marTop w:val="0"/>
      <w:marBottom w:val="0"/>
      <w:divBdr>
        <w:top w:val="none" w:sz="0" w:space="0" w:color="auto"/>
        <w:left w:val="none" w:sz="0" w:space="0" w:color="auto"/>
        <w:bottom w:val="none" w:sz="0" w:space="0" w:color="auto"/>
        <w:right w:val="none" w:sz="0" w:space="0" w:color="auto"/>
      </w:divBdr>
      <w:divsChild>
        <w:div w:id="699748581">
          <w:marLeft w:val="0"/>
          <w:marRight w:val="0"/>
          <w:marTop w:val="0"/>
          <w:marBottom w:val="100"/>
          <w:divBdr>
            <w:top w:val="none" w:sz="0" w:space="0" w:color="auto"/>
            <w:left w:val="none" w:sz="0" w:space="0" w:color="auto"/>
            <w:bottom w:val="none" w:sz="0" w:space="0" w:color="auto"/>
            <w:right w:val="none" w:sz="0" w:space="0" w:color="auto"/>
          </w:divBdr>
        </w:div>
      </w:divsChild>
    </w:div>
    <w:div w:id="1922181306">
      <w:marLeft w:val="0"/>
      <w:marRight w:val="0"/>
      <w:marTop w:val="100"/>
      <w:marBottom w:val="100"/>
      <w:divBdr>
        <w:top w:val="none" w:sz="0" w:space="0" w:color="auto"/>
        <w:left w:val="none" w:sz="0" w:space="0" w:color="auto"/>
        <w:bottom w:val="none" w:sz="0" w:space="0" w:color="auto"/>
        <w:right w:val="none" w:sz="0" w:space="0" w:color="auto"/>
      </w:divBdr>
    </w:div>
    <w:div w:id="1923564333">
      <w:marLeft w:val="0"/>
      <w:marRight w:val="0"/>
      <w:marTop w:val="100"/>
      <w:marBottom w:val="100"/>
      <w:divBdr>
        <w:top w:val="none" w:sz="0" w:space="0" w:color="auto"/>
        <w:left w:val="none" w:sz="0" w:space="0" w:color="auto"/>
        <w:bottom w:val="none" w:sz="0" w:space="0" w:color="auto"/>
        <w:right w:val="none" w:sz="0" w:space="0" w:color="auto"/>
      </w:divBdr>
    </w:div>
    <w:div w:id="1924416650">
      <w:marLeft w:val="0"/>
      <w:marRight w:val="0"/>
      <w:marTop w:val="0"/>
      <w:marBottom w:val="0"/>
      <w:divBdr>
        <w:top w:val="none" w:sz="0" w:space="0" w:color="auto"/>
        <w:left w:val="none" w:sz="0" w:space="0" w:color="auto"/>
        <w:bottom w:val="none" w:sz="0" w:space="0" w:color="auto"/>
        <w:right w:val="none" w:sz="0" w:space="0" w:color="auto"/>
      </w:divBdr>
      <w:divsChild>
        <w:div w:id="1569916908">
          <w:marLeft w:val="0"/>
          <w:marRight w:val="0"/>
          <w:marTop w:val="0"/>
          <w:marBottom w:val="100"/>
          <w:divBdr>
            <w:top w:val="none" w:sz="0" w:space="0" w:color="auto"/>
            <w:left w:val="none" w:sz="0" w:space="0" w:color="auto"/>
            <w:bottom w:val="none" w:sz="0" w:space="0" w:color="auto"/>
            <w:right w:val="none" w:sz="0" w:space="0" w:color="auto"/>
          </w:divBdr>
        </w:div>
      </w:divsChild>
    </w:div>
    <w:div w:id="1925920592">
      <w:marLeft w:val="0"/>
      <w:marRight w:val="0"/>
      <w:marTop w:val="180"/>
      <w:marBottom w:val="0"/>
      <w:divBdr>
        <w:top w:val="none" w:sz="0" w:space="0" w:color="auto"/>
        <w:left w:val="none" w:sz="0" w:space="0" w:color="auto"/>
        <w:bottom w:val="none" w:sz="0" w:space="0" w:color="auto"/>
        <w:right w:val="none" w:sz="0" w:space="0" w:color="auto"/>
      </w:divBdr>
    </w:div>
    <w:div w:id="1926525443">
      <w:marLeft w:val="0"/>
      <w:marRight w:val="0"/>
      <w:marTop w:val="0"/>
      <w:marBottom w:val="0"/>
      <w:divBdr>
        <w:top w:val="none" w:sz="0" w:space="0" w:color="auto"/>
        <w:left w:val="none" w:sz="0" w:space="0" w:color="auto"/>
        <w:bottom w:val="none" w:sz="0" w:space="0" w:color="auto"/>
        <w:right w:val="none" w:sz="0" w:space="0" w:color="auto"/>
      </w:divBdr>
      <w:divsChild>
        <w:div w:id="1589540061">
          <w:marLeft w:val="0"/>
          <w:marRight w:val="0"/>
          <w:marTop w:val="0"/>
          <w:marBottom w:val="0"/>
          <w:divBdr>
            <w:top w:val="none" w:sz="0" w:space="0" w:color="auto"/>
            <w:left w:val="none" w:sz="0" w:space="0" w:color="auto"/>
            <w:bottom w:val="none" w:sz="0" w:space="0" w:color="auto"/>
            <w:right w:val="none" w:sz="0" w:space="0" w:color="auto"/>
          </w:divBdr>
          <w:divsChild>
            <w:div w:id="51257342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27110527">
      <w:marLeft w:val="0"/>
      <w:marRight w:val="0"/>
      <w:marTop w:val="0"/>
      <w:marBottom w:val="0"/>
      <w:divBdr>
        <w:top w:val="none" w:sz="0" w:space="0" w:color="auto"/>
        <w:left w:val="none" w:sz="0" w:space="0" w:color="auto"/>
        <w:bottom w:val="none" w:sz="0" w:space="0" w:color="auto"/>
        <w:right w:val="none" w:sz="0" w:space="0" w:color="auto"/>
      </w:divBdr>
    </w:div>
    <w:div w:id="1929655533">
      <w:marLeft w:val="0"/>
      <w:marRight w:val="0"/>
      <w:marTop w:val="0"/>
      <w:marBottom w:val="0"/>
      <w:divBdr>
        <w:top w:val="none" w:sz="0" w:space="0" w:color="auto"/>
        <w:left w:val="none" w:sz="0" w:space="0" w:color="auto"/>
        <w:bottom w:val="none" w:sz="0" w:space="0" w:color="auto"/>
        <w:right w:val="none" w:sz="0" w:space="0" w:color="auto"/>
      </w:divBdr>
      <w:divsChild>
        <w:div w:id="1435828330">
          <w:marLeft w:val="0"/>
          <w:marRight w:val="0"/>
          <w:marTop w:val="0"/>
          <w:marBottom w:val="100"/>
          <w:divBdr>
            <w:top w:val="none" w:sz="0" w:space="0" w:color="auto"/>
            <w:left w:val="none" w:sz="0" w:space="0" w:color="auto"/>
            <w:bottom w:val="none" w:sz="0" w:space="0" w:color="auto"/>
            <w:right w:val="none" w:sz="0" w:space="0" w:color="auto"/>
          </w:divBdr>
        </w:div>
      </w:divsChild>
    </w:div>
    <w:div w:id="1932271180">
      <w:marLeft w:val="0"/>
      <w:marRight w:val="0"/>
      <w:marTop w:val="100"/>
      <w:marBottom w:val="100"/>
      <w:divBdr>
        <w:top w:val="none" w:sz="0" w:space="0" w:color="auto"/>
        <w:left w:val="none" w:sz="0" w:space="0" w:color="auto"/>
        <w:bottom w:val="none" w:sz="0" w:space="0" w:color="auto"/>
        <w:right w:val="none" w:sz="0" w:space="0" w:color="auto"/>
      </w:divBdr>
    </w:div>
    <w:div w:id="1932927966">
      <w:marLeft w:val="0"/>
      <w:marRight w:val="0"/>
      <w:marTop w:val="180"/>
      <w:marBottom w:val="100"/>
      <w:divBdr>
        <w:top w:val="none" w:sz="0" w:space="0" w:color="auto"/>
        <w:left w:val="none" w:sz="0" w:space="0" w:color="auto"/>
        <w:bottom w:val="none" w:sz="0" w:space="0" w:color="auto"/>
        <w:right w:val="none" w:sz="0" w:space="0" w:color="auto"/>
      </w:divBdr>
    </w:div>
    <w:div w:id="1934239352">
      <w:marLeft w:val="0"/>
      <w:marRight w:val="0"/>
      <w:marTop w:val="0"/>
      <w:marBottom w:val="0"/>
      <w:divBdr>
        <w:top w:val="none" w:sz="0" w:space="0" w:color="auto"/>
        <w:left w:val="none" w:sz="0" w:space="0" w:color="auto"/>
        <w:bottom w:val="none" w:sz="0" w:space="0" w:color="auto"/>
        <w:right w:val="none" w:sz="0" w:space="0" w:color="auto"/>
      </w:divBdr>
    </w:div>
    <w:div w:id="1936672281">
      <w:marLeft w:val="0"/>
      <w:marRight w:val="0"/>
      <w:marTop w:val="180"/>
      <w:marBottom w:val="100"/>
      <w:divBdr>
        <w:top w:val="none" w:sz="0" w:space="0" w:color="auto"/>
        <w:left w:val="none" w:sz="0" w:space="0" w:color="auto"/>
        <w:bottom w:val="none" w:sz="0" w:space="0" w:color="auto"/>
        <w:right w:val="none" w:sz="0" w:space="0" w:color="auto"/>
      </w:divBdr>
    </w:div>
    <w:div w:id="1936863458">
      <w:marLeft w:val="0"/>
      <w:marRight w:val="0"/>
      <w:marTop w:val="0"/>
      <w:marBottom w:val="100"/>
      <w:divBdr>
        <w:top w:val="none" w:sz="0" w:space="0" w:color="auto"/>
        <w:left w:val="none" w:sz="0" w:space="0" w:color="auto"/>
        <w:bottom w:val="none" w:sz="0" w:space="0" w:color="auto"/>
        <w:right w:val="none" w:sz="0" w:space="0" w:color="auto"/>
      </w:divBdr>
    </w:div>
    <w:div w:id="1937328776">
      <w:marLeft w:val="0"/>
      <w:marRight w:val="0"/>
      <w:marTop w:val="100"/>
      <w:marBottom w:val="100"/>
      <w:divBdr>
        <w:top w:val="none" w:sz="0" w:space="0" w:color="auto"/>
        <w:left w:val="none" w:sz="0" w:space="0" w:color="auto"/>
        <w:bottom w:val="none" w:sz="0" w:space="0" w:color="auto"/>
        <w:right w:val="none" w:sz="0" w:space="0" w:color="auto"/>
      </w:divBdr>
    </w:div>
    <w:div w:id="1938512366">
      <w:marLeft w:val="0"/>
      <w:marRight w:val="0"/>
      <w:marTop w:val="0"/>
      <w:marBottom w:val="100"/>
      <w:divBdr>
        <w:top w:val="none" w:sz="0" w:space="0" w:color="auto"/>
        <w:left w:val="none" w:sz="0" w:space="0" w:color="auto"/>
        <w:bottom w:val="none" w:sz="0" w:space="0" w:color="auto"/>
        <w:right w:val="none" w:sz="0" w:space="0" w:color="auto"/>
      </w:divBdr>
    </w:div>
    <w:div w:id="1940408816">
      <w:marLeft w:val="0"/>
      <w:marRight w:val="0"/>
      <w:marTop w:val="100"/>
      <w:marBottom w:val="100"/>
      <w:divBdr>
        <w:top w:val="none" w:sz="0" w:space="0" w:color="auto"/>
        <w:left w:val="none" w:sz="0" w:space="0" w:color="auto"/>
        <w:bottom w:val="none" w:sz="0" w:space="0" w:color="auto"/>
        <w:right w:val="none" w:sz="0" w:space="0" w:color="auto"/>
      </w:divBdr>
    </w:div>
    <w:div w:id="1940991972">
      <w:marLeft w:val="0"/>
      <w:marRight w:val="0"/>
      <w:marTop w:val="100"/>
      <w:marBottom w:val="0"/>
      <w:divBdr>
        <w:top w:val="none" w:sz="0" w:space="0" w:color="auto"/>
        <w:left w:val="none" w:sz="0" w:space="0" w:color="auto"/>
        <w:bottom w:val="none" w:sz="0" w:space="0" w:color="auto"/>
        <w:right w:val="none" w:sz="0" w:space="0" w:color="auto"/>
      </w:divBdr>
      <w:divsChild>
        <w:div w:id="1465585461">
          <w:marLeft w:val="0"/>
          <w:marRight w:val="0"/>
          <w:marTop w:val="0"/>
          <w:marBottom w:val="0"/>
          <w:divBdr>
            <w:top w:val="none" w:sz="0" w:space="0" w:color="auto"/>
            <w:left w:val="none" w:sz="0" w:space="0" w:color="auto"/>
            <w:bottom w:val="none" w:sz="0" w:space="0" w:color="auto"/>
            <w:right w:val="none" w:sz="0" w:space="0" w:color="auto"/>
          </w:divBdr>
        </w:div>
      </w:divsChild>
    </w:div>
    <w:div w:id="1941331471">
      <w:marLeft w:val="0"/>
      <w:marRight w:val="0"/>
      <w:marTop w:val="100"/>
      <w:marBottom w:val="100"/>
      <w:divBdr>
        <w:top w:val="none" w:sz="0" w:space="0" w:color="auto"/>
        <w:left w:val="none" w:sz="0" w:space="0" w:color="auto"/>
        <w:bottom w:val="none" w:sz="0" w:space="0" w:color="auto"/>
        <w:right w:val="none" w:sz="0" w:space="0" w:color="auto"/>
      </w:divBdr>
    </w:div>
    <w:div w:id="1942184752">
      <w:marLeft w:val="0"/>
      <w:marRight w:val="0"/>
      <w:marTop w:val="100"/>
      <w:marBottom w:val="100"/>
      <w:divBdr>
        <w:top w:val="none" w:sz="0" w:space="0" w:color="auto"/>
        <w:left w:val="none" w:sz="0" w:space="0" w:color="auto"/>
        <w:bottom w:val="none" w:sz="0" w:space="0" w:color="auto"/>
        <w:right w:val="none" w:sz="0" w:space="0" w:color="auto"/>
      </w:divBdr>
    </w:div>
    <w:div w:id="1942300917">
      <w:marLeft w:val="0"/>
      <w:marRight w:val="0"/>
      <w:marTop w:val="100"/>
      <w:marBottom w:val="100"/>
      <w:divBdr>
        <w:top w:val="none" w:sz="0" w:space="0" w:color="auto"/>
        <w:left w:val="none" w:sz="0" w:space="0" w:color="auto"/>
        <w:bottom w:val="none" w:sz="0" w:space="0" w:color="auto"/>
        <w:right w:val="none" w:sz="0" w:space="0" w:color="auto"/>
      </w:divBdr>
    </w:div>
    <w:div w:id="1943830325">
      <w:marLeft w:val="0"/>
      <w:marRight w:val="0"/>
      <w:marTop w:val="0"/>
      <w:marBottom w:val="0"/>
      <w:divBdr>
        <w:top w:val="none" w:sz="0" w:space="0" w:color="auto"/>
        <w:left w:val="none" w:sz="0" w:space="0" w:color="auto"/>
        <w:bottom w:val="none" w:sz="0" w:space="0" w:color="auto"/>
        <w:right w:val="none" w:sz="0" w:space="0" w:color="auto"/>
      </w:divBdr>
      <w:divsChild>
        <w:div w:id="2127967839">
          <w:marLeft w:val="0"/>
          <w:marRight w:val="0"/>
          <w:marTop w:val="0"/>
          <w:marBottom w:val="0"/>
          <w:divBdr>
            <w:top w:val="none" w:sz="0" w:space="0" w:color="auto"/>
            <w:left w:val="none" w:sz="0" w:space="0" w:color="auto"/>
            <w:bottom w:val="none" w:sz="0" w:space="0" w:color="auto"/>
            <w:right w:val="none" w:sz="0" w:space="0" w:color="auto"/>
          </w:divBdr>
          <w:divsChild>
            <w:div w:id="57523993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44876664">
      <w:marLeft w:val="0"/>
      <w:marRight w:val="0"/>
      <w:marTop w:val="0"/>
      <w:marBottom w:val="100"/>
      <w:divBdr>
        <w:top w:val="none" w:sz="0" w:space="0" w:color="auto"/>
        <w:left w:val="none" w:sz="0" w:space="0" w:color="auto"/>
        <w:bottom w:val="none" w:sz="0" w:space="0" w:color="auto"/>
        <w:right w:val="none" w:sz="0" w:space="0" w:color="auto"/>
      </w:divBdr>
    </w:div>
    <w:div w:id="1948001581">
      <w:marLeft w:val="0"/>
      <w:marRight w:val="0"/>
      <w:marTop w:val="0"/>
      <w:marBottom w:val="0"/>
      <w:divBdr>
        <w:top w:val="none" w:sz="0" w:space="0" w:color="auto"/>
        <w:left w:val="none" w:sz="0" w:space="0" w:color="auto"/>
        <w:bottom w:val="none" w:sz="0" w:space="0" w:color="auto"/>
        <w:right w:val="none" w:sz="0" w:space="0" w:color="auto"/>
      </w:divBdr>
    </w:div>
    <w:div w:id="1948542848">
      <w:marLeft w:val="0"/>
      <w:marRight w:val="0"/>
      <w:marTop w:val="0"/>
      <w:marBottom w:val="0"/>
      <w:divBdr>
        <w:top w:val="none" w:sz="0" w:space="0" w:color="auto"/>
        <w:left w:val="none" w:sz="0" w:space="0" w:color="auto"/>
        <w:bottom w:val="none" w:sz="0" w:space="0" w:color="auto"/>
        <w:right w:val="none" w:sz="0" w:space="0" w:color="auto"/>
      </w:divBdr>
    </w:div>
    <w:div w:id="1950310949">
      <w:marLeft w:val="0"/>
      <w:marRight w:val="0"/>
      <w:marTop w:val="0"/>
      <w:marBottom w:val="100"/>
      <w:divBdr>
        <w:top w:val="none" w:sz="0" w:space="0" w:color="auto"/>
        <w:left w:val="none" w:sz="0" w:space="0" w:color="auto"/>
        <w:bottom w:val="none" w:sz="0" w:space="0" w:color="auto"/>
        <w:right w:val="none" w:sz="0" w:space="0" w:color="auto"/>
      </w:divBdr>
    </w:div>
    <w:div w:id="1951545664">
      <w:marLeft w:val="0"/>
      <w:marRight w:val="0"/>
      <w:marTop w:val="0"/>
      <w:marBottom w:val="0"/>
      <w:divBdr>
        <w:top w:val="none" w:sz="0" w:space="0" w:color="auto"/>
        <w:left w:val="none" w:sz="0" w:space="0" w:color="auto"/>
        <w:bottom w:val="none" w:sz="0" w:space="0" w:color="auto"/>
        <w:right w:val="none" w:sz="0" w:space="0" w:color="auto"/>
      </w:divBdr>
      <w:divsChild>
        <w:div w:id="753550764">
          <w:marLeft w:val="0"/>
          <w:marRight w:val="0"/>
          <w:marTop w:val="0"/>
          <w:marBottom w:val="100"/>
          <w:divBdr>
            <w:top w:val="none" w:sz="0" w:space="0" w:color="auto"/>
            <w:left w:val="none" w:sz="0" w:space="0" w:color="auto"/>
            <w:bottom w:val="none" w:sz="0" w:space="0" w:color="auto"/>
            <w:right w:val="none" w:sz="0" w:space="0" w:color="auto"/>
          </w:divBdr>
        </w:div>
      </w:divsChild>
    </w:div>
    <w:div w:id="1954510767">
      <w:marLeft w:val="0"/>
      <w:marRight w:val="0"/>
      <w:marTop w:val="100"/>
      <w:marBottom w:val="100"/>
      <w:divBdr>
        <w:top w:val="none" w:sz="0" w:space="0" w:color="auto"/>
        <w:left w:val="none" w:sz="0" w:space="0" w:color="auto"/>
        <w:bottom w:val="none" w:sz="0" w:space="0" w:color="auto"/>
        <w:right w:val="none" w:sz="0" w:space="0" w:color="auto"/>
      </w:divBdr>
    </w:div>
    <w:div w:id="1955362282">
      <w:marLeft w:val="0"/>
      <w:marRight w:val="0"/>
      <w:marTop w:val="0"/>
      <w:marBottom w:val="100"/>
      <w:divBdr>
        <w:top w:val="none" w:sz="0" w:space="0" w:color="auto"/>
        <w:left w:val="none" w:sz="0" w:space="0" w:color="auto"/>
        <w:bottom w:val="none" w:sz="0" w:space="0" w:color="auto"/>
        <w:right w:val="none" w:sz="0" w:space="0" w:color="auto"/>
      </w:divBdr>
    </w:div>
    <w:div w:id="1957249435">
      <w:marLeft w:val="0"/>
      <w:marRight w:val="0"/>
      <w:marTop w:val="0"/>
      <w:marBottom w:val="0"/>
      <w:divBdr>
        <w:top w:val="none" w:sz="0" w:space="0" w:color="auto"/>
        <w:left w:val="none" w:sz="0" w:space="0" w:color="auto"/>
        <w:bottom w:val="none" w:sz="0" w:space="0" w:color="auto"/>
        <w:right w:val="none" w:sz="0" w:space="0" w:color="auto"/>
      </w:divBdr>
      <w:divsChild>
        <w:div w:id="1155292179">
          <w:marLeft w:val="0"/>
          <w:marRight w:val="0"/>
          <w:marTop w:val="0"/>
          <w:marBottom w:val="0"/>
          <w:divBdr>
            <w:top w:val="none" w:sz="0" w:space="0" w:color="auto"/>
            <w:left w:val="none" w:sz="0" w:space="0" w:color="auto"/>
            <w:bottom w:val="none" w:sz="0" w:space="0" w:color="auto"/>
            <w:right w:val="none" w:sz="0" w:space="0" w:color="auto"/>
          </w:divBdr>
          <w:divsChild>
            <w:div w:id="136755868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61179708">
      <w:marLeft w:val="0"/>
      <w:marRight w:val="0"/>
      <w:marTop w:val="180"/>
      <w:marBottom w:val="0"/>
      <w:divBdr>
        <w:top w:val="none" w:sz="0" w:space="0" w:color="auto"/>
        <w:left w:val="none" w:sz="0" w:space="0" w:color="auto"/>
        <w:bottom w:val="none" w:sz="0" w:space="0" w:color="auto"/>
        <w:right w:val="none" w:sz="0" w:space="0" w:color="auto"/>
      </w:divBdr>
    </w:div>
    <w:div w:id="1961456207">
      <w:marLeft w:val="0"/>
      <w:marRight w:val="0"/>
      <w:marTop w:val="180"/>
      <w:marBottom w:val="0"/>
      <w:divBdr>
        <w:top w:val="none" w:sz="0" w:space="0" w:color="auto"/>
        <w:left w:val="none" w:sz="0" w:space="0" w:color="auto"/>
        <w:bottom w:val="none" w:sz="0" w:space="0" w:color="auto"/>
        <w:right w:val="none" w:sz="0" w:space="0" w:color="auto"/>
      </w:divBdr>
    </w:div>
    <w:div w:id="1962034293">
      <w:marLeft w:val="0"/>
      <w:marRight w:val="0"/>
      <w:marTop w:val="0"/>
      <w:marBottom w:val="0"/>
      <w:divBdr>
        <w:top w:val="none" w:sz="0" w:space="0" w:color="auto"/>
        <w:left w:val="none" w:sz="0" w:space="0" w:color="auto"/>
        <w:bottom w:val="none" w:sz="0" w:space="0" w:color="auto"/>
        <w:right w:val="none" w:sz="0" w:space="0" w:color="auto"/>
      </w:divBdr>
    </w:div>
    <w:div w:id="1962490924">
      <w:marLeft w:val="0"/>
      <w:marRight w:val="0"/>
      <w:marTop w:val="0"/>
      <w:marBottom w:val="100"/>
      <w:divBdr>
        <w:top w:val="none" w:sz="0" w:space="0" w:color="auto"/>
        <w:left w:val="none" w:sz="0" w:space="0" w:color="auto"/>
        <w:bottom w:val="none" w:sz="0" w:space="0" w:color="auto"/>
        <w:right w:val="none" w:sz="0" w:space="0" w:color="auto"/>
      </w:divBdr>
    </w:div>
    <w:div w:id="1962877516">
      <w:marLeft w:val="0"/>
      <w:marRight w:val="0"/>
      <w:marTop w:val="80"/>
      <w:marBottom w:val="0"/>
      <w:divBdr>
        <w:top w:val="none" w:sz="0" w:space="0" w:color="auto"/>
        <w:left w:val="none" w:sz="0" w:space="0" w:color="auto"/>
        <w:bottom w:val="none" w:sz="0" w:space="0" w:color="auto"/>
        <w:right w:val="none" w:sz="0" w:space="0" w:color="auto"/>
      </w:divBdr>
    </w:div>
    <w:div w:id="1962958812">
      <w:marLeft w:val="0"/>
      <w:marRight w:val="0"/>
      <w:marTop w:val="100"/>
      <w:marBottom w:val="100"/>
      <w:divBdr>
        <w:top w:val="none" w:sz="0" w:space="0" w:color="auto"/>
        <w:left w:val="none" w:sz="0" w:space="0" w:color="auto"/>
        <w:bottom w:val="none" w:sz="0" w:space="0" w:color="auto"/>
        <w:right w:val="none" w:sz="0" w:space="0" w:color="auto"/>
      </w:divBdr>
    </w:div>
    <w:div w:id="1963222704">
      <w:marLeft w:val="0"/>
      <w:marRight w:val="0"/>
      <w:marTop w:val="0"/>
      <w:marBottom w:val="0"/>
      <w:divBdr>
        <w:top w:val="none" w:sz="0" w:space="0" w:color="auto"/>
        <w:left w:val="none" w:sz="0" w:space="0" w:color="auto"/>
        <w:bottom w:val="none" w:sz="0" w:space="0" w:color="auto"/>
        <w:right w:val="none" w:sz="0" w:space="0" w:color="auto"/>
      </w:divBdr>
    </w:div>
    <w:div w:id="1963878011">
      <w:marLeft w:val="0"/>
      <w:marRight w:val="0"/>
      <w:marTop w:val="100"/>
      <w:marBottom w:val="100"/>
      <w:divBdr>
        <w:top w:val="none" w:sz="0" w:space="0" w:color="auto"/>
        <w:left w:val="none" w:sz="0" w:space="0" w:color="auto"/>
        <w:bottom w:val="none" w:sz="0" w:space="0" w:color="auto"/>
        <w:right w:val="none" w:sz="0" w:space="0" w:color="auto"/>
      </w:divBdr>
    </w:div>
    <w:div w:id="1964726454">
      <w:marLeft w:val="0"/>
      <w:marRight w:val="0"/>
      <w:marTop w:val="0"/>
      <w:marBottom w:val="100"/>
      <w:divBdr>
        <w:top w:val="none" w:sz="0" w:space="0" w:color="auto"/>
        <w:left w:val="none" w:sz="0" w:space="0" w:color="auto"/>
        <w:bottom w:val="none" w:sz="0" w:space="0" w:color="auto"/>
        <w:right w:val="none" w:sz="0" w:space="0" w:color="auto"/>
      </w:divBdr>
    </w:div>
    <w:div w:id="1966042306">
      <w:marLeft w:val="0"/>
      <w:marRight w:val="0"/>
      <w:marTop w:val="180"/>
      <w:marBottom w:val="100"/>
      <w:divBdr>
        <w:top w:val="none" w:sz="0" w:space="0" w:color="auto"/>
        <w:left w:val="none" w:sz="0" w:space="0" w:color="auto"/>
        <w:bottom w:val="none" w:sz="0" w:space="0" w:color="auto"/>
        <w:right w:val="none" w:sz="0" w:space="0" w:color="auto"/>
      </w:divBdr>
    </w:div>
    <w:div w:id="1966235255">
      <w:marLeft w:val="0"/>
      <w:marRight w:val="0"/>
      <w:marTop w:val="0"/>
      <w:marBottom w:val="0"/>
      <w:divBdr>
        <w:top w:val="none" w:sz="0" w:space="0" w:color="auto"/>
        <w:left w:val="none" w:sz="0" w:space="0" w:color="auto"/>
        <w:bottom w:val="none" w:sz="0" w:space="0" w:color="auto"/>
        <w:right w:val="none" w:sz="0" w:space="0" w:color="auto"/>
      </w:divBdr>
    </w:div>
    <w:div w:id="1966890962">
      <w:marLeft w:val="0"/>
      <w:marRight w:val="0"/>
      <w:marTop w:val="80"/>
      <w:marBottom w:val="0"/>
      <w:divBdr>
        <w:top w:val="none" w:sz="0" w:space="0" w:color="auto"/>
        <w:left w:val="none" w:sz="0" w:space="0" w:color="auto"/>
        <w:bottom w:val="none" w:sz="0" w:space="0" w:color="auto"/>
        <w:right w:val="none" w:sz="0" w:space="0" w:color="auto"/>
      </w:divBdr>
    </w:div>
    <w:div w:id="1967854211">
      <w:marLeft w:val="0"/>
      <w:marRight w:val="0"/>
      <w:marTop w:val="0"/>
      <w:marBottom w:val="100"/>
      <w:divBdr>
        <w:top w:val="none" w:sz="0" w:space="0" w:color="auto"/>
        <w:left w:val="none" w:sz="0" w:space="0" w:color="auto"/>
        <w:bottom w:val="none" w:sz="0" w:space="0" w:color="auto"/>
        <w:right w:val="none" w:sz="0" w:space="0" w:color="auto"/>
      </w:divBdr>
    </w:div>
    <w:div w:id="1968315363">
      <w:marLeft w:val="0"/>
      <w:marRight w:val="0"/>
      <w:marTop w:val="180"/>
      <w:marBottom w:val="100"/>
      <w:divBdr>
        <w:top w:val="none" w:sz="0" w:space="0" w:color="auto"/>
        <w:left w:val="none" w:sz="0" w:space="0" w:color="auto"/>
        <w:bottom w:val="none" w:sz="0" w:space="0" w:color="auto"/>
        <w:right w:val="none" w:sz="0" w:space="0" w:color="auto"/>
      </w:divBdr>
    </w:div>
    <w:div w:id="1968730570">
      <w:marLeft w:val="0"/>
      <w:marRight w:val="0"/>
      <w:marTop w:val="0"/>
      <w:marBottom w:val="100"/>
      <w:divBdr>
        <w:top w:val="none" w:sz="0" w:space="0" w:color="auto"/>
        <w:left w:val="none" w:sz="0" w:space="0" w:color="auto"/>
        <w:bottom w:val="none" w:sz="0" w:space="0" w:color="auto"/>
        <w:right w:val="none" w:sz="0" w:space="0" w:color="auto"/>
      </w:divBdr>
    </w:div>
    <w:div w:id="1973555894">
      <w:marLeft w:val="0"/>
      <w:marRight w:val="0"/>
      <w:marTop w:val="0"/>
      <w:marBottom w:val="0"/>
      <w:divBdr>
        <w:top w:val="none" w:sz="0" w:space="0" w:color="auto"/>
        <w:left w:val="none" w:sz="0" w:space="0" w:color="auto"/>
        <w:bottom w:val="none" w:sz="0" w:space="0" w:color="auto"/>
        <w:right w:val="none" w:sz="0" w:space="0" w:color="auto"/>
      </w:divBdr>
    </w:div>
    <w:div w:id="1974142154">
      <w:marLeft w:val="0"/>
      <w:marRight w:val="0"/>
      <w:marTop w:val="100"/>
      <w:marBottom w:val="100"/>
      <w:divBdr>
        <w:top w:val="none" w:sz="0" w:space="0" w:color="auto"/>
        <w:left w:val="none" w:sz="0" w:space="0" w:color="auto"/>
        <w:bottom w:val="none" w:sz="0" w:space="0" w:color="auto"/>
        <w:right w:val="none" w:sz="0" w:space="0" w:color="auto"/>
      </w:divBdr>
    </w:div>
    <w:div w:id="1974599914">
      <w:marLeft w:val="0"/>
      <w:marRight w:val="0"/>
      <w:marTop w:val="180"/>
      <w:marBottom w:val="0"/>
      <w:divBdr>
        <w:top w:val="none" w:sz="0" w:space="0" w:color="auto"/>
        <w:left w:val="none" w:sz="0" w:space="0" w:color="auto"/>
        <w:bottom w:val="none" w:sz="0" w:space="0" w:color="auto"/>
        <w:right w:val="none" w:sz="0" w:space="0" w:color="auto"/>
      </w:divBdr>
    </w:div>
    <w:div w:id="1975401877">
      <w:marLeft w:val="0"/>
      <w:marRight w:val="0"/>
      <w:marTop w:val="0"/>
      <w:marBottom w:val="100"/>
      <w:divBdr>
        <w:top w:val="none" w:sz="0" w:space="0" w:color="auto"/>
        <w:left w:val="none" w:sz="0" w:space="0" w:color="auto"/>
        <w:bottom w:val="none" w:sz="0" w:space="0" w:color="auto"/>
        <w:right w:val="none" w:sz="0" w:space="0" w:color="auto"/>
      </w:divBdr>
    </w:div>
    <w:div w:id="1978877502">
      <w:marLeft w:val="0"/>
      <w:marRight w:val="0"/>
      <w:marTop w:val="100"/>
      <w:marBottom w:val="0"/>
      <w:divBdr>
        <w:top w:val="none" w:sz="0" w:space="0" w:color="auto"/>
        <w:left w:val="none" w:sz="0" w:space="0" w:color="auto"/>
        <w:bottom w:val="none" w:sz="0" w:space="0" w:color="auto"/>
        <w:right w:val="none" w:sz="0" w:space="0" w:color="auto"/>
      </w:divBdr>
    </w:div>
    <w:div w:id="1980114741">
      <w:marLeft w:val="0"/>
      <w:marRight w:val="0"/>
      <w:marTop w:val="0"/>
      <w:marBottom w:val="0"/>
      <w:divBdr>
        <w:top w:val="none" w:sz="0" w:space="0" w:color="auto"/>
        <w:left w:val="none" w:sz="0" w:space="0" w:color="auto"/>
        <w:bottom w:val="none" w:sz="0" w:space="0" w:color="auto"/>
        <w:right w:val="none" w:sz="0" w:space="0" w:color="auto"/>
      </w:divBdr>
    </w:div>
    <w:div w:id="1982418628">
      <w:marLeft w:val="0"/>
      <w:marRight w:val="0"/>
      <w:marTop w:val="0"/>
      <w:marBottom w:val="100"/>
      <w:divBdr>
        <w:top w:val="none" w:sz="0" w:space="0" w:color="auto"/>
        <w:left w:val="none" w:sz="0" w:space="0" w:color="auto"/>
        <w:bottom w:val="none" w:sz="0" w:space="0" w:color="auto"/>
        <w:right w:val="none" w:sz="0" w:space="0" w:color="auto"/>
      </w:divBdr>
    </w:div>
    <w:div w:id="1985575399">
      <w:marLeft w:val="0"/>
      <w:marRight w:val="0"/>
      <w:marTop w:val="0"/>
      <w:marBottom w:val="0"/>
      <w:divBdr>
        <w:top w:val="none" w:sz="0" w:space="0" w:color="auto"/>
        <w:left w:val="none" w:sz="0" w:space="0" w:color="auto"/>
        <w:bottom w:val="none" w:sz="0" w:space="0" w:color="auto"/>
        <w:right w:val="none" w:sz="0" w:space="0" w:color="auto"/>
      </w:divBdr>
      <w:divsChild>
        <w:div w:id="841435788">
          <w:marLeft w:val="0"/>
          <w:marRight w:val="0"/>
          <w:marTop w:val="0"/>
          <w:marBottom w:val="0"/>
          <w:divBdr>
            <w:top w:val="none" w:sz="0" w:space="0" w:color="auto"/>
            <w:left w:val="none" w:sz="0" w:space="0" w:color="auto"/>
            <w:bottom w:val="none" w:sz="0" w:space="0" w:color="auto"/>
            <w:right w:val="none" w:sz="0" w:space="0" w:color="auto"/>
          </w:divBdr>
          <w:divsChild>
            <w:div w:id="18468960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86276044">
      <w:marLeft w:val="0"/>
      <w:marRight w:val="0"/>
      <w:marTop w:val="0"/>
      <w:marBottom w:val="0"/>
      <w:divBdr>
        <w:top w:val="none" w:sz="0" w:space="0" w:color="auto"/>
        <w:left w:val="none" w:sz="0" w:space="0" w:color="auto"/>
        <w:bottom w:val="none" w:sz="0" w:space="0" w:color="auto"/>
        <w:right w:val="none" w:sz="0" w:space="0" w:color="auto"/>
      </w:divBdr>
    </w:div>
    <w:div w:id="1986351017">
      <w:marLeft w:val="0"/>
      <w:marRight w:val="0"/>
      <w:marTop w:val="180"/>
      <w:marBottom w:val="0"/>
      <w:divBdr>
        <w:top w:val="none" w:sz="0" w:space="0" w:color="auto"/>
        <w:left w:val="none" w:sz="0" w:space="0" w:color="auto"/>
        <w:bottom w:val="none" w:sz="0" w:space="0" w:color="auto"/>
        <w:right w:val="none" w:sz="0" w:space="0" w:color="auto"/>
      </w:divBdr>
    </w:div>
    <w:div w:id="1987465496">
      <w:marLeft w:val="0"/>
      <w:marRight w:val="0"/>
      <w:marTop w:val="0"/>
      <w:marBottom w:val="100"/>
      <w:divBdr>
        <w:top w:val="none" w:sz="0" w:space="0" w:color="auto"/>
        <w:left w:val="none" w:sz="0" w:space="0" w:color="auto"/>
        <w:bottom w:val="none" w:sz="0" w:space="0" w:color="auto"/>
        <w:right w:val="none" w:sz="0" w:space="0" w:color="auto"/>
      </w:divBdr>
    </w:div>
    <w:div w:id="1989555575">
      <w:marLeft w:val="0"/>
      <w:marRight w:val="0"/>
      <w:marTop w:val="0"/>
      <w:marBottom w:val="0"/>
      <w:divBdr>
        <w:top w:val="none" w:sz="0" w:space="0" w:color="auto"/>
        <w:left w:val="none" w:sz="0" w:space="0" w:color="auto"/>
        <w:bottom w:val="none" w:sz="0" w:space="0" w:color="auto"/>
        <w:right w:val="none" w:sz="0" w:space="0" w:color="auto"/>
      </w:divBdr>
    </w:div>
    <w:div w:id="1990741029">
      <w:marLeft w:val="0"/>
      <w:marRight w:val="0"/>
      <w:marTop w:val="0"/>
      <w:marBottom w:val="0"/>
      <w:divBdr>
        <w:top w:val="none" w:sz="0" w:space="0" w:color="auto"/>
        <w:left w:val="none" w:sz="0" w:space="0" w:color="auto"/>
        <w:bottom w:val="none" w:sz="0" w:space="0" w:color="auto"/>
        <w:right w:val="none" w:sz="0" w:space="0" w:color="auto"/>
      </w:divBdr>
      <w:divsChild>
        <w:div w:id="399986717">
          <w:marLeft w:val="0"/>
          <w:marRight w:val="0"/>
          <w:marTop w:val="0"/>
          <w:marBottom w:val="0"/>
          <w:divBdr>
            <w:top w:val="none" w:sz="0" w:space="0" w:color="auto"/>
            <w:left w:val="none" w:sz="0" w:space="0" w:color="auto"/>
            <w:bottom w:val="none" w:sz="0" w:space="0" w:color="auto"/>
            <w:right w:val="none" w:sz="0" w:space="0" w:color="auto"/>
          </w:divBdr>
          <w:divsChild>
            <w:div w:id="116983181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91210164">
      <w:marLeft w:val="0"/>
      <w:marRight w:val="0"/>
      <w:marTop w:val="180"/>
      <w:marBottom w:val="0"/>
      <w:divBdr>
        <w:top w:val="none" w:sz="0" w:space="0" w:color="auto"/>
        <w:left w:val="none" w:sz="0" w:space="0" w:color="auto"/>
        <w:bottom w:val="none" w:sz="0" w:space="0" w:color="auto"/>
        <w:right w:val="none" w:sz="0" w:space="0" w:color="auto"/>
      </w:divBdr>
    </w:div>
    <w:div w:id="1992756907">
      <w:marLeft w:val="0"/>
      <w:marRight w:val="0"/>
      <w:marTop w:val="100"/>
      <w:marBottom w:val="0"/>
      <w:divBdr>
        <w:top w:val="none" w:sz="0" w:space="0" w:color="auto"/>
        <w:left w:val="none" w:sz="0" w:space="0" w:color="auto"/>
        <w:bottom w:val="none" w:sz="0" w:space="0" w:color="auto"/>
        <w:right w:val="none" w:sz="0" w:space="0" w:color="auto"/>
      </w:divBdr>
    </w:div>
    <w:div w:id="1992833313">
      <w:marLeft w:val="0"/>
      <w:marRight w:val="0"/>
      <w:marTop w:val="0"/>
      <w:marBottom w:val="100"/>
      <w:divBdr>
        <w:top w:val="none" w:sz="0" w:space="0" w:color="auto"/>
        <w:left w:val="none" w:sz="0" w:space="0" w:color="auto"/>
        <w:bottom w:val="none" w:sz="0" w:space="0" w:color="auto"/>
        <w:right w:val="none" w:sz="0" w:space="0" w:color="auto"/>
      </w:divBdr>
    </w:div>
    <w:div w:id="1992978766">
      <w:marLeft w:val="0"/>
      <w:marRight w:val="0"/>
      <w:marTop w:val="80"/>
      <w:marBottom w:val="0"/>
      <w:divBdr>
        <w:top w:val="none" w:sz="0" w:space="0" w:color="auto"/>
        <w:left w:val="none" w:sz="0" w:space="0" w:color="auto"/>
        <w:bottom w:val="none" w:sz="0" w:space="0" w:color="auto"/>
        <w:right w:val="none" w:sz="0" w:space="0" w:color="auto"/>
      </w:divBdr>
      <w:divsChild>
        <w:div w:id="871259917">
          <w:marLeft w:val="0"/>
          <w:marRight w:val="0"/>
          <w:marTop w:val="0"/>
          <w:marBottom w:val="0"/>
          <w:divBdr>
            <w:top w:val="none" w:sz="0" w:space="0" w:color="auto"/>
            <w:left w:val="none" w:sz="0" w:space="0" w:color="auto"/>
            <w:bottom w:val="none" w:sz="0" w:space="0" w:color="auto"/>
            <w:right w:val="none" w:sz="0" w:space="0" w:color="auto"/>
          </w:divBdr>
        </w:div>
        <w:div w:id="624888590">
          <w:marLeft w:val="0"/>
          <w:marRight w:val="0"/>
          <w:marTop w:val="20"/>
          <w:marBottom w:val="0"/>
          <w:divBdr>
            <w:top w:val="none" w:sz="0" w:space="0" w:color="auto"/>
            <w:left w:val="none" w:sz="0" w:space="0" w:color="auto"/>
            <w:bottom w:val="none" w:sz="0" w:space="0" w:color="auto"/>
            <w:right w:val="none" w:sz="0" w:space="0" w:color="auto"/>
          </w:divBdr>
        </w:div>
        <w:div w:id="800807698">
          <w:marLeft w:val="0"/>
          <w:marRight w:val="0"/>
          <w:marTop w:val="20"/>
          <w:marBottom w:val="0"/>
          <w:divBdr>
            <w:top w:val="none" w:sz="0" w:space="0" w:color="auto"/>
            <w:left w:val="none" w:sz="0" w:space="0" w:color="auto"/>
            <w:bottom w:val="none" w:sz="0" w:space="0" w:color="auto"/>
            <w:right w:val="none" w:sz="0" w:space="0" w:color="auto"/>
          </w:divBdr>
        </w:div>
        <w:div w:id="1905524832">
          <w:marLeft w:val="0"/>
          <w:marRight w:val="0"/>
          <w:marTop w:val="20"/>
          <w:marBottom w:val="0"/>
          <w:divBdr>
            <w:top w:val="none" w:sz="0" w:space="0" w:color="auto"/>
            <w:left w:val="none" w:sz="0" w:space="0" w:color="auto"/>
            <w:bottom w:val="none" w:sz="0" w:space="0" w:color="auto"/>
            <w:right w:val="none" w:sz="0" w:space="0" w:color="auto"/>
          </w:divBdr>
        </w:div>
        <w:div w:id="1662350623">
          <w:marLeft w:val="0"/>
          <w:marRight w:val="0"/>
          <w:marTop w:val="20"/>
          <w:marBottom w:val="0"/>
          <w:divBdr>
            <w:top w:val="none" w:sz="0" w:space="0" w:color="auto"/>
            <w:left w:val="none" w:sz="0" w:space="0" w:color="auto"/>
            <w:bottom w:val="none" w:sz="0" w:space="0" w:color="auto"/>
            <w:right w:val="none" w:sz="0" w:space="0" w:color="auto"/>
          </w:divBdr>
        </w:div>
        <w:div w:id="1667399242">
          <w:marLeft w:val="0"/>
          <w:marRight w:val="0"/>
          <w:marTop w:val="0"/>
          <w:marBottom w:val="0"/>
          <w:divBdr>
            <w:top w:val="none" w:sz="0" w:space="0" w:color="auto"/>
            <w:left w:val="none" w:sz="0" w:space="0" w:color="auto"/>
            <w:bottom w:val="none" w:sz="0" w:space="0" w:color="auto"/>
            <w:right w:val="none" w:sz="0" w:space="0" w:color="auto"/>
          </w:divBdr>
        </w:div>
        <w:div w:id="188953218">
          <w:marLeft w:val="0"/>
          <w:marRight w:val="0"/>
          <w:marTop w:val="100"/>
          <w:marBottom w:val="100"/>
          <w:divBdr>
            <w:top w:val="none" w:sz="0" w:space="0" w:color="auto"/>
            <w:left w:val="none" w:sz="0" w:space="0" w:color="auto"/>
            <w:bottom w:val="none" w:sz="0" w:space="0" w:color="auto"/>
            <w:right w:val="none" w:sz="0" w:space="0" w:color="auto"/>
          </w:divBdr>
        </w:div>
        <w:div w:id="838958822">
          <w:marLeft w:val="0"/>
          <w:marRight w:val="0"/>
          <w:marTop w:val="100"/>
          <w:marBottom w:val="100"/>
          <w:divBdr>
            <w:top w:val="none" w:sz="0" w:space="0" w:color="auto"/>
            <w:left w:val="none" w:sz="0" w:space="0" w:color="auto"/>
            <w:bottom w:val="none" w:sz="0" w:space="0" w:color="auto"/>
            <w:right w:val="none" w:sz="0" w:space="0" w:color="auto"/>
          </w:divBdr>
        </w:div>
      </w:divsChild>
    </w:div>
    <w:div w:id="1993018824">
      <w:marLeft w:val="0"/>
      <w:marRight w:val="0"/>
      <w:marTop w:val="0"/>
      <w:marBottom w:val="100"/>
      <w:divBdr>
        <w:top w:val="none" w:sz="0" w:space="0" w:color="auto"/>
        <w:left w:val="none" w:sz="0" w:space="0" w:color="auto"/>
        <w:bottom w:val="none" w:sz="0" w:space="0" w:color="auto"/>
        <w:right w:val="none" w:sz="0" w:space="0" w:color="auto"/>
      </w:divBdr>
    </w:div>
    <w:div w:id="1993636059">
      <w:marLeft w:val="0"/>
      <w:marRight w:val="0"/>
      <w:marTop w:val="0"/>
      <w:marBottom w:val="0"/>
      <w:divBdr>
        <w:top w:val="none" w:sz="0" w:space="0" w:color="auto"/>
        <w:left w:val="none" w:sz="0" w:space="0" w:color="auto"/>
        <w:bottom w:val="none" w:sz="0" w:space="0" w:color="auto"/>
        <w:right w:val="none" w:sz="0" w:space="0" w:color="auto"/>
      </w:divBdr>
      <w:divsChild>
        <w:div w:id="228610714">
          <w:marLeft w:val="0"/>
          <w:marRight w:val="0"/>
          <w:marTop w:val="0"/>
          <w:marBottom w:val="100"/>
          <w:divBdr>
            <w:top w:val="none" w:sz="0" w:space="0" w:color="auto"/>
            <w:left w:val="none" w:sz="0" w:space="0" w:color="auto"/>
            <w:bottom w:val="none" w:sz="0" w:space="0" w:color="auto"/>
            <w:right w:val="none" w:sz="0" w:space="0" w:color="auto"/>
          </w:divBdr>
        </w:div>
      </w:divsChild>
    </w:div>
    <w:div w:id="1993680579">
      <w:marLeft w:val="0"/>
      <w:marRight w:val="0"/>
      <w:marTop w:val="0"/>
      <w:marBottom w:val="0"/>
      <w:divBdr>
        <w:top w:val="none" w:sz="0" w:space="0" w:color="auto"/>
        <w:left w:val="none" w:sz="0" w:space="0" w:color="auto"/>
        <w:bottom w:val="none" w:sz="0" w:space="0" w:color="auto"/>
        <w:right w:val="none" w:sz="0" w:space="0" w:color="auto"/>
      </w:divBdr>
    </w:div>
    <w:div w:id="1997033388">
      <w:marLeft w:val="0"/>
      <w:marRight w:val="0"/>
      <w:marTop w:val="0"/>
      <w:marBottom w:val="100"/>
      <w:divBdr>
        <w:top w:val="none" w:sz="0" w:space="0" w:color="auto"/>
        <w:left w:val="none" w:sz="0" w:space="0" w:color="auto"/>
        <w:bottom w:val="none" w:sz="0" w:space="0" w:color="auto"/>
        <w:right w:val="none" w:sz="0" w:space="0" w:color="auto"/>
      </w:divBdr>
    </w:div>
    <w:div w:id="2000696853">
      <w:marLeft w:val="0"/>
      <w:marRight w:val="0"/>
      <w:marTop w:val="0"/>
      <w:marBottom w:val="100"/>
      <w:divBdr>
        <w:top w:val="none" w:sz="0" w:space="0" w:color="auto"/>
        <w:left w:val="none" w:sz="0" w:space="0" w:color="auto"/>
        <w:bottom w:val="none" w:sz="0" w:space="0" w:color="auto"/>
        <w:right w:val="none" w:sz="0" w:space="0" w:color="auto"/>
      </w:divBdr>
    </w:div>
    <w:div w:id="2003315293">
      <w:marLeft w:val="0"/>
      <w:marRight w:val="0"/>
      <w:marTop w:val="100"/>
      <w:marBottom w:val="100"/>
      <w:divBdr>
        <w:top w:val="none" w:sz="0" w:space="0" w:color="auto"/>
        <w:left w:val="none" w:sz="0" w:space="0" w:color="auto"/>
        <w:bottom w:val="none" w:sz="0" w:space="0" w:color="auto"/>
        <w:right w:val="none" w:sz="0" w:space="0" w:color="auto"/>
      </w:divBdr>
    </w:div>
    <w:div w:id="2003508289">
      <w:marLeft w:val="0"/>
      <w:marRight w:val="0"/>
      <w:marTop w:val="180"/>
      <w:marBottom w:val="0"/>
      <w:divBdr>
        <w:top w:val="none" w:sz="0" w:space="0" w:color="auto"/>
        <w:left w:val="none" w:sz="0" w:space="0" w:color="auto"/>
        <w:bottom w:val="none" w:sz="0" w:space="0" w:color="auto"/>
        <w:right w:val="none" w:sz="0" w:space="0" w:color="auto"/>
      </w:divBdr>
    </w:div>
    <w:div w:id="2004968144">
      <w:marLeft w:val="0"/>
      <w:marRight w:val="0"/>
      <w:marTop w:val="0"/>
      <w:marBottom w:val="0"/>
      <w:divBdr>
        <w:top w:val="none" w:sz="0" w:space="0" w:color="auto"/>
        <w:left w:val="none" w:sz="0" w:space="0" w:color="auto"/>
        <w:bottom w:val="none" w:sz="0" w:space="0" w:color="auto"/>
        <w:right w:val="none" w:sz="0" w:space="0" w:color="auto"/>
      </w:divBdr>
      <w:divsChild>
        <w:div w:id="30736554">
          <w:marLeft w:val="0"/>
          <w:marRight w:val="0"/>
          <w:marTop w:val="0"/>
          <w:marBottom w:val="100"/>
          <w:divBdr>
            <w:top w:val="none" w:sz="0" w:space="0" w:color="auto"/>
            <w:left w:val="none" w:sz="0" w:space="0" w:color="auto"/>
            <w:bottom w:val="none" w:sz="0" w:space="0" w:color="auto"/>
            <w:right w:val="none" w:sz="0" w:space="0" w:color="auto"/>
          </w:divBdr>
        </w:div>
      </w:divsChild>
    </w:div>
    <w:div w:id="2006012562">
      <w:marLeft w:val="0"/>
      <w:marRight w:val="0"/>
      <w:marTop w:val="180"/>
      <w:marBottom w:val="0"/>
      <w:divBdr>
        <w:top w:val="none" w:sz="0" w:space="0" w:color="auto"/>
        <w:left w:val="none" w:sz="0" w:space="0" w:color="auto"/>
        <w:bottom w:val="none" w:sz="0" w:space="0" w:color="auto"/>
        <w:right w:val="none" w:sz="0" w:space="0" w:color="auto"/>
      </w:divBdr>
    </w:div>
    <w:div w:id="2008820403">
      <w:marLeft w:val="0"/>
      <w:marRight w:val="0"/>
      <w:marTop w:val="0"/>
      <w:marBottom w:val="100"/>
      <w:divBdr>
        <w:top w:val="none" w:sz="0" w:space="0" w:color="auto"/>
        <w:left w:val="none" w:sz="0" w:space="0" w:color="auto"/>
        <w:bottom w:val="none" w:sz="0" w:space="0" w:color="auto"/>
        <w:right w:val="none" w:sz="0" w:space="0" w:color="auto"/>
      </w:divBdr>
    </w:div>
    <w:div w:id="2009943034">
      <w:marLeft w:val="0"/>
      <w:marRight w:val="0"/>
      <w:marTop w:val="100"/>
      <w:marBottom w:val="100"/>
      <w:divBdr>
        <w:top w:val="none" w:sz="0" w:space="0" w:color="auto"/>
        <w:left w:val="none" w:sz="0" w:space="0" w:color="auto"/>
        <w:bottom w:val="none" w:sz="0" w:space="0" w:color="auto"/>
        <w:right w:val="none" w:sz="0" w:space="0" w:color="auto"/>
      </w:divBdr>
    </w:div>
    <w:div w:id="2011524360">
      <w:marLeft w:val="0"/>
      <w:marRight w:val="0"/>
      <w:marTop w:val="0"/>
      <w:marBottom w:val="0"/>
      <w:divBdr>
        <w:top w:val="none" w:sz="0" w:space="0" w:color="auto"/>
        <w:left w:val="none" w:sz="0" w:space="0" w:color="auto"/>
        <w:bottom w:val="none" w:sz="0" w:space="0" w:color="auto"/>
        <w:right w:val="none" w:sz="0" w:space="0" w:color="auto"/>
      </w:divBdr>
      <w:divsChild>
        <w:div w:id="1116215130">
          <w:marLeft w:val="0"/>
          <w:marRight w:val="0"/>
          <w:marTop w:val="0"/>
          <w:marBottom w:val="100"/>
          <w:divBdr>
            <w:top w:val="none" w:sz="0" w:space="0" w:color="auto"/>
            <w:left w:val="none" w:sz="0" w:space="0" w:color="auto"/>
            <w:bottom w:val="none" w:sz="0" w:space="0" w:color="auto"/>
            <w:right w:val="none" w:sz="0" w:space="0" w:color="auto"/>
          </w:divBdr>
        </w:div>
      </w:divsChild>
    </w:div>
    <w:div w:id="2011563292">
      <w:marLeft w:val="0"/>
      <w:marRight w:val="0"/>
      <w:marTop w:val="180"/>
      <w:marBottom w:val="0"/>
      <w:divBdr>
        <w:top w:val="none" w:sz="0" w:space="0" w:color="auto"/>
        <w:left w:val="none" w:sz="0" w:space="0" w:color="auto"/>
        <w:bottom w:val="none" w:sz="0" w:space="0" w:color="auto"/>
        <w:right w:val="none" w:sz="0" w:space="0" w:color="auto"/>
      </w:divBdr>
    </w:div>
    <w:div w:id="2011832584">
      <w:marLeft w:val="0"/>
      <w:marRight w:val="0"/>
      <w:marTop w:val="180"/>
      <w:marBottom w:val="100"/>
      <w:divBdr>
        <w:top w:val="none" w:sz="0" w:space="0" w:color="auto"/>
        <w:left w:val="none" w:sz="0" w:space="0" w:color="auto"/>
        <w:bottom w:val="none" w:sz="0" w:space="0" w:color="auto"/>
        <w:right w:val="none" w:sz="0" w:space="0" w:color="auto"/>
      </w:divBdr>
    </w:div>
    <w:div w:id="2012173089">
      <w:marLeft w:val="0"/>
      <w:marRight w:val="0"/>
      <w:marTop w:val="0"/>
      <w:marBottom w:val="0"/>
      <w:divBdr>
        <w:top w:val="none" w:sz="0" w:space="0" w:color="auto"/>
        <w:left w:val="none" w:sz="0" w:space="0" w:color="auto"/>
        <w:bottom w:val="none" w:sz="0" w:space="0" w:color="auto"/>
        <w:right w:val="none" w:sz="0" w:space="0" w:color="auto"/>
      </w:divBdr>
      <w:divsChild>
        <w:div w:id="215554743">
          <w:marLeft w:val="0"/>
          <w:marRight w:val="0"/>
          <w:marTop w:val="0"/>
          <w:marBottom w:val="100"/>
          <w:divBdr>
            <w:top w:val="none" w:sz="0" w:space="0" w:color="auto"/>
            <w:left w:val="none" w:sz="0" w:space="0" w:color="auto"/>
            <w:bottom w:val="none" w:sz="0" w:space="0" w:color="auto"/>
            <w:right w:val="none" w:sz="0" w:space="0" w:color="auto"/>
          </w:divBdr>
        </w:div>
      </w:divsChild>
    </w:div>
    <w:div w:id="2012488057">
      <w:marLeft w:val="0"/>
      <w:marRight w:val="0"/>
      <w:marTop w:val="100"/>
      <w:marBottom w:val="100"/>
      <w:divBdr>
        <w:top w:val="none" w:sz="0" w:space="0" w:color="auto"/>
        <w:left w:val="none" w:sz="0" w:space="0" w:color="auto"/>
        <w:bottom w:val="none" w:sz="0" w:space="0" w:color="auto"/>
        <w:right w:val="none" w:sz="0" w:space="0" w:color="auto"/>
      </w:divBdr>
    </w:div>
    <w:div w:id="2012834182">
      <w:marLeft w:val="0"/>
      <w:marRight w:val="0"/>
      <w:marTop w:val="0"/>
      <w:marBottom w:val="0"/>
      <w:divBdr>
        <w:top w:val="none" w:sz="0" w:space="0" w:color="auto"/>
        <w:left w:val="none" w:sz="0" w:space="0" w:color="auto"/>
        <w:bottom w:val="none" w:sz="0" w:space="0" w:color="auto"/>
        <w:right w:val="none" w:sz="0" w:space="0" w:color="auto"/>
      </w:divBdr>
    </w:div>
    <w:div w:id="2013531640">
      <w:marLeft w:val="0"/>
      <w:marRight w:val="0"/>
      <w:marTop w:val="100"/>
      <w:marBottom w:val="100"/>
      <w:divBdr>
        <w:top w:val="none" w:sz="0" w:space="0" w:color="auto"/>
        <w:left w:val="none" w:sz="0" w:space="0" w:color="auto"/>
        <w:bottom w:val="none" w:sz="0" w:space="0" w:color="auto"/>
        <w:right w:val="none" w:sz="0" w:space="0" w:color="auto"/>
      </w:divBdr>
    </w:div>
    <w:div w:id="2014408570">
      <w:marLeft w:val="0"/>
      <w:marRight w:val="0"/>
      <w:marTop w:val="80"/>
      <w:marBottom w:val="100"/>
      <w:divBdr>
        <w:top w:val="none" w:sz="0" w:space="0" w:color="auto"/>
        <w:left w:val="none" w:sz="0" w:space="0" w:color="auto"/>
        <w:bottom w:val="none" w:sz="0" w:space="0" w:color="auto"/>
        <w:right w:val="none" w:sz="0" w:space="0" w:color="auto"/>
      </w:divBdr>
    </w:div>
    <w:div w:id="2014795686">
      <w:marLeft w:val="0"/>
      <w:marRight w:val="0"/>
      <w:marTop w:val="0"/>
      <w:marBottom w:val="0"/>
      <w:divBdr>
        <w:top w:val="none" w:sz="0" w:space="0" w:color="auto"/>
        <w:left w:val="none" w:sz="0" w:space="0" w:color="auto"/>
        <w:bottom w:val="none" w:sz="0" w:space="0" w:color="auto"/>
        <w:right w:val="none" w:sz="0" w:space="0" w:color="auto"/>
      </w:divBdr>
      <w:divsChild>
        <w:div w:id="693111331">
          <w:marLeft w:val="0"/>
          <w:marRight w:val="0"/>
          <w:marTop w:val="0"/>
          <w:marBottom w:val="0"/>
          <w:divBdr>
            <w:top w:val="none" w:sz="0" w:space="0" w:color="auto"/>
            <w:left w:val="none" w:sz="0" w:space="0" w:color="auto"/>
            <w:bottom w:val="none" w:sz="0" w:space="0" w:color="auto"/>
            <w:right w:val="none" w:sz="0" w:space="0" w:color="auto"/>
          </w:divBdr>
          <w:divsChild>
            <w:div w:id="26766189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14988143">
      <w:marLeft w:val="0"/>
      <w:marRight w:val="0"/>
      <w:marTop w:val="100"/>
      <w:marBottom w:val="100"/>
      <w:divBdr>
        <w:top w:val="none" w:sz="0" w:space="0" w:color="auto"/>
        <w:left w:val="none" w:sz="0" w:space="0" w:color="auto"/>
        <w:bottom w:val="none" w:sz="0" w:space="0" w:color="auto"/>
        <w:right w:val="none" w:sz="0" w:space="0" w:color="auto"/>
      </w:divBdr>
    </w:div>
    <w:div w:id="2016612018">
      <w:marLeft w:val="0"/>
      <w:marRight w:val="0"/>
      <w:marTop w:val="0"/>
      <w:marBottom w:val="0"/>
      <w:divBdr>
        <w:top w:val="none" w:sz="0" w:space="0" w:color="auto"/>
        <w:left w:val="none" w:sz="0" w:space="0" w:color="auto"/>
        <w:bottom w:val="none" w:sz="0" w:space="0" w:color="auto"/>
        <w:right w:val="none" w:sz="0" w:space="0" w:color="auto"/>
      </w:divBdr>
    </w:div>
    <w:div w:id="2017224987">
      <w:marLeft w:val="0"/>
      <w:marRight w:val="0"/>
      <w:marTop w:val="100"/>
      <w:marBottom w:val="100"/>
      <w:divBdr>
        <w:top w:val="none" w:sz="0" w:space="0" w:color="auto"/>
        <w:left w:val="none" w:sz="0" w:space="0" w:color="auto"/>
        <w:bottom w:val="none" w:sz="0" w:space="0" w:color="auto"/>
        <w:right w:val="none" w:sz="0" w:space="0" w:color="auto"/>
      </w:divBdr>
    </w:div>
    <w:div w:id="2017612076">
      <w:marLeft w:val="0"/>
      <w:marRight w:val="0"/>
      <w:marTop w:val="0"/>
      <w:marBottom w:val="100"/>
      <w:divBdr>
        <w:top w:val="none" w:sz="0" w:space="0" w:color="auto"/>
        <w:left w:val="none" w:sz="0" w:space="0" w:color="auto"/>
        <w:bottom w:val="none" w:sz="0" w:space="0" w:color="auto"/>
        <w:right w:val="none" w:sz="0" w:space="0" w:color="auto"/>
      </w:divBdr>
    </w:div>
    <w:div w:id="2017923441">
      <w:marLeft w:val="0"/>
      <w:marRight w:val="0"/>
      <w:marTop w:val="100"/>
      <w:marBottom w:val="100"/>
      <w:divBdr>
        <w:top w:val="none" w:sz="0" w:space="0" w:color="auto"/>
        <w:left w:val="none" w:sz="0" w:space="0" w:color="auto"/>
        <w:bottom w:val="none" w:sz="0" w:space="0" w:color="auto"/>
        <w:right w:val="none" w:sz="0" w:space="0" w:color="auto"/>
      </w:divBdr>
    </w:div>
    <w:div w:id="2018923323">
      <w:marLeft w:val="0"/>
      <w:marRight w:val="0"/>
      <w:marTop w:val="0"/>
      <w:marBottom w:val="0"/>
      <w:divBdr>
        <w:top w:val="none" w:sz="0" w:space="0" w:color="auto"/>
        <w:left w:val="none" w:sz="0" w:space="0" w:color="auto"/>
        <w:bottom w:val="none" w:sz="0" w:space="0" w:color="auto"/>
        <w:right w:val="none" w:sz="0" w:space="0" w:color="auto"/>
      </w:divBdr>
    </w:div>
    <w:div w:id="2019261870">
      <w:marLeft w:val="0"/>
      <w:marRight w:val="0"/>
      <w:marTop w:val="0"/>
      <w:marBottom w:val="0"/>
      <w:divBdr>
        <w:top w:val="none" w:sz="0" w:space="0" w:color="auto"/>
        <w:left w:val="none" w:sz="0" w:space="0" w:color="auto"/>
        <w:bottom w:val="none" w:sz="0" w:space="0" w:color="auto"/>
        <w:right w:val="none" w:sz="0" w:space="0" w:color="auto"/>
      </w:divBdr>
    </w:div>
    <w:div w:id="2019387243">
      <w:marLeft w:val="0"/>
      <w:marRight w:val="0"/>
      <w:marTop w:val="0"/>
      <w:marBottom w:val="0"/>
      <w:divBdr>
        <w:top w:val="none" w:sz="0" w:space="0" w:color="auto"/>
        <w:left w:val="none" w:sz="0" w:space="0" w:color="auto"/>
        <w:bottom w:val="none" w:sz="0" w:space="0" w:color="auto"/>
        <w:right w:val="none" w:sz="0" w:space="0" w:color="auto"/>
      </w:divBdr>
    </w:div>
    <w:div w:id="2019502489">
      <w:marLeft w:val="0"/>
      <w:marRight w:val="0"/>
      <w:marTop w:val="180"/>
      <w:marBottom w:val="0"/>
      <w:divBdr>
        <w:top w:val="none" w:sz="0" w:space="0" w:color="auto"/>
        <w:left w:val="none" w:sz="0" w:space="0" w:color="auto"/>
        <w:bottom w:val="none" w:sz="0" w:space="0" w:color="auto"/>
        <w:right w:val="none" w:sz="0" w:space="0" w:color="auto"/>
      </w:divBdr>
    </w:div>
    <w:div w:id="2019649321">
      <w:marLeft w:val="0"/>
      <w:marRight w:val="0"/>
      <w:marTop w:val="0"/>
      <w:marBottom w:val="100"/>
      <w:divBdr>
        <w:top w:val="none" w:sz="0" w:space="0" w:color="auto"/>
        <w:left w:val="none" w:sz="0" w:space="0" w:color="auto"/>
        <w:bottom w:val="none" w:sz="0" w:space="0" w:color="auto"/>
        <w:right w:val="none" w:sz="0" w:space="0" w:color="auto"/>
      </w:divBdr>
    </w:div>
    <w:div w:id="2020886678">
      <w:marLeft w:val="0"/>
      <w:marRight w:val="0"/>
      <w:marTop w:val="100"/>
      <w:marBottom w:val="100"/>
      <w:divBdr>
        <w:top w:val="none" w:sz="0" w:space="0" w:color="auto"/>
        <w:left w:val="none" w:sz="0" w:space="0" w:color="auto"/>
        <w:bottom w:val="none" w:sz="0" w:space="0" w:color="auto"/>
        <w:right w:val="none" w:sz="0" w:space="0" w:color="auto"/>
      </w:divBdr>
    </w:div>
    <w:div w:id="2020964228">
      <w:marLeft w:val="0"/>
      <w:marRight w:val="0"/>
      <w:marTop w:val="0"/>
      <w:marBottom w:val="100"/>
      <w:divBdr>
        <w:top w:val="none" w:sz="0" w:space="0" w:color="auto"/>
        <w:left w:val="none" w:sz="0" w:space="0" w:color="auto"/>
        <w:bottom w:val="none" w:sz="0" w:space="0" w:color="auto"/>
        <w:right w:val="none" w:sz="0" w:space="0" w:color="auto"/>
      </w:divBdr>
    </w:div>
    <w:div w:id="2021662449">
      <w:marLeft w:val="0"/>
      <w:marRight w:val="0"/>
      <w:marTop w:val="180"/>
      <w:marBottom w:val="0"/>
      <w:divBdr>
        <w:top w:val="none" w:sz="0" w:space="0" w:color="auto"/>
        <w:left w:val="none" w:sz="0" w:space="0" w:color="auto"/>
        <w:bottom w:val="none" w:sz="0" w:space="0" w:color="auto"/>
        <w:right w:val="none" w:sz="0" w:space="0" w:color="auto"/>
      </w:divBdr>
    </w:div>
    <w:div w:id="2022049112">
      <w:marLeft w:val="0"/>
      <w:marRight w:val="0"/>
      <w:marTop w:val="0"/>
      <w:marBottom w:val="100"/>
      <w:divBdr>
        <w:top w:val="none" w:sz="0" w:space="0" w:color="auto"/>
        <w:left w:val="none" w:sz="0" w:space="0" w:color="auto"/>
        <w:bottom w:val="none" w:sz="0" w:space="0" w:color="auto"/>
        <w:right w:val="none" w:sz="0" w:space="0" w:color="auto"/>
      </w:divBdr>
    </w:div>
    <w:div w:id="2023051638">
      <w:marLeft w:val="0"/>
      <w:marRight w:val="0"/>
      <w:marTop w:val="100"/>
      <w:marBottom w:val="100"/>
      <w:divBdr>
        <w:top w:val="none" w:sz="0" w:space="0" w:color="auto"/>
        <w:left w:val="none" w:sz="0" w:space="0" w:color="auto"/>
        <w:bottom w:val="none" w:sz="0" w:space="0" w:color="auto"/>
        <w:right w:val="none" w:sz="0" w:space="0" w:color="auto"/>
      </w:divBdr>
    </w:div>
    <w:div w:id="2023119179">
      <w:marLeft w:val="0"/>
      <w:marRight w:val="0"/>
      <w:marTop w:val="0"/>
      <w:marBottom w:val="100"/>
      <w:divBdr>
        <w:top w:val="none" w:sz="0" w:space="0" w:color="auto"/>
        <w:left w:val="none" w:sz="0" w:space="0" w:color="auto"/>
        <w:bottom w:val="none" w:sz="0" w:space="0" w:color="auto"/>
        <w:right w:val="none" w:sz="0" w:space="0" w:color="auto"/>
      </w:divBdr>
    </w:div>
    <w:div w:id="2023625800">
      <w:marLeft w:val="0"/>
      <w:marRight w:val="0"/>
      <w:marTop w:val="100"/>
      <w:marBottom w:val="100"/>
      <w:divBdr>
        <w:top w:val="none" w:sz="0" w:space="0" w:color="auto"/>
        <w:left w:val="none" w:sz="0" w:space="0" w:color="auto"/>
        <w:bottom w:val="none" w:sz="0" w:space="0" w:color="auto"/>
        <w:right w:val="none" w:sz="0" w:space="0" w:color="auto"/>
      </w:divBdr>
    </w:div>
    <w:div w:id="2025201071">
      <w:marLeft w:val="0"/>
      <w:marRight w:val="0"/>
      <w:marTop w:val="100"/>
      <w:marBottom w:val="100"/>
      <w:divBdr>
        <w:top w:val="none" w:sz="0" w:space="0" w:color="auto"/>
        <w:left w:val="none" w:sz="0" w:space="0" w:color="auto"/>
        <w:bottom w:val="none" w:sz="0" w:space="0" w:color="auto"/>
        <w:right w:val="none" w:sz="0" w:space="0" w:color="auto"/>
      </w:divBdr>
    </w:div>
    <w:div w:id="2028015782">
      <w:marLeft w:val="0"/>
      <w:marRight w:val="0"/>
      <w:marTop w:val="0"/>
      <w:marBottom w:val="0"/>
      <w:divBdr>
        <w:top w:val="none" w:sz="0" w:space="0" w:color="auto"/>
        <w:left w:val="none" w:sz="0" w:space="0" w:color="auto"/>
        <w:bottom w:val="none" w:sz="0" w:space="0" w:color="auto"/>
        <w:right w:val="none" w:sz="0" w:space="0" w:color="auto"/>
      </w:divBdr>
      <w:divsChild>
        <w:div w:id="220411404">
          <w:marLeft w:val="0"/>
          <w:marRight w:val="0"/>
          <w:marTop w:val="0"/>
          <w:marBottom w:val="0"/>
          <w:divBdr>
            <w:top w:val="none" w:sz="0" w:space="0" w:color="auto"/>
            <w:left w:val="none" w:sz="0" w:space="0" w:color="auto"/>
            <w:bottom w:val="none" w:sz="0" w:space="0" w:color="auto"/>
            <w:right w:val="none" w:sz="0" w:space="0" w:color="auto"/>
          </w:divBdr>
          <w:divsChild>
            <w:div w:id="128237371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28215375">
      <w:marLeft w:val="0"/>
      <w:marRight w:val="0"/>
      <w:marTop w:val="0"/>
      <w:marBottom w:val="0"/>
      <w:divBdr>
        <w:top w:val="none" w:sz="0" w:space="0" w:color="auto"/>
        <w:left w:val="none" w:sz="0" w:space="0" w:color="auto"/>
        <w:bottom w:val="none" w:sz="0" w:space="0" w:color="auto"/>
        <w:right w:val="none" w:sz="0" w:space="0" w:color="auto"/>
      </w:divBdr>
      <w:divsChild>
        <w:div w:id="1310595037">
          <w:marLeft w:val="0"/>
          <w:marRight w:val="0"/>
          <w:marTop w:val="0"/>
          <w:marBottom w:val="0"/>
          <w:divBdr>
            <w:top w:val="none" w:sz="0" w:space="0" w:color="auto"/>
            <w:left w:val="none" w:sz="0" w:space="0" w:color="auto"/>
            <w:bottom w:val="none" w:sz="0" w:space="0" w:color="auto"/>
            <w:right w:val="none" w:sz="0" w:space="0" w:color="auto"/>
          </w:divBdr>
          <w:divsChild>
            <w:div w:id="26877574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28940108">
      <w:marLeft w:val="0"/>
      <w:marRight w:val="0"/>
      <w:marTop w:val="100"/>
      <w:marBottom w:val="100"/>
      <w:divBdr>
        <w:top w:val="none" w:sz="0" w:space="0" w:color="auto"/>
        <w:left w:val="none" w:sz="0" w:space="0" w:color="auto"/>
        <w:bottom w:val="none" w:sz="0" w:space="0" w:color="auto"/>
        <w:right w:val="none" w:sz="0" w:space="0" w:color="auto"/>
      </w:divBdr>
    </w:div>
    <w:div w:id="2029092626">
      <w:marLeft w:val="0"/>
      <w:marRight w:val="0"/>
      <w:marTop w:val="100"/>
      <w:marBottom w:val="0"/>
      <w:divBdr>
        <w:top w:val="none" w:sz="0" w:space="0" w:color="auto"/>
        <w:left w:val="none" w:sz="0" w:space="0" w:color="auto"/>
        <w:bottom w:val="none" w:sz="0" w:space="0" w:color="auto"/>
        <w:right w:val="none" w:sz="0" w:space="0" w:color="auto"/>
      </w:divBdr>
    </w:div>
    <w:div w:id="2029482764">
      <w:marLeft w:val="0"/>
      <w:marRight w:val="0"/>
      <w:marTop w:val="100"/>
      <w:marBottom w:val="0"/>
      <w:divBdr>
        <w:top w:val="none" w:sz="0" w:space="0" w:color="auto"/>
        <w:left w:val="none" w:sz="0" w:space="0" w:color="auto"/>
        <w:bottom w:val="none" w:sz="0" w:space="0" w:color="auto"/>
        <w:right w:val="none" w:sz="0" w:space="0" w:color="auto"/>
      </w:divBdr>
    </w:div>
    <w:div w:id="2034383576">
      <w:marLeft w:val="0"/>
      <w:marRight w:val="0"/>
      <w:marTop w:val="0"/>
      <w:marBottom w:val="0"/>
      <w:divBdr>
        <w:top w:val="none" w:sz="0" w:space="0" w:color="auto"/>
        <w:left w:val="none" w:sz="0" w:space="0" w:color="auto"/>
        <w:bottom w:val="none" w:sz="0" w:space="0" w:color="auto"/>
        <w:right w:val="none" w:sz="0" w:space="0" w:color="auto"/>
      </w:divBdr>
    </w:div>
    <w:div w:id="2034454629">
      <w:marLeft w:val="0"/>
      <w:marRight w:val="0"/>
      <w:marTop w:val="240"/>
      <w:marBottom w:val="340"/>
      <w:divBdr>
        <w:top w:val="none" w:sz="0" w:space="0" w:color="auto"/>
        <w:left w:val="none" w:sz="0" w:space="0" w:color="auto"/>
        <w:bottom w:val="none" w:sz="0" w:space="0" w:color="auto"/>
        <w:right w:val="none" w:sz="0" w:space="0" w:color="auto"/>
      </w:divBdr>
    </w:div>
    <w:div w:id="2035036922">
      <w:marLeft w:val="0"/>
      <w:marRight w:val="0"/>
      <w:marTop w:val="180"/>
      <w:marBottom w:val="0"/>
      <w:divBdr>
        <w:top w:val="none" w:sz="0" w:space="0" w:color="auto"/>
        <w:left w:val="none" w:sz="0" w:space="0" w:color="auto"/>
        <w:bottom w:val="none" w:sz="0" w:space="0" w:color="auto"/>
        <w:right w:val="none" w:sz="0" w:space="0" w:color="auto"/>
      </w:divBdr>
    </w:div>
    <w:div w:id="2035232581">
      <w:marLeft w:val="0"/>
      <w:marRight w:val="0"/>
      <w:marTop w:val="100"/>
      <w:marBottom w:val="100"/>
      <w:divBdr>
        <w:top w:val="none" w:sz="0" w:space="0" w:color="auto"/>
        <w:left w:val="none" w:sz="0" w:space="0" w:color="auto"/>
        <w:bottom w:val="none" w:sz="0" w:space="0" w:color="auto"/>
        <w:right w:val="none" w:sz="0" w:space="0" w:color="auto"/>
      </w:divBdr>
    </w:div>
    <w:div w:id="2035955997">
      <w:marLeft w:val="0"/>
      <w:marRight w:val="0"/>
      <w:marTop w:val="180"/>
      <w:marBottom w:val="100"/>
      <w:divBdr>
        <w:top w:val="none" w:sz="0" w:space="0" w:color="auto"/>
        <w:left w:val="none" w:sz="0" w:space="0" w:color="auto"/>
        <w:bottom w:val="none" w:sz="0" w:space="0" w:color="auto"/>
        <w:right w:val="none" w:sz="0" w:space="0" w:color="auto"/>
      </w:divBdr>
    </w:div>
    <w:div w:id="2036543267">
      <w:marLeft w:val="0"/>
      <w:marRight w:val="0"/>
      <w:marTop w:val="100"/>
      <w:marBottom w:val="100"/>
      <w:divBdr>
        <w:top w:val="none" w:sz="0" w:space="0" w:color="auto"/>
        <w:left w:val="none" w:sz="0" w:space="0" w:color="auto"/>
        <w:bottom w:val="none" w:sz="0" w:space="0" w:color="auto"/>
        <w:right w:val="none" w:sz="0" w:space="0" w:color="auto"/>
      </w:divBdr>
    </w:div>
    <w:div w:id="2037658363">
      <w:marLeft w:val="0"/>
      <w:marRight w:val="0"/>
      <w:marTop w:val="0"/>
      <w:marBottom w:val="100"/>
      <w:divBdr>
        <w:top w:val="none" w:sz="0" w:space="0" w:color="auto"/>
        <w:left w:val="none" w:sz="0" w:space="0" w:color="auto"/>
        <w:bottom w:val="none" w:sz="0" w:space="0" w:color="auto"/>
        <w:right w:val="none" w:sz="0" w:space="0" w:color="auto"/>
      </w:divBdr>
    </w:div>
    <w:div w:id="2037847270">
      <w:marLeft w:val="0"/>
      <w:marRight w:val="0"/>
      <w:marTop w:val="180"/>
      <w:marBottom w:val="0"/>
      <w:divBdr>
        <w:top w:val="none" w:sz="0" w:space="0" w:color="auto"/>
        <w:left w:val="none" w:sz="0" w:space="0" w:color="auto"/>
        <w:bottom w:val="none" w:sz="0" w:space="0" w:color="auto"/>
        <w:right w:val="none" w:sz="0" w:space="0" w:color="auto"/>
      </w:divBdr>
    </w:div>
    <w:div w:id="2038577196">
      <w:marLeft w:val="0"/>
      <w:marRight w:val="0"/>
      <w:marTop w:val="0"/>
      <w:marBottom w:val="100"/>
      <w:divBdr>
        <w:top w:val="none" w:sz="0" w:space="0" w:color="auto"/>
        <w:left w:val="none" w:sz="0" w:space="0" w:color="auto"/>
        <w:bottom w:val="none" w:sz="0" w:space="0" w:color="auto"/>
        <w:right w:val="none" w:sz="0" w:space="0" w:color="auto"/>
      </w:divBdr>
    </w:div>
    <w:div w:id="2040541132">
      <w:marLeft w:val="0"/>
      <w:marRight w:val="0"/>
      <w:marTop w:val="0"/>
      <w:marBottom w:val="0"/>
      <w:divBdr>
        <w:top w:val="none" w:sz="0" w:space="0" w:color="auto"/>
        <w:left w:val="none" w:sz="0" w:space="0" w:color="auto"/>
        <w:bottom w:val="none" w:sz="0" w:space="0" w:color="auto"/>
        <w:right w:val="none" w:sz="0" w:space="0" w:color="auto"/>
      </w:divBdr>
    </w:div>
    <w:div w:id="2041514968">
      <w:marLeft w:val="0"/>
      <w:marRight w:val="0"/>
      <w:marTop w:val="100"/>
      <w:marBottom w:val="100"/>
      <w:divBdr>
        <w:top w:val="none" w:sz="0" w:space="0" w:color="auto"/>
        <w:left w:val="none" w:sz="0" w:space="0" w:color="auto"/>
        <w:bottom w:val="none" w:sz="0" w:space="0" w:color="auto"/>
        <w:right w:val="none" w:sz="0" w:space="0" w:color="auto"/>
      </w:divBdr>
    </w:div>
    <w:div w:id="2042590103">
      <w:marLeft w:val="0"/>
      <w:marRight w:val="0"/>
      <w:marTop w:val="100"/>
      <w:marBottom w:val="100"/>
      <w:divBdr>
        <w:top w:val="none" w:sz="0" w:space="0" w:color="auto"/>
        <w:left w:val="none" w:sz="0" w:space="0" w:color="auto"/>
        <w:bottom w:val="none" w:sz="0" w:space="0" w:color="auto"/>
        <w:right w:val="none" w:sz="0" w:space="0" w:color="auto"/>
      </w:divBdr>
    </w:div>
    <w:div w:id="2044138031">
      <w:marLeft w:val="0"/>
      <w:marRight w:val="0"/>
      <w:marTop w:val="0"/>
      <w:marBottom w:val="100"/>
      <w:divBdr>
        <w:top w:val="none" w:sz="0" w:space="0" w:color="auto"/>
        <w:left w:val="none" w:sz="0" w:space="0" w:color="auto"/>
        <w:bottom w:val="none" w:sz="0" w:space="0" w:color="auto"/>
        <w:right w:val="none" w:sz="0" w:space="0" w:color="auto"/>
      </w:divBdr>
    </w:div>
    <w:div w:id="2044594269">
      <w:marLeft w:val="0"/>
      <w:marRight w:val="0"/>
      <w:marTop w:val="0"/>
      <w:marBottom w:val="0"/>
      <w:divBdr>
        <w:top w:val="none" w:sz="0" w:space="0" w:color="auto"/>
        <w:left w:val="none" w:sz="0" w:space="0" w:color="auto"/>
        <w:bottom w:val="none" w:sz="0" w:space="0" w:color="auto"/>
        <w:right w:val="none" w:sz="0" w:space="0" w:color="auto"/>
      </w:divBdr>
    </w:div>
    <w:div w:id="2045212673">
      <w:marLeft w:val="0"/>
      <w:marRight w:val="0"/>
      <w:marTop w:val="100"/>
      <w:marBottom w:val="100"/>
      <w:divBdr>
        <w:top w:val="none" w:sz="0" w:space="0" w:color="auto"/>
        <w:left w:val="none" w:sz="0" w:space="0" w:color="auto"/>
        <w:bottom w:val="none" w:sz="0" w:space="0" w:color="auto"/>
        <w:right w:val="none" w:sz="0" w:space="0" w:color="auto"/>
      </w:divBdr>
    </w:div>
    <w:div w:id="2045979971">
      <w:marLeft w:val="0"/>
      <w:marRight w:val="0"/>
      <w:marTop w:val="100"/>
      <w:marBottom w:val="100"/>
      <w:divBdr>
        <w:top w:val="none" w:sz="0" w:space="0" w:color="auto"/>
        <w:left w:val="none" w:sz="0" w:space="0" w:color="auto"/>
        <w:bottom w:val="none" w:sz="0" w:space="0" w:color="auto"/>
        <w:right w:val="none" w:sz="0" w:space="0" w:color="auto"/>
      </w:divBdr>
    </w:div>
    <w:div w:id="2046439509">
      <w:marLeft w:val="0"/>
      <w:marRight w:val="0"/>
      <w:marTop w:val="0"/>
      <w:marBottom w:val="0"/>
      <w:divBdr>
        <w:top w:val="none" w:sz="0" w:space="0" w:color="auto"/>
        <w:left w:val="none" w:sz="0" w:space="0" w:color="auto"/>
        <w:bottom w:val="none" w:sz="0" w:space="0" w:color="auto"/>
        <w:right w:val="none" w:sz="0" w:space="0" w:color="auto"/>
      </w:divBdr>
    </w:div>
    <w:div w:id="2047176175">
      <w:marLeft w:val="0"/>
      <w:marRight w:val="0"/>
      <w:marTop w:val="0"/>
      <w:marBottom w:val="100"/>
      <w:divBdr>
        <w:top w:val="none" w:sz="0" w:space="0" w:color="auto"/>
        <w:left w:val="none" w:sz="0" w:space="0" w:color="auto"/>
        <w:bottom w:val="none" w:sz="0" w:space="0" w:color="auto"/>
        <w:right w:val="none" w:sz="0" w:space="0" w:color="auto"/>
      </w:divBdr>
    </w:div>
    <w:div w:id="2047294867">
      <w:marLeft w:val="0"/>
      <w:marRight w:val="0"/>
      <w:marTop w:val="0"/>
      <w:marBottom w:val="100"/>
      <w:divBdr>
        <w:top w:val="none" w:sz="0" w:space="0" w:color="auto"/>
        <w:left w:val="none" w:sz="0" w:space="0" w:color="auto"/>
        <w:bottom w:val="none" w:sz="0" w:space="0" w:color="auto"/>
        <w:right w:val="none" w:sz="0" w:space="0" w:color="auto"/>
      </w:divBdr>
    </w:div>
    <w:div w:id="2047368999">
      <w:marLeft w:val="0"/>
      <w:marRight w:val="0"/>
      <w:marTop w:val="0"/>
      <w:marBottom w:val="0"/>
      <w:divBdr>
        <w:top w:val="none" w:sz="0" w:space="0" w:color="auto"/>
        <w:left w:val="none" w:sz="0" w:space="0" w:color="auto"/>
        <w:bottom w:val="none" w:sz="0" w:space="0" w:color="auto"/>
        <w:right w:val="none" w:sz="0" w:space="0" w:color="auto"/>
      </w:divBdr>
      <w:divsChild>
        <w:div w:id="1931356039">
          <w:marLeft w:val="0"/>
          <w:marRight w:val="0"/>
          <w:marTop w:val="0"/>
          <w:marBottom w:val="0"/>
          <w:divBdr>
            <w:top w:val="none" w:sz="0" w:space="0" w:color="auto"/>
            <w:left w:val="none" w:sz="0" w:space="0" w:color="auto"/>
            <w:bottom w:val="none" w:sz="0" w:space="0" w:color="auto"/>
            <w:right w:val="none" w:sz="0" w:space="0" w:color="auto"/>
          </w:divBdr>
          <w:divsChild>
            <w:div w:id="109683029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48069448">
      <w:marLeft w:val="0"/>
      <w:marRight w:val="0"/>
      <w:marTop w:val="0"/>
      <w:marBottom w:val="100"/>
      <w:divBdr>
        <w:top w:val="none" w:sz="0" w:space="0" w:color="auto"/>
        <w:left w:val="none" w:sz="0" w:space="0" w:color="auto"/>
        <w:bottom w:val="none" w:sz="0" w:space="0" w:color="auto"/>
        <w:right w:val="none" w:sz="0" w:space="0" w:color="auto"/>
      </w:divBdr>
    </w:div>
    <w:div w:id="2048094623">
      <w:marLeft w:val="0"/>
      <w:marRight w:val="0"/>
      <w:marTop w:val="100"/>
      <w:marBottom w:val="100"/>
      <w:divBdr>
        <w:top w:val="none" w:sz="0" w:space="0" w:color="auto"/>
        <w:left w:val="none" w:sz="0" w:space="0" w:color="auto"/>
        <w:bottom w:val="none" w:sz="0" w:space="0" w:color="auto"/>
        <w:right w:val="none" w:sz="0" w:space="0" w:color="auto"/>
      </w:divBdr>
    </w:div>
    <w:div w:id="2048145190">
      <w:marLeft w:val="0"/>
      <w:marRight w:val="0"/>
      <w:marTop w:val="0"/>
      <w:marBottom w:val="0"/>
      <w:divBdr>
        <w:top w:val="none" w:sz="0" w:space="0" w:color="auto"/>
        <w:left w:val="none" w:sz="0" w:space="0" w:color="auto"/>
        <w:bottom w:val="none" w:sz="0" w:space="0" w:color="auto"/>
        <w:right w:val="none" w:sz="0" w:space="0" w:color="auto"/>
      </w:divBdr>
    </w:div>
    <w:div w:id="2048488088">
      <w:marLeft w:val="0"/>
      <w:marRight w:val="0"/>
      <w:marTop w:val="0"/>
      <w:marBottom w:val="0"/>
      <w:divBdr>
        <w:top w:val="none" w:sz="0" w:space="0" w:color="auto"/>
        <w:left w:val="none" w:sz="0" w:space="0" w:color="auto"/>
        <w:bottom w:val="none" w:sz="0" w:space="0" w:color="auto"/>
        <w:right w:val="none" w:sz="0" w:space="0" w:color="auto"/>
      </w:divBdr>
    </w:div>
    <w:div w:id="2051953072">
      <w:marLeft w:val="0"/>
      <w:marRight w:val="0"/>
      <w:marTop w:val="100"/>
      <w:marBottom w:val="100"/>
      <w:divBdr>
        <w:top w:val="none" w:sz="0" w:space="0" w:color="auto"/>
        <w:left w:val="none" w:sz="0" w:space="0" w:color="auto"/>
        <w:bottom w:val="none" w:sz="0" w:space="0" w:color="auto"/>
        <w:right w:val="none" w:sz="0" w:space="0" w:color="auto"/>
      </w:divBdr>
    </w:div>
    <w:div w:id="2054310553">
      <w:marLeft w:val="0"/>
      <w:marRight w:val="0"/>
      <w:marTop w:val="100"/>
      <w:marBottom w:val="100"/>
      <w:divBdr>
        <w:top w:val="none" w:sz="0" w:space="0" w:color="auto"/>
        <w:left w:val="none" w:sz="0" w:space="0" w:color="auto"/>
        <w:bottom w:val="none" w:sz="0" w:space="0" w:color="auto"/>
        <w:right w:val="none" w:sz="0" w:space="0" w:color="auto"/>
      </w:divBdr>
    </w:div>
    <w:div w:id="2055813328">
      <w:marLeft w:val="0"/>
      <w:marRight w:val="0"/>
      <w:marTop w:val="100"/>
      <w:marBottom w:val="100"/>
      <w:divBdr>
        <w:top w:val="none" w:sz="0" w:space="0" w:color="auto"/>
        <w:left w:val="none" w:sz="0" w:space="0" w:color="auto"/>
        <w:bottom w:val="none" w:sz="0" w:space="0" w:color="auto"/>
        <w:right w:val="none" w:sz="0" w:space="0" w:color="auto"/>
      </w:divBdr>
    </w:div>
    <w:div w:id="2057924766">
      <w:marLeft w:val="0"/>
      <w:marRight w:val="0"/>
      <w:marTop w:val="0"/>
      <w:marBottom w:val="0"/>
      <w:divBdr>
        <w:top w:val="none" w:sz="0" w:space="0" w:color="auto"/>
        <w:left w:val="none" w:sz="0" w:space="0" w:color="auto"/>
        <w:bottom w:val="none" w:sz="0" w:space="0" w:color="auto"/>
        <w:right w:val="none" w:sz="0" w:space="0" w:color="auto"/>
      </w:divBdr>
      <w:divsChild>
        <w:div w:id="234823669">
          <w:marLeft w:val="0"/>
          <w:marRight w:val="0"/>
          <w:marTop w:val="0"/>
          <w:marBottom w:val="100"/>
          <w:divBdr>
            <w:top w:val="none" w:sz="0" w:space="0" w:color="auto"/>
            <w:left w:val="none" w:sz="0" w:space="0" w:color="auto"/>
            <w:bottom w:val="none" w:sz="0" w:space="0" w:color="auto"/>
            <w:right w:val="none" w:sz="0" w:space="0" w:color="auto"/>
          </w:divBdr>
        </w:div>
      </w:divsChild>
    </w:div>
    <w:div w:id="2060784193">
      <w:marLeft w:val="0"/>
      <w:marRight w:val="0"/>
      <w:marTop w:val="180"/>
      <w:marBottom w:val="0"/>
      <w:divBdr>
        <w:top w:val="none" w:sz="0" w:space="0" w:color="auto"/>
        <w:left w:val="none" w:sz="0" w:space="0" w:color="auto"/>
        <w:bottom w:val="none" w:sz="0" w:space="0" w:color="auto"/>
        <w:right w:val="none" w:sz="0" w:space="0" w:color="auto"/>
      </w:divBdr>
    </w:div>
    <w:div w:id="2062483855">
      <w:marLeft w:val="0"/>
      <w:marRight w:val="0"/>
      <w:marTop w:val="180"/>
      <w:marBottom w:val="0"/>
      <w:divBdr>
        <w:top w:val="none" w:sz="0" w:space="0" w:color="auto"/>
        <w:left w:val="none" w:sz="0" w:space="0" w:color="auto"/>
        <w:bottom w:val="none" w:sz="0" w:space="0" w:color="auto"/>
        <w:right w:val="none" w:sz="0" w:space="0" w:color="auto"/>
      </w:divBdr>
    </w:div>
    <w:div w:id="2063139850">
      <w:marLeft w:val="0"/>
      <w:marRight w:val="0"/>
      <w:marTop w:val="0"/>
      <w:marBottom w:val="0"/>
      <w:divBdr>
        <w:top w:val="none" w:sz="0" w:space="0" w:color="auto"/>
        <w:left w:val="none" w:sz="0" w:space="0" w:color="auto"/>
        <w:bottom w:val="none" w:sz="0" w:space="0" w:color="auto"/>
        <w:right w:val="none" w:sz="0" w:space="0" w:color="auto"/>
      </w:divBdr>
    </w:div>
    <w:div w:id="2063213649">
      <w:marLeft w:val="0"/>
      <w:marRight w:val="0"/>
      <w:marTop w:val="100"/>
      <w:marBottom w:val="100"/>
      <w:divBdr>
        <w:top w:val="none" w:sz="0" w:space="0" w:color="auto"/>
        <w:left w:val="none" w:sz="0" w:space="0" w:color="auto"/>
        <w:bottom w:val="none" w:sz="0" w:space="0" w:color="auto"/>
        <w:right w:val="none" w:sz="0" w:space="0" w:color="auto"/>
      </w:divBdr>
    </w:div>
    <w:div w:id="2064714832">
      <w:marLeft w:val="0"/>
      <w:marRight w:val="0"/>
      <w:marTop w:val="0"/>
      <w:marBottom w:val="160"/>
      <w:divBdr>
        <w:top w:val="none" w:sz="0" w:space="0" w:color="auto"/>
        <w:left w:val="none" w:sz="0" w:space="0" w:color="auto"/>
        <w:bottom w:val="none" w:sz="0" w:space="0" w:color="auto"/>
        <w:right w:val="none" w:sz="0" w:space="0" w:color="auto"/>
      </w:divBdr>
    </w:div>
    <w:div w:id="2065982063">
      <w:marLeft w:val="0"/>
      <w:marRight w:val="0"/>
      <w:marTop w:val="100"/>
      <w:marBottom w:val="100"/>
      <w:divBdr>
        <w:top w:val="none" w:sz="0" w:space="0" w:color="auto"/>
        <w:left w:val="none" w:sz="0" w:space="0" w:color="auto"/>
        <w:bottom w:val="none" w:sz="0" w:space="0" w:color="auto"/>
        <w:right w:val="none" w:sz="0" w:space="0" w:color="auto"/>
      </w:divBdr>
    </w:div>
    <w:div w:id="2068986454">
      <w:marLeft w:val="0"/>
      <w:marRight w:val="0"/>
      <w:marTop w:val="100"/>
      <w:marBottom w:val="90"/>
      <w:divBdr>
        <w:top w:val="none" w:sz="0" w:space="0" w:color="auto"/>
        <w:left w:val="none" w:sz="0" w:space="0" w:color="auto"/>
        <w:bottom w:val="none" w:sz="0" w:space="0" w:color="auto"/>
        <w:right w:val="none" w:sz="0" w:space="0" w:color="auto"/>
      </w:divBdr>
    </w:div>
    <w:div w:id="2069063459">
      <w:marLeft w:val="0"/>
      <w:marRight w:val="0"/>
      <w:marTop w:val="100"/>
      <w:marBottom w:val="100"/>
      <w:divBdr>
        <w:top w:val="none" w:sz="0" w:space="0" w:color="auto"/>
        <w:left w:val="none" w:sz="0" w:space="0" w:color="auto"/>
        <w:bottom w:val="none" w:sz="0" w:space="0" w:color="auto"/>
        <w:right w:val="none" w:sz="0" w:space="0" w:color="auto"/>
      </w:divBdr>
    </w:div>
    <w:div w:id="2069305960">
      <w:marLeft w:val="0"/>
      <w:marRight w:val="0"/>
      <w:marTop w:val="0"/>
      <w:marBottom w:val="100"/>
      <w:divBdr>
        <w:top w:val="none" w:sz="0" w:space="0" w:color="auto"/>
        <w:left w:val="none" w:sz="0" w:space="0" w:color="auto"/>
        <w:bottom w:val="none" w:sz="0" w:space="0" w:color="auto"/>
        <w:right w:val="none" w:sz="0" w:space="0" w:color="auto"/>
      </w:divBdr>
    </w:div>
    <w:div w:id="2070305986">
      <w:marLeft w:val="0"/>
      <w:marRight w:val="0"/>
      <w:marTop w:val="100"/>
      <w:marBottom w:val="100"/>
      <w:divBdr>
        <w:top w:val="none" w:sz="0" w:space="0" w:color="auto"/>
        <w:left w:val="none" w:sz="0" w:space="0" w:color="auto"/>
        <w:bottom w:val="none" w:sz="0" w:space="0" w:color="auto"/>
        <w:right w:val="none" w:sz="0" w:space="0" w:color="auto"/>
      </w:divBdr>
    </w:div>
    <w:div w:id="2073768441">
      <w:marLeft w:val="0"/>
      <w:marRight w:val="0"/>
      <w:marTop w:val="100"/>
      <w:marBottom w:val="100"/>
      <w:divBdr>
        <w:top w:val="none" w:sz="0" w:space="0" w:color="auto"/>
        <w:left w:val="none" w:sz="0" w:space="0" w:color="auto"/>
        <w:bottom w:val="none" w:sz="0" w:space="0" w:color="auto"/>
        <w:right w:val="none" w:sz="0" w:space="0" w:color="auto"/>
      </w:divBdr>
    </w:div>
    <w:div w:id="2079746370">
      <w:marLeft w:val="0"/>
      <w:marRight w:val="0"/>
      <w:marTop w:val="100"/>
      <w:marBottom w:val="0"/>
      <w:divBdr>
        <w:top w:val="none" w:sz="0" w:space="0" w:color="auto"/>
        <w:left w:val="none" w:sz="0" w:space="0" w:color="auto"/>
        <w:bottom w:val="none" w:sz="0" w:space="0" w:color="auto"/>
        <w:right w:val="none" w:sz="0" w:space="0" w:color="auto"/>
      </w:divBdr>
    </w:div>
    <w:div w:id="2079817612">
      <w:marLeft w:val="0"/>
      <w:marRight w:val="0"/>
      <w:marTop w:val="100"/>
      <w:marBottom w:val="100"/>
      <w:divBdr>
        <w:top w:val="none" w:sz="0" w:space="0" w:color="auto"/>
        <w:left w:val="none" w:sz="0" w:space="0" w:color="auto"/>
        <w:bottom w:val="none" w:sz="0" w:space="0" w:color="auto"/>
        <w:right w:val="none" w:sz="0" w:space="0" w:color="auto"/>
      </w:divBdr>
    </w:div>
    <w:div w:id="2079941419">
      <w:marLeft w:val="0"/>
      <w:marRight w:val="0"/>
      <w:marTop w:val="0"/>
      <w:marBottom w:val="0"/>
      <w:divBdr>
        <w:top w:val="none" w:sz="0" w:space="0" w:color="auto"/>
        <w:left w:val="none" w:sz="0" w:space="0" w:color="auto"/>
        <w:bottom w:val="none" w:sz="0" w:space="0" w:color="auto"/>
        <w:right w:val="none" w:sz="0" w:space="0" w:color="auto"/>
      </w:divBdr>
    </w:div>
    <w:div w:id="2081248009">
      <w:marLeft w:val="0"/>
      <w:marRight w:val="0"/>
      <w:marTop w:val="180"/>
      <w:marBottom w:val="0"/>
      <w:divBdr>
        <w:top w:val="none" w:sz="0" w:space="0" w:color="auto"/>
        <w:left w:val="none" w:sz="0" w:space="0" w:color="auto"/>
        <w:bottom w:val="none" w:sz="0" w:space="0" w:color="auto"/>
        <w:right w:val="none" w:sz="0" w:space="0" w:color="auto"/>
      </w:divBdr>
    </w:div>
    <w:div w:id="2081369600">
      <w:marLeft w:val="0"/>
      <w:marRight w:val="0"/>
      <w:marTop w:val="0"/>
      <w:marBottom w:val="0"/>
      <w:divBdr>
        <w:top w:val="none" w:sz="0" w:space="0" w:color="auto"/>
        <w:left w:val="none" w:sz="0" w:space="0" w:color="auto"/>
        <w:bottom w:val="none" w:sz="0" w:space="0" w:color="auto"/>
        <w:right w:val="none" w:sz="0" w:space="0" w:color="auto"/>
      </w:divBdr>
      <w:divsChild>
        <w:div w:id="1257984996">
          <w:marLeft w:val="0"/>
          <w:marRight w:val="0"/>
          <w:marTop w:val="0"/>
          <w:marBottom w:val="0"/>
          <w:divBdr>
            <w:top w:val="none" w:sz="0" w:space="0" w:color="auto"/>
            <w:left w:val="none" w:sz="0" w:space="0" w:color="auto"/>
            <w:bottom w:val="none" w:sz="0" w:space="0" w:color="auto"/>
            <w:right w:val="none" w:sz="0" w:space="0" w:color="auto"/>
          </w:divBdr>
          <w:divsChild>
            <w:div w:id="26465782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82099066">
      <w:marLeft w:val="0"/>
      <w:marRight w:val="0"/>
      <w:marTop w:val="0"/>
      <w:marBottom w:val="0"/>
      <w:divBdr>
        <w:top w:val="none" w:sz="0" w:space="0" w:color="auto"/>
        <w:left w:val="none" w:sz="0" w:space="0" w:color="auto"/>
        <w:bottom w:val="none" w:sz="0" w:space="0" w:color="auto"/>
        <w:right w:val="none" w:sz="0" w:space="0" w:color="auto"/>
      </w:divBdr>
    </w:div>
    <w:div w:id="2088650186">
      <w:marLeft w:val="0"/>
      <w:marRight w:val="0"/>
      <w:marTop w:val="0"/>
      <w:marBottom w:val="100"/>
      <w:divBdr>
        <w:top w:val="none" w:sz="0" w:space="0" w:color="auto"/>
        <w:left w:val="none" w:sz="0" w:space="0" w:color="auto"/>
        <w:bottom w:val="none" w:sz="0" w:space="0" w:color="auto"/>
        <w:right w:val="none" w:sz="0" w:space="0" w:color="auto"/>
      </w:divBdr>
    </w:div>
    <w:div w:id="2089960304">
      <w:marLeft w:val="0"/>
      <w:marRight w:val="0"/>
      <w:marTop w:val="0"/>
      <w:marBottom w:val="0"/>
      <w:divBdr>
        <w:top w:val="none" w:sz="0" w:space="0" w:color="auto"/>
        <w:left w:val="none" w:sz="0" w:space="0" w:color="auto"/>
        <w:bottom w:val="none" w:sz="0" w:space="0" w:color="auto"/>
        <w:right w:val="none" w:sz="0" w:space="0" w:color="auto"/>
      </w:divBdr>
    </w:div>
    <w:div w:id="2090467566">
      <w:marLeft w:val="0"/>
      <w:marRight w:val="0"/>
      <w:marTop w:val="0"/>
      <w:marBottom w:val="0"/>
      <w:divBdr>
        <w:top w:val="none" w:sz="0" w:space="0" w:color="auto"/>
        <w:left w:val="none" w:sz="0" w:space="0" w:color="auto"/>
        <w:bottom w:val="none" w:sz="0" w:space="0" w:color="auto"/>
        <w:right w:val="none" w:sz="0" w:space="0" w:color="auto"/>
      </w:divBdr>
    </w:div>
    <w:div w:id="2091148657">
      <w:marLeft w:val="0"/>
      <w:marRight w:val="0"/>
      <w:marTop w:val="0"/>
      <w:marBottom w:val="100"/>
      <w:divBdr>
        <w:top w:val="none" w:sz="0" w:space="0" w:color="auto"/>
        <w:left w:val="none" w:sz="0" w:space="0" w:color="auto"/>
        <w:bottom w:val="none" w:sz="0" w:space="0" w:color="auto"/>
        <w:right w:val="none" w:sz="0" w:space="0" w:color="auto"/>
      </w:divBdr>
    </w:div>
    <w:div w:id="2091609993">
      <w:marLeft w:val="0"/>
      <w:marRight w:val="0"/>
      <w:marTop w:val="100"/>
      <w:marBottom w:val="0"/>
      <w:divBdr>
        <w:top w:val="none" w:sz="0" w:space="0" w:color="auto"/>
        <w:left w:val="none" w:sz="0" w:space="0" w:color="auto"/>
        <w:bottom w:val="none" w:sz="0" w:space="0" w:color="auto"/>
        <w:right w:val="none" w:sz="0" w:space="0" w:color="auto"/>
      </w:divBdr>
    </w:div>
    <w:div w:id="2092191378">
      <w:marLeft w:val="0"/>
      <w:marRight w:val="0"/>
      <w:marTop w:val="100"/>
      <w:marBottom w:val="100"/>
      <w:divBdr>
        <w:top w:val="none" w:sz="0" w:space="0" w:color="auto"/>
        <w:left w:val="none" w:sz="0" w:space="0" w:color="auto"/>
        <w:bottom w:val="none" w:sz="0" w:space="0" w:color="auto"/>
        <w:right w:val="none" w:sz="0" w:space="0" w:color="auto"/>
      </w:divBdr>
    </w:div>
    <w:div w:id="2094274672">
      <w:marLeft w:val="0"/>
      <w:marRight w:val="0"/>
      <w:marTop w:val="0"/>
      <w:marBottom w:val="0"/>
      <w:divBdr>
        <w:top w:val="none" w:sz="0" w:space="0" w:color="auto"/>
        <w:left w:val="none" w:sz="0" w:space="0" w:color="auto"/>
        <w:bottom w:val="none" w:sz="0" w:space="0" w:color="auto"/>
        <w:right w:val="none" w:sz="0" w:space="0" w:color="auto"/>
      </w:divBdr>
      <w:divsChild>
        <w:div w:id="1455245530">
          <w:marLeft w:val="0"/>
          <w:marRight w:val="0"/>
          <w:marTop w:val="0"/>
          <w:marBottom w:val="0"/>
          <w:divBdr>
            <w:top w:val="none" w:sz="0" w:space="0" w:color="auto"/>
            <w:left w:val="none" w:sz="0" w:space="0" w:color="auto"/>
            <w:bottom w:val="none" w:sz="0" w:space="0" w:color="auto"/>
            <w:right w:val="none" w:sz="0" w:space="0" w:color="auto"/>
          </w:divBdr>
          <w:divsChild>
            <w:div w:id="179721386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96781404">
      <w:marLeft w:val="0"/>
      <w:marRight w:val="0"/>
      <w:marTop w:val="180"/>
      <w:marBottom w:val="0"/>
      <w:divBdr>
        <w:top w:val="none" w:sz="0" w:space="0" w:color="auto"/>
        <w:left w:val="none" w:sz="0" w:space="0" w:color="auto"/>
        <w:bottom w:val="none" w:sz="0" w:space="0" w:color="auto"/>
        <w:right w:val="none" w:sz="0" w:space="0" w:color="auto"/>
      </w:divBdr>
    </w:div>
    <w:div w:id="2097089966">
      <w:marLeft w:val="0"/>
      <w:marRight w:val="0"/>
      <w:marTop w:val="180"/>
      <w:marBottom w:val="0"/>
      <w:divBdr>
        <w:top w:val="none" w:sz="0" w:space="0" w:color="auto"/>
        <w:left w:val="none" w:sz="0" w:space="0" w:color="auto"/>
        <w:bottom w:val="none" w:sz="0" w:space="0" w:color="auto"/>
        <w:right w:val="none" w:sz="0" w:space="0" w:color="auto"/>
      </w:divBdr>
      <w:divsChild>
        <w:div w:id="1928806415">
          <w:marLeft w:val="0"/>
          <w:marRight w:val="0"/>
          <w:marTop w:val="0"/>
          <w:marBottom w:val="0"/>
          <w:divBdr>
            <w:top w:val="none" w:sz="0" w:space="0" w:color="auto"/>
            <w:left w:val="none" w:sz="0" w:space="0" w:color="auto"/>
            <w:bottom w:val="none" w:sz="0" w:space="0" w:color="auto"/>
            <w:right w:val="none" w:sz="0" w:space="0" w:color="auto"/>
          </w:divBdr>
        </w:div>
        <w:div w:id="740061801">
          <w:marLeft w:val="0"/>
          <w:marRight w:val="0"/>
          <w:marTop w:val="0"/>
          <w:marBottom w:val="0"/>
          <w:divBdr>
            <w:top w:val="none" w:sz="0" w:space="0" w:color="auto"/>
            <w:left w:val="none" w:sz="0" w:space="0" w:color="auto"/>
            <w:bottom w:val="none" w:sz="0" w:space="0" w:color="auto"/>
            <w:right w:val="none" w:sz="0" w:space="0" w:color="auto"/>
          </w:divBdr>
        </w:div>
        <w:div w:id="1398089301">
          <w:marLeft w:val="0"/>
          <w:marRight w:val="0"/>
          <w:marTop w:val="0"/>
          <w:marBottom w:val="0"/>
          <w:divBdr>
            <w:top w:val="none" w:sz="0" w:space="0" w:color="auto"/>
            <w:left w:val="none" w:sz="0" w:space="0" w:color="auto"/>
            <w:bottom w:val="none" w:sz="0" w:space="0" w:color="auto"/>
            <w:right w:val="none" w:sz="0" w:space="0" w:color="auto"/>
          </w:divBdr>
        </w:div>
        <w:div w:id="825629715">
          <w:marLeft w:val="0"/>
          <w:marRight w:val="0"/>
          <w:marTop w:val="0"/>
          <w:marBottom w:val="0"/>
          <w:divBdr>
            <w:top w:val="none" w:sz="0" w:space="0" w:color="auto"/>
            <w:left w:val="none" w:sz="0" w:space="0" w:color="auto"/>
            <w:bottom w:val="none" w:sz="0" w:space="0" w:color="auto"/>
            <w:right w:val="none" w:sz="0" w:space="0" w:color="auto"/>
          </w:divBdr>
        </w:div>
        <w:div w:id="558827085">
          <w:marLeft w:val="0"/>
          <w:marRight w:val="0"/>
          <w:marTop w:val="0"/>
          <w:marBottom w:val="0"/>
          <w:divBdr>
            <w:top w:val="none" w:sz="0" w:space="0" w:color="auto"/>
            <w:left w:val="none" w:sz="0" w:space="0" w:color="auto"/>
            <w:bottom w:val="none" w:sz="0" w:space="0" w:color="auto"/>
            <w:right w:val="none" w:sz="0" w:space="0" w:color="auto"/>
          </w:divBdr>
        </w:div>
        <w:div w:id="1237089404">
          <w:marLeft w:val="0"/>
          <w:marRight w:val="0"/>
          <w:marTop w:val="0"/>
          <w:marBottom w:val="0"/>
          <w:divBdr>
            <w:top w:val="none" w:sz="0" w:space="0" w:color="auto"/>
            <w:left w:val="none" w:sz="0" w:space="0" w:color="auto"/>
            <w:bottom w:val="none" w:sz="0" w:space="0" w:color="auto"/>
            <w:right w:val="none" w:sz="0" w:space="0" w:color="auto"/>
          </w:divBdr>
        </w:div>
        <w:div w:id="1483809926">
          <w:marLeft w:val="0"/>
          <w:marRight w:val="0"/>
          <w:marTop w:val="0"/>
          <w:marBottom w:val="0"/>
          <w:divBdr>
            <w:top w:val="none" w:sz="0" w:space="0" w:color="auto"/>
            <w:left w:val="none" w:sz="0" w:space="0" w:color="auto"/>
            <w:bottom w:val="none" w:sz="0" w:space="0" w:color="auto"/>
            <w:right w:val="none" w:sz="0" w:space="0" w:color="auto"/>
          </w:divBdr>
        </w:div>
        <w:div w:id="1051225976">
          <w:marLeft w:val="0"/>
          <w:marRight w:val="0"/>
          <w:marTop w:val="0"/>
          <w:marBottom w:val="0"/>
          <w:divBdr>
            <w:top w:val="none" w:sz="0" w:space="0" w:color="auto"/>
            <w:left w:val="none" w:sz="0" w:space="0" w:color="auto"/>
            <w:bottom w:val="none" w:sz="0" w:space="0" w:color="auto"/>
            <w:right w:val="none" w:sz="0" w:space="0" w:color="auto"/>
          </w:divBdr>
        </w:div>
        <w:div w:id="1967809318">
          <w:marLeft w:val="0"/>
          <w:marRight w:val="0"/>
          <w:marTop w:val="0"/>
          <w:marBottom w:val="0"/>
          <w:divBdr>
            <w:top w:val="none" w:sz="0" w:space="0" w:color="auto"/>
            <w:left w:val="none" w:sz="0" w:space="0" w:color="auto"/>
            <w:bottom w:val="none" w:sz="0" w:space="0" w:color="auto"/>
            <w:right w:val="none" w:sz="0" w:space="0" w:color="auto"/>
          </w:divBdr>
        </w:div>
        <w:div w:id="1219828182">
          <w:marLeft w:val="0"/>
          <w:marRight w:val="0"/>
          <w:marTop w:val="0"/>
          <w:marBottom w:val="0"/>
          <w:divBdr>
            <w:top w:val="none" w:sz="0" w:space="0" w:color="auto"/>
            <w:left w:val="none" w:sz="0" w:space="0" w:color="auto"/>
            <w:bottom w:val="none" w:sz="0" w:space="0" w:color="auto"/>
            <w:right w:val="none" w:sz="0" w:space="0" w:color="auto"/>
          </w:divBdr>
        </w:div>
        <w:div w:id="1072120412">
          <w:marLeft w:val="0"/>
          <w:marRight w:val="0"/>
          <w:marTop w:val="0"/>
          <w:marBottom w:val="0"/>
          <w:divBdr>
            <w:top w:val="none" w:sz="0" w:space="0" w:color="auto"/>
            <w:left w:val="none" w:sz="0" w:space="0" w:color="auto"/>
            <w:bottom w:val="none" w:sz="0" w:space="0" w:color="auto"/>
            <w:right w:val="none" w:sz="0" w:space="0" w:color="auto"/>
          </w:divBdr>
        </w:div>
      </w:divsChild>
    </w:div>
    <w:div w:id="2098868102">
      <w:marLeft w:val="0"/>
      <w:marRight w:val="0"/>
      <w:marTop w:val="0"/>
      <w:marBottom w:val="0"/>
      <w:divBdr>
        <w:top w:val="none" w:sz="0" w:space="0" w:color="auto"/>
        <w:left w:val="none" w:sz="0" w:space="0" w:color="auto"/>
        <w:bottom w:val="none" w:sz="0" w:space="0" w:color="auto"/>
        <w:right w:val="none" w:sz="0" w:space="0" w:color="auto"/>
      </w:divBdr>
      <w:divsChild>
        <w:div w:id="414473015">
          <w:marLeft w:val="0"/>
          <w:marRight w:val="0"/>
          <w:marTop w:val="0"/>
          <w:marBottom w:val="0"/>
          <w:divBdr>
            <w:top w:val="none" w:sz="0" w:space="0" w:color="auto"/>
            <w:left w:val="none" w:sz="0" w:space="0" w:color="auto"/>
            <w:bottom w:val="none" w:sz="0" w:space="0" w:color="auto"/>
            <w:right w:val="none" w:sz="0" w:space="0" w:color="auto"/>
          </w:divBdr>
          <w:divsChild>
            <w:div w:id="89366253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00322745">
      <w:marLeft w:val="0"/>
      <w:marRight w:val="0"/>
      <w:marTop w:val="100"/>
      <w:marBottom w:val="100"/>
      <w:divBdr>
        <w:top w:val="none" w:sz="0" w:space="0" w:color="auto"/>
        <w:left w:val="none" w:sz="0" w:space="0" w:color="auto"/>
        <w:bottom w:val="none" w:sz="0" w:space="0" w:color="auto"/>
        <w:right w:val="none" w:sz="0" w:space="0" w:color="auto"/>
      </w:divBdr>
    </w:div>
    <w:div w:id="2100371605">
      <w:marLeft w:val="0"/>
      <w:marRight w:val="0"/>
      <w:marTop w:val="0"/>
      <w:marBottom w:val="100"/>
      <w:divBdr>
        <w:top w:val="none" w:sz="0" w:space="0" w:color="auto"/>
        <w:left w:val="none" w:sz="0" w:space="0" w:color="auto"/>
        <w:bottom w:val="none" w:sz="0" w:space="0" w:color="auto"/>
        <w:right w:val="none" w:sz="0" w:space="0" w:color="auto"/>
      </w:divBdr>
    </w:div>
    <w:div w:id="2101292142">
      <w:marLeft w:val="0"/>
      <w:marRight w:val="0"/>
      <w:marTop w:val="100"/>
      <w:marBottom w:val="100"/>
      <w:divBdr>
        <w:top w:val="none" w:sz="0" w:space="0" w:color="auto"/>
        <w:left w:val="none" w:sz="0" w:space="0" w:color="auto"/>
        <w:bottom w:val="none" w:sz="0" w:space="0" w:color="auto"/>
        <w:right w:val="none" w:sz="0" w:space="0" w:color="auto"/>
      </w:divBdr>
    </w:div>
    <w:div w:id="2102145112">
      <w:marLeft w:val="0"/>
      <w:marRight w:val="0"/>
      <w:marTop w:val="100"/>
      <w:marBottom w:val="0"/>
      <w:divBdr>
        <w:top w:val="none" w:sz="0" w:space="0" w:color="auto"/>
        <w:left w:val="none" w:sz="0" w:space="0" w:color="auto"/>
        <w:bottom w:val="none" w:sz="0" w:space="0" w:color="auto"/>
        <w:right w:val="none" w:sz="0" w:space="0" w:color="auto"/>
      </w:divBdr>
    </w:div>
    <w:div w:id="2102216272">
      <w:marLeft w:val="0"/>
      <w:marRight w:val="0"/>
      <w:marTop w:val="0"/>
      <w:marBottom w:val="0"/>
      <w:divBdr>
        <w:top w:val="none" w:sz="0" w:space="0" w:color="auto"/>
        <w:left w:val="none" w:sz="0" w:space="0" w:color="auto"/>
        <w:bottom w:val="none" w:sz="0" w:space="0" w:color="auto"/>
        <w:right w:val="none" w:sz="0" w:space="0" w:color="auto"/>
      </w:divBdr>
      <w:divsChild>
        <w:div w:id="1218400575">
          <w:marLeft w:val="0"/>
          <w:marRight w:val="0"/>
          <w:marTop w:val="0"/>
          <w:marBottom w:val="0"/>
          <w:divBdr>
            <w:top w:val="none" w:sz="0" w:space="0" w:color="auto"/>
            <w:left w:val="none" w:sz="0" w:space="0" w:color="auto"/>
            <w:bottom w:val="none" w:sz="0" w:space="0" w:color="auto"/>
            <w:right w:val="none" w:sz="0" w:space="0" w:color="auto"/>
          </w:divBdr>
          <w:divsChild>
            <w:div w:id="44682498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03062534">
      <w:marLeft w:val="0"/>
      <w:marRight w:val="0"/>
      <w:marTop w:val="100"/>
      <w:marBottom w:val="100"/>
      <w:divBdr>
        <w:top w:val="none" w:sz="0" w:space="0" w:color="auto"/>
        <w:left w:val="none" w:sz="0" w:space="0" w:color="auto"/>
        <w:bottom w:val="none" w:sz="0" w:space="0" w:color="auto"/>
        <w:right w:val="none" w:sz="0" w:space="0" w:color="auto"/>
      </w:divBdr>
    </w:div>
    <w:div w:id="2104956680">
      <w:marLeft w:val="0"/>
      <w:marRight w:val="0"/>
      <w:marTop w:val="100"/>
      <w:marBottom w:val="100"/>
      <w:divBdr>
        <w:top w:val="none" w:sz="0" w:space="0" w:color="auto"/>
        <w:left w:val="none" w:sz="0" w:space="0" w:color="auto"/>
        <w:bottom w:val="none" w:sz="0" w:space="0" w:color="auto"/>
        <w:right w:val="none" w:sz="0" w:space="0" w:color="auto"/>
      </w:divBdr>
    </w:div>
    <w:div w:id="2105150246">
      <w:marLeft w:val="0"/>
      <w:marRight w:val="0"/>
      <w:marTop w:val="100"/>
      <w:marBottom w:val="0"/>
      <w:divBdr>
        <w:top w:val="none" w:sz="0" w:space="0" w:color="auto"/>
        <w:left w:val="none" w:sz="0" w:space="0" w:color="auto"/>
        <w:bottom w:val="none" w:sz="0" w:space="0" w:color="auto"/>
        <w:right w:val="none" w:sz="0" w:space="0" w:color="auto"/>
      </w:divBdr>
    </w:div>
    <w:div w:id="2107382242">
      <w:marLeft w:val="0"/>
      <w:marRight w:val="0"/>
      <w:marTop w:val="0"/>
      <w:marBottom w:val="100"/>
      <w:divBdr>
        <w:top w:val="none" w:sz="0" w:space="0" w:color="auto"/>
        <w:left w:val="none" w:sz="0" w:space="0" w:color="auto"/>
        <w:bottom w:val="none" w:sz="0" w:space="0" w:color="auto"/>
        <w:right w:val="none" w:sz="0" w:space="0" w:color="auto"/>
      </w:divBdr>
    </w:div>
    <w:div w:id="2108960160">
      <w:marLeft w:val="0"/>
      <w:marRight w:val="0"/>
      <w:marTop w:val="0"/>
      <w:marBottom w:val="100"/>
      <w:divBdr>
        <w:top w:val="none" w:sz="0" w:space="0" w:color="auto"/>
        <w:left w:val="none" w:sz="0" w:space="0" w:color="auto"/>
        <w:bottom w:val="none" w:sz="0" w:space="0" w:color="auto"/>
        <w:right w:val="none" w:sz="0" w:space="0" w:color="auto"/>
      </w:divBdr>
    </w:div>
    <w:div w:id="2110005807">
      <w:marLeft w:val="0"/>
      <w:marRight w:val="0"/>
      <w:marTop w:val="100"/>
      <w:marBottom w:val="100"/>
      <w:divBdr>
        <w:top w:val="none" w:sz="0" w:space="0" w:color="auto"/>
        <w:left w:val="none" w:sz="0" w:space="0" w:color="auto"/>
        <w:bottom w:val="none" w:sz="0" w:space="0" w:color="auto"/>
        <w:right w:val="none" w:sz="0" w:space="0" w:color="auto"/>
      </w:divBdr>
    </w:div>
    <w:div w:id="2110811168">
      <w:marLeft w:val="0"/>
      <w:marRight w:val="0"/>
      <w:marTop w:val="0"/>
      <w:marBottom w:val="100"/>
      <w:divBdr>
        <w:top w:val="none" w:sz="0" w:space="0" w:color="auto"/>
        <w:left w:val="none" w:sz="0" w:space="0" w:color="auto"/>
        <w:bottom w:val="none" w:sz="0" w:space="0" w:color="auto"/>
        <w:right w:val="none" w:sz="0" w:space="0" w:color="auto"/>
      </w:divBdr>
    </w:div>
    <w:div w:id="2111195443">
      <w:marLeft w:val="0"/>
      <w:marRight w:val="0"/>
      <w:marTop w:val="0"/>
      <w:marBottom w:val="0"/>
      <w:divBdr>
        <w:top w:val="none" w:sz="0" w:space="0" w:color="auto"/>
        <w:left w:val="none" w:sz="0" w:space="0" w:color="auto"/>
        <w:bottom w:val="none" w:sz="0" w:space="0" w:color="auto"/>
        <w:right w:val="none" w:sz="0" w:space="0" w:color="auto"/>
      </w:divBdr>
      <w:divsChild>
        <w:div w:id="236020926">
          <w:marLeft w:val="0"/>
          <w:marRight w:val="0"/>
          <w:marTop w:val="0"/>
          <w:marBottom w:val="0"/>
          <w:divBdr>
            <w:top w:val="none" w:sz="0" w:space="0" w:color="auto"/>
            <w:left w:val="none" w:sz="0" w:space="0" w:color="auto"/>
            <w:bottom w:val="none" w:sz="0" w:space="0" w:color="auto"/>
            <w:right w:val="none" w:sz="0" w:space="0" w:color="auto"/>
          </w:divBdr>
          <w:divsChild>
            <w:div w:id="75366559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12778901">
      <w:marLeft w:val="0"/>
      <w:marRight w:val="0"/>
      <w:marTop w:val="0"/>
      <w:marBottom w:val="0"/>
      <w:divBdr>
        <w:top w:val="none" w:sz="0" w:space="0" w:color="auto"/>
        <w:left w:val="none" w:sz="0" w:space="0" w:color="auto"/>
        <w:bottom w:val="none" w:sz="0" w:space="0" w:color="auto"/>
        <w:right w:val="none" w:sz="0" w:space="0" w:color="auto"/>
      </w:divBdr>
      <w:divsChild>
        <w:div w:id="12457762">
          <w:marLeft w:val="0"/>
          <w:marRight w:val="0"/>
          <w:marTop w:val="0"/>
          <w:marBottom w:val="100"/>
          <w:divBdr>
            <w:top w:val="none" w:sz="0" w:space="0" w:color="auto"/>
            <w:left w:val="none" w:sz="0" w:space="0" w:color="auto"/>
            <w:bottom w:val="none" w:sz="0" w:space="0" w:color="auto"/>
            <w:right w:val="none" w:sz="0" w:space="0" w:color="auto"/>
          </w:divBdr>
        </w:div>
      </w:divsChild>
    </w:div>
    <w:div w:id="2112894931">
      <w:marLeft w:val="0"/>
      <w:marRight w:val="0"/>
      <w:marTop w:val="100"/>
      <w:marBottom w:val="100"/>
      <w:divBdr>
        <w:top w:val="none" w:sz="0" w:space="0" w:color="auto"/>
        <w:left w:val="none" w:sz="0" w:space="0" w:color="auto"/>
        <w:bottom w:val="none" w:sz="0" w:space="0" w:color="auto"/>
        <w:right w:val="none" w:sz="0" w:space="0" w:color="auto"/>
      </w:divBdr>
    </w:div>
    <w:div w:id="2115860012">
      <w:marLeft w:val="0"/>
      <w:marRight w:val="0"/>
      <w:marTop w:val="100"/>
      <w:marBottom w:val="100"/>
      <w:divBdr>
        <w:top w:val="none" w:sz="0" w:space="0" w:color="auto"/>
        <w:left w:val="none" w:sz="0" w:space="0" w:color="auto"/>
        <w:bottom w:val="none" w:sz="0" w:space="0" w:color="auto"/>
        <w:right w:val="none" w:sz="0" w:space="0" w:color="auto"/>
      </w:divBdr>
    </w:div>
    <w:div w:id="2118015128">
      <w:marLeft w:val="0"/>
      <w:marRight w:val="0"/>
      <w:marTop w:val="0"/>
      <w:marBottom w:val="100"/>
      <w:divBdr>
        <w:top w:val="none" w:sz="0" w:space="0" w:color="auto"/>
        <w:left w:val="none" w:sz="0" w:space="0" w:color="auto"/>
        <w:bottom w:val="none" w:sz="0" w:space="0" w:color="auto"/>
        <w:right w:val="none" w:sz="0" w:space="0" w:color="auto"/>
      </w:divBdr>
    </w:div>
    <w:div w:id="2118600517">
      <w:marLeft w:val="0"/>
      <w:marRight w:val="0"/>
      <w:marTop w:val="100"/>
      <w:marBottom w:val="100"/>
      <w:divBdr>
        <w:top w:val="none" w:sz="0" w:space="0" w:color="auto"/>
        <w:left w:val="none" w:sz="0" w:space="0" w:color="auto"/>
        <w:bottom w:val="none" w:sz="0" w:space="0" w:color="auto"/>
        <w:right w:val="none" w:sz="0" w:space="0" w:color="auto"/>
      </w:divBdr>
    </w:div>
    <w:div w:id="2121140709">
      <w:marLeft w:val="0"/>
      <w:marRight w:val="0"/>
      <w:marTop w:val="0"/>
      <w:marBottom w:val="0"/>
      <w:divBdr>
        <w:top w:val="none" w:sz="0" w:space="0" w:color="auto"/>
        <w:left w:val="none" w:sz="0" w:space="0" w:color="auto"/>
        <w:bottom w:val="none" w:sz="0" w:space="0" w:color="auto"/>
        <w:right w:val="none" w:sz="0" w:space="0" w:color="auto"/>
      </w:divBdr>
      <w:divsChild>
        <w:div w:id="892740110">
          <w:marLeft w:val="0"/>
          <w:marRight w:val="0"/>
          <w:marTop w:val="0"/>
          <w:marBottom w:val="0"/>
          <w:divBdr>
            <w:top w:val="none" w:sz="0" w:space="0" w:color="auto"/>
            <w:left w:val="none" w:sz="0" w:space="0" w:color="auto"/>
            <w:bottom w:val="none" w:sz="0" w:space="0" w:color="auto"/>
            <w:right w:val="none" w:sz="0" w:space="0" w:color="auto"/>
          </w:divBdr>
          <w:divsChild>
            <w:div w:id="13831375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24810149">
      <w:marLeft w:val="0"/>
      <w:marRight w:val="0"/>
      <w:marTop w:val="0"/>
      <w:marBottom w:val="0"/>
      <w:divBdr>
        <w:top w:val="none" w:sz="0" w:space="0" w:color="auto"/>
        <w:left w:val="none" w:sz="0" w:space="0" w:color="auto"/>
        <w:bottom w:val="none" w:sz="0" w:space="0" w:color="auto"/>
        <w:right w:val="none" w:sz="0" w:space="0" w:color="auto"/>
      </w:divBdr>
    </w:div>
    <w:div w:id="2126922608">
      <w:marLeft w:val="0"/>
      <w:marRight w:val="0"/>
      <w:marTop w:val="0"/>
      <w:marBottom w:val="0"/>
      <w:divBdr>
        <w:top w:val="none" w:sz="0" w:space="0" w:color="auto"/>
        <w:left w:val="none" w:sz="0" w:space="0" w:color="auto"/>
        <w:bottom w:val="none" w:sz="0" w:space="0" w:color="auto"/>
        <w:right w:val="none" w:sz="0" w:space="0" w:color="auto"/>
      </w:divBdr>
    </w:div>
    <w:div w:id="2127462149">
      <w:marLeft w:val="0"/>
      <w:marRight w:val="0"/>
      <w:marTop w:val="0"/>
      <w:marBottom w:val="0"/>
      <w:divBdr>
        <w:top w:val="none" w:sz="0" w:space="0" w:color="auto"/>
        <w:left w:val="none" w:sz="0" w:space="0" w:color="auto"/>
        <w:bottom w:val="none" w:sz="0" w:space="0" w:color="auto"/>
        <w:right w:val="none" w:sz="0" w:space="0" w:color="auto"/>
      </w:divBdr>
    </w:div>
    <w:div w:id="2131438150">
      <w:marLeft w:val="0"/>
      <w:marRight w:val="0"/>
      <w:marTop w:val="100"/>
      <w:marBottom w:val="100"/>
      <w:divBdr>
        <w:top w:val="none" w:sz="0" w:space="0" w:color="auto"/>
        <w:left w:val="none" w:sz="0" w:space="0" w:color="auto"/>
        <w:bottom w:val="none" w:sz="0" w:space="0" w:color="auto"/>
        <w:right w:val="none" w:sz="0" w:space="0" w:color="auto"/>
      </w:divBdr>
    </w:div>
    <w:div w:id="2131976361">
      <w:marLeft w:val="0"/>
      <w:marRight w:val="0"/>
      <w:marTop w:val="0"/>
      <w:marBottom w:val="0"/>
      <w:divBdr>
        <w:top w:val="none" w:sz="0" w:space="0" w:color="auto"/>
        <w:left w:val="none" w:sz="0" w:space="0" w:color="auto"/>
        <w:bottom w:val="none" w:sz="0" w:space="0" w:color="auto"/>
        <w:right w:val="none" w:sz="0" w:space="0" w:color="auto"/>
      </w:divBdr>
    </w:div>
    <w:div w:id="2134206893">
      <w:marLeft w:val="0"/>
      <w:marRight w:val="0"/>
      <w:marTop w:val="0"/>
      <w:marBottom w:val="0"/>
      <w:divBdr>
        <w:top w:val="none" w:sz="0" w:space="0" w:color="auto"/>
        <w:left w:val="none" w:sz="0" w:space="0" w:color="auto"/>
        <w:bottom w:val="none" w:sz="0" w:space="0" w:color="auto"/>
        <w:right w:val="none" w:sz="0" w:space="0" w:color="auto"/>
      </w:divBdr>
      <w:divsChild>
        <w:div w:id="1044451703">
          <w:marLeft w:val="0"/>
          <w:marRight w:val="0"/>
          <w:marTop w:val="0"/>
          <w:marBottom w:val="100"/>
          <w:divBdr>
            <w:top w:val="none" w:sz="0" w:space="0" w:color="auto"/>
            <w:left w:val="none" w:sz="0" w:space="0" w:color="auto"/>
            <w:bottom w:val="none" w:sz="0" w:space="0" w:color="auto"/>
            <w:right w:val="none" w:sz="0" w:space="0" w:color="auto"/>
          </w:divBdr>
        </w:div>
      </w:divsChild>
    </w:div>
    <w:div w:id="2134596137">
      <w:marLeft w:val="0"/>
      <w:marRight w:val="0"/>
      <w:marTop w:val="100"/>
      <w:marBottom w:val="100"/>
      <w:divBdr>
        <w:top w:val="none" w:sz="0" w:space="0" w:color="auto"/>
        <w:left w:val="none" w:sz="0" w:space="0" w:color="auto"/>
        <w:bottom w:val="none" w:sz="0" w:space="0" w:color="auto"/>
        <w:right w:val="none" w:sz="0" w:space="0" w:color="auto"/>
      </w:divBdr>
    </w:div>
    <w:div w:id="2137943559">
      <w:marLeft w:val="0"/>
      <w:marRight w:val="0"/>
      <w:marTop w:val="0"/>
      <w:marBottom w:val="0"/>
      <w:divBdr>
        <w:top w:val="none" w:sz="0" w:space="0" w:color="auto"/>
        <w:left w:val="none" w:sz="0" w:space="0" w:color="auto"/>
        <w:bottom w:val="none" w:sz="0" w:space="0" w:color="auto"/>
        <w:right w:val="none" w:sz="0" w:space="0" w:color="auto"/>
      </w:divBdr>
      <w:divsChild>
        <w:div w:id="1983386762">
          <w:marLeft w:val="0"/>
          <w:marRight w:val="0"/>
          <w:marTop w:val="0"/>
          <w:marBottom w:val="0"/>
          <w:divBdr>
            <w:top w:val="none" w:sz="0" w:space="0" w:color="auto"/>
            <w:left w:val="none" w:sz="0" w:space="0" w:color="auto"/>
            <w:bottom w:val="none" w:sz="0" w:space="0" w:color="auto"/>
            <w:right w:val="none" w:sz="0" w:space="0" w:color="auto"/>
          </w:divBdr>
          <w:divsChild>
            <w:div w:id="52128133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38840831">
      <w:marLeft w:val="0"/>
      <w:marRight w:val="0"/>
      <w:marTop w:val="0"/>
      <w:marBottom w:val="100"/>
      <w:divBdr>
        <w:top w:val="none" w:sz="0" w:space="0" w:color="auto"/>
        <w:left w:val="none" w:sz="0" w:space="0" w:color="auto"/>
        <w:bottom w:val="none" w:sz="0" w:space="0" w:color="auto"/>
        <w:right w:val="none" w:sz="0" w:space="0" w:color="auto"/>
      </w:divBdr>
    </w:div>
    <w:div w:id="2139034072">
      <w:marLeft w:val="0"/>
      <w:marRight w:val="0"/>
      <w:marTop w:val="180"/>
      <w:marBottom w:val="0"/>
      <w:divBdr>
        <w:top w:val="none" w:sz="0" w:space="0" w:color="auto"/>
        <w:left w:val="none" w:sz="0" w:space="0" w:color="auto"/>
        <w:bottom w:val="none" w:sz="0" w:space="0" w:color="auto"/>
        <w:right w:val="none" w:sz="0" w:space="0" w:color="auto"/>
      </w:divBdr>
    </w:div>
    <w:div w:id="2140099558">
      <w:marLeft w:val="0"/>
      <w:marRight w:val="0"/>
      <w:marTop w:val="0"/>
      <w:marBottom w:val="0"/>
      <w:divBdr>
        <w:top w:val="none" w:sz="0" w:space="0" w:color="auto"/>
        <w:left w:val="none" w:sz="0" w:space="0" w:color="auto"/>
        <w:bottom w:val="none" w:sz="0" w:space="0" w:color="auto"/>
        <w:right w:val="none" w:sz="0" w:space="0" w:color="auto"/>
      </w:divBdr>
      <w:divsChild>
        <w:div w:id="1811048819">
          <w:marLeft w:val="0"/>
          <w:marRight w:val="0"/>
          <w:marTop w:val="0"/>
          <w:marBottom w:val="0"/>
          <w:divBdr>
            <w:top w:val="none" w:sz="0" w:space="0" w:color="auto"/>
            <w:left w:val="none" w:sz="0" w:space="0" w:color="auto"/>
            <w:bottom w:val="none" w:sz="0" w:space="0" w:color="auto"/>
            <w:right w:val="none" w:sz="0" w:space="0" w:color="auto"/>
          </w:divBdr>
          <w:divsChild>
            <w:div w:id="80924953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40801189">
      <w:marLeft w:val="0"/>
      <w:marRight w:val="0"/>
      <w:marTop w:val="180"/>
      <w:marBottom w:val="0"/>
      <w:divBdr>
        <w:top w:val="none" w:sz="0" w:space="0" w:color="auto"/>
        <w:left w:val="none" w:sz="0" w:space="0" w:color="auto"/>
        <w:bottom w:val="none" w:sz="0" w:space="0" w:color="auto"/>
        <w:right w:val="none" w:sz="0" w:space="0" w:color="auto"/>
      </w:divBdr>
    </w:div>
    <w:div w:id="2142109858">
      <w:marLeft w:val="0"/>
      <w:marRight w:val="0"/>
      <w:marTop w:val="0"/>
      <w:marBottom w:val="0"/>
      <w:divBdr>
        <w:top w:val="none" w:sz="0" w:space="0" w:color="auto"/>
        <w:left w:val="none" w:sz="0" w:space="0" w:color="auto"/>
        <w:bottom w:val="none" w:sz="0" w:space="0" w:color="auto"/>
        <w:right w:val="none" w:sz="0" w:space="0" w:color="auto"/>
      </w:divBdr>
      <w:divsChild>
        <w:div w:id="1982535935">
          <w:marLeft w:val="0"/>
          <w:marRight w:val="0"/>
          <w:marTop w:val="0"/>
          <w:marBottom w:val="0"/>
          <w:divBdr>
            <w:top w:val="none" w:sz="0" w:space="0" w:color="auto"/>
            <w:left w:val="none" w:sz="0" w:space="0" w:color="auto"/>
            <w:bottom w:val="none" w:sz="0" w:space="0" w:color="auto"/>
            <w:right w:val="none" w:sz="0" w:space="0" w:color="auto"/>
          </w:divBdr>
          <w:divsChild>
            <w:div w:id="8898781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44422063">
      <w:marLeft w:val="0"/>
      <w:marRight w:val="0"/>
      <w:marTop w:val="0"/>
      <w:marBottom w:val="100"/>
      <w:divBdr>
        <w:top w:val="none" w:sz="0" w:space="0" w:color="auto"/>
        <w:left w:val="none" w:sz="0" w:space="0" w:color="auto"/>
        <w:bottom w:val="none" w:sz="0" w:space="0" w:color="auto"/>
        <w:right w:val="none" w:sz="0" w:space="0" w:color="auto"/>
      </w:divBdr>
    </w:div>
    <w:div w:id="2145811760">
      <w:marLeft w:val="0"/>
      <w:marRight w:val="0"/>
      <w:marTop w:val="0"/>
      <w:marBottom w:val="0"/>
      <w:divBdr>
        <w:top w:val="none" w:sz="0" w:space="0" w:color="auto"/>
        <w:left w:val="none" w:sz="0" w:space="0" w:color="auto"/>
        <w:bottom w:val="none" w:sz="0" w:space="0" w:color="auto"/>
        <w:right w:val="none" w:sz="0" w:space="0" w:color="auto"/>
      </w:divBdr>
    </w:div>
    <w:div w:id="2146727354">
      <w:marLeft w:val="0"/>
      <w:marRight w:val="0"/>
      <w:marTop w:val="180"/>
      <w:marBottom w:val="0"/>
      <w:divBdr>
        <w:top w:val="none" w:sz="0" w:space="0" w:color="auto"/>
        <w:left w:val="none" w:sz="0" w:space="0" w:color="auto"/>
        <w:bottom w:val="none" w:sz="0" w:space="0" w:color="auto"/>
        <w:right w:val="none" w:sz="0" w:space="0" w:color="auto"/>
      </w:divBdr>
    </w:div>
    <w:div w:id="2146729726">
      <w:marLeft w:val="0"/>
      <w:marRight w:val="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ec.gov/Archives/edgar/data/202058/000020205821000020/exhibit104.htm?force_isolation=true" TargetMode="External"/><Relationship Id="rId21" Type="http://schemas.openxmlformats.org/officeDocument/2006/relationships/hyperlink" Target="http://www.sec.gov/Archives/edgar/data/202058/000095015203008045/l98139aexv4wc.htm" TargetMode="External"/><Relationship Id="rId42" Type="http://schemas.openxmlformats.org/officeDocument/2006/relationships/hyperlink" Target="http://www.sec.gov/Archives/edgar/data/202058/000114036119012394/ex4_8.htm" TargetMode="External"/><Relationship Id="rId63" Type="http://schemas.openxmlformats.org/officeDocument/2006/relationships/hyperlink" Target="http://www.sec.gov/Archives/edgar/data/202058/000020205819000103/exhibit105ceo-coopsotcs.htm" TargetMode="External"/><Relationship Id="rId84" Type="http://schemas.openxmlformats.org/officeDocument/2006/relationships/hyperlink" Target="https://www.sec.gov/Archives/edgar/data/202058/000020205821000046/exhibit101-rspamendment3.htm" TargetMode="External"/><Relationship Id="rId138" Type="http://schemas.openxmlformats.org/officeDocument/2006/relationships/hyperlink" Target="http://www.sec.gov/Archives/edgar/data/202058/000020205819000061/exhibit103qfy19.htm" TargetMode="External"/><Relationship Id="rId159" Type="http://schemas.openxmlformats.org/officeDocument/2006/relationships/hyperlink" Target="http://www.sec.gov/Archives/edgar/data/202058/000020205819000023/exhibit10a_ceoxsidexletter.htm" TargetMode="External"/><Relationship Id="rId170" Type="http://schemas.openxmlformats.org/officeDocument/2006/relationships/hyperlink" Target="http://www.sec.gov/Archives/edgar/data/202058/000114036119012139/ex10_2.htm" TargetMode="External"/><Relationship Id="rId191" Type="http://schemas.openxmlformats.org/officeDocument/2006/relationships/hyperlink" Target="https://www.sec.gov/Archives/edgar/data/202058/000020205821000008/exhibit10zl3harrisserp.htm" TargetMode="External"/><Relationship Id="rId205" Type="http://schemas.openxmlformats.org/officeDocument/2006/relationships/hyperlink" Target="exhibit10y-sppbasedocument.htm" TargetMode="External"/><Relationship Id="rId107" Type="http://schemas.openxmlformats.org/officeDocument/2006/relationships/hyperlink" Target="https://www.sec.gov/Archives/edgar/data/202058/000020205821000054/exhibit104-rspamendment7.htm" TargetMode="External"/><Relationship Id="rId11" Type="http://schemas.openxmlformats.org/officeDocument/2006/relationships/hyperlink" Target="http://www.sec.gov/Archives/edgar/data/202058/000114036119012159/ex4.htm" TargetMode="External"/><Relationship Id="rId32" Type="http://schemas.openxmlformats.org/officeDocument/2006/relationships/hyperlink" Target="http://www.sec.gov/Archives/edgar/data/202058/000119312515149807/d914283dex44.htm" TargetMode="External"/><Relationship Id="rId53" Type="http://schemas.openxmlformats.org/officeDocument/2006/relationships/hyperlink" Target="http://www.sec.gov/Archives/edgar/data/202058/000129993315001553/exhibit2.htm" TargetMode="External"/><Relationship Id="rId74" Type="http://schemas.openxmlformats.org/officeDocument/2006/relationships/hyperlink" Target="https://www.sec.gov/Archives/edgar/data/202058/000020205821000020/exhibit101.htm?force_isolation=true" TargetMode="External"/><Relationship Id="rId128" Type="http://schemas.openxmlformats.org/officeDocument/2006/relationships/hyperlink" Target="http://www.sec.gov/Archives/edgar/data/202058/000020205818000009/exhibit4eivamendment.htm" TargetMode="External"/><Relationship Id="rId149" Type="http://schemas.openxmlformats.org/officeDocument/2006/relationships/hyperlink" Target="http://www.sec.gov/Archives/edgar/data/202058/000095014407005792/g07908exv10w2.htm" TargetMode="External"/><Relationship Id="rId5" Type="http://schemas.openxmlformats.org/officeDocument/2006/relationships/image" Target="file:///E:\projects\LLMs\new_data_collection\data_new\htm\L3HARRIS%20TECHNOLOGIES,%20INC\hrs-20211231_g2.jpg" TargetMode="External"/><Relationship Id="rId95" Type="http://schemas.openxmlformats.org/officeDocument/2006/relationships/hyperlink" Target="https://www.sec.gov/Archives/edgar/data/202058/000020205821000046/exhibit102-rspamendment4.htm" TargetMode="External"/><Relationship Id="rId160" Type="http://schemas.openxmlformats.org/officeDocument/2006/relationships/hyperlink" Target="http://www.sec.gov/Archives/edgar/data/202058/000114036119012139/ex10_4.htm" TargetMode="External"/><Relationship Id="rId181" Type="http://schemas.openxmlformats.org/officeDocument/2006/relationships/hyperlink" Target="exhibit10wii-amendmentno1t.htm" TargetMode="External"/><Relationship Id="rId216" Type="http://schemas.openxmlformats.org/officeDocument/2006/relationships/hyperlink" Target="exhibit21cy21-q410xk.htm" TargetMode="External"/><Relationship Id="rId22" Type="http://schemas.openxmlformats.org/officeDocument/2006/relationships/hyperlink" Target="http://www.sec.gov/Archives/edgar/data/202058/000095015203008045/l98139aexv4wc.htm" TargetMode="External"/><Relationship Id="rId43" Type="http://schemas.openxmlformats.org/officeDocument/2006/relationships/hyperlink" Target="http://www.sec.gov/Archives/edgar/data/202058/000114036119012394/ex4_9.htm" TargetMode="External"/><Relationship Id="rId64" Type="http://schemas.openxmlformats.org/officeDocument/2006/relationships/hyperlink" Target="http://www.sec.gov/Archives/edgar/data/202058/000020205819000103/exhibit106momentumpsot.htm" TargetMode="External"/><Relationship Id="rId118" Type="http://schemas.openxmlformats.org/officeDocument/2006/relationships/hyperlink" Target="https://www.sec.gov/Archives/edgar/data/202058/000020205820000011/exhibit10jnon-employee.htm" TargetMode="External"/><Relationship Id="rId139" Type="http://schemas.openxmlformats.org/officeDocument/2006/relationships/hyperlink" Target="http://www.sec.gov/Archives/edgar/data/202058/000095015205002945/l13101aexv99w2.txt" TargetMode="External"/><Relationship Id="rId85" Type="http://schemas.openxmlformats.org/officeDocument/2006/relationships/hyperlink" Target="https://www.sec.gov/Archives/edgar/data/202058/000020205821000046/exhibit101-rspamendment3.htm" TargetMode="External"/><Relationship Id="rId150" Type="http://schemas.openxmlformats.org/officeDocument/2006/relationships/hyperlink" Target="http://www.sec.gov/Archives/edgar/data/202058/000095014407005792/g07908exv10w2.htm" TargetMode="External"/><Relationship Id="rId171" Type="http://schemas.openxmlformats.org/officeDocument/2006/relationships/hyperlink" Target="http://www.sec.gov/Archives/edgar/data/202058/000114036119012139/ex10_2.htm" TargetMode="External"/><Relationship Id="rId192" Type="http://schemas.openxmlformats.org/officeDocument/2006/relationships/hyperlink" Target="https://www.sec.gov/Archives/edgar/data/202058/000020205821000008/exhibit10zl3harrisserp.htm" TargetMode="External"/><Relationship Id="rId206" Type="http://schemas.openxmlformats.org/officeDocument/2006/relationships/hyperlink" Target="exhibit10y-sppbasedocument.htm" TargetMode="External"/><Relationship Id="rId12" Type="http://schemas.openxmlformats.org/officeDocument/2006/relationships/hyperlink" Target="http://www.sec.gov/Archives/edgar/data/202058/0000950152-96-001980.txt" TargetMode="External"/><Relationship Id="rId33" Type="http://schemas.openxmlformats.org/officeDocument/2006/relationships/hyperlink" Target="http://www.sec.gov/Archives/edgar/data/202058/000095012310110843/g25428exv4w2.htm" TargetMode="External"/><Relationship Id="rId108" Type="http://schemas.openxmlformats.org/officeDocument/2006/relationships/hyperlink" Target="exhibit10iix-rspamendmentn.htm" TargetMode="External"/><Relationship Id="rId129" Type="http://schemas.openxmlformats.org/officeDocument/2006/relationships/hyperlink" Target="http://www.sec.gov/Archives/edgar/data/202058/000095015204000536/l05216bexv10wd.txt" TargetMode="External"/><Relationship Id="rId54" Type="http://schemas.openxmlformats.org/officeDocument/2006/relationships/hyperlink" Target="https://www.sec.gov/Archives/edgar/data/202058/000020205820000056/bod-20x180annualincent.htm" TargetMode="External"/><Relationship Id="rId75" Type="http://schemas.openxmlformats.org/officeDocument/2006/relationships/hyperlink" Target="https://www.sec.gov/Archives/edgar/data/202058/000020205821000020/exhibit101.htm?force_isolation=true" TargetMode="External"/><Relationship Id="rId96" Type="http://schemas.openxmlformats.org/officeDocument/2006/relationships/hyperlink" Target="https://www.sec.gov/Archives/edgar/data/202058/000020205821000054/exhibit102-rspamendment5.htm" TargetMode="External"/><Relationship Id="rId140" Type="http://schemas.openxmlformats.org/officeDocument/2006/relationships/hyperlink" Target="http://www.sec.gov/Archives/edgar/data/202058/000095015205002945/l13101aexv99w2.txt" TargetMode="External"/><Relationship Id="rId161" Type="http://schemas.openxmlformats.org/officeDocument/2006/relationships/hyperlink" Target="http://www.sec.gov/Archives/edgar/data/202058/000114036119012139/ex10_4.htm" TargetMode="External"/><Relationship Id="rId182" Type="http://schemas.openxmlformats.org/officeDocument/2006/relationships/hyperlink" Target="exhibit10wii-amendmentno1t.htm" TargetMode="External"/><Relationship Id="rId217" Type="http://schemas.openxmlformats.org/officeDocument/2006/relationships/hyperlink" Target="exhibit23cy21-q410xk.htm" TargetMode="External"/><Relationship Id="rId6" Type="http://schemas.openxmlformats.org/officeDocument/2006/relationships/hyperlink" Target="http://www.sec.gov/Archives/edgar/data/202058/000162828018012558/mergeragreementexecution.htm" TargetMode="External"/><Relationship Id="rId23" Type="http://schemas.openxmlformats.org/officeDocument/2006/relationships/hyperlink" Target="http://www.sec.gov/Archives/edgar/data/202058/000095012309010681/g17643exv4wn.htm" TargetMode="External"/><Relationship Id="rId119" Type="http://schemas.openxmlformats.org/officeDocument/2006/relationships/hyperlink" Target="https://www.sec.gov/Archives/edgar/data/202058/000020205820000011/exhibit10jnon-employee.htm" TargetMode="External"/><Relationship Id="rId44" Type="http://schemas.openxmlformats.org/officeDocument/2006/relationships/hyperlink" Target="http://www.sec.gov/Archives/edgar/data/202058/000114036119012394/ex4_9.htm" TargetMode="External"/><Relationship Id="rId65" Type="http://schemas.openxmlformats.org/officeDocument/2006/relationships/hyperlink" Target="http://www.sec.gov/Archives/edgar/data/202058/000020205819000103/exhibit107integrationp.htm" TargetMode="External"/><Relationship Id="rId86" Type="http://schemas.openxmlformats.org/officeDocument/2006/relationships/hyperlink" Target="https://www.sec.gov/Archives/edgar/data/202058/000020205821000046/exhibit101-rspamendment3.htm" TargetMode="External"/><Relationship Id="rId130" Type="http://schemas.openxmlformats.org/officeDocument/2006/relationships/hyperlink" Target="http://www.sec.gov/Archives/edgar/data/202058/000095015204000536/l05216bexv10wd.txt" TargetMode="External"/><Relationship Id="rId151" Type="http://schemas.openxmlformats.org/officeDocument/2006/relationships/hyperlink" Target="http://www.sec.gov/Archives/edgar/data/202058/000095014407005792/g07908exv10w3.htm" TargetMode="External"/><Relationship Id="rId172" Type="http://schemas.openxmlformats.org/officeDocument/2006/relationships/hyperlink" Target="https://www.sec.gov/Archives/edgar/data/0000202058/000020205821000047/summary_ofxnon-employeexdi.htm" TargetMode="External"/><Relationship Id="rId193" Type="http://schemas.openxmlformats.org/officeDocument/2006/relationships/hyperlink" Target="https://www.sec.gov/Archives/edgar/data/202058/000020205821000008/exhibit10zl3harrisserp.htm" TargetMode="External"/><Relationship Id="rId207" Type="http://schemas.openxmlformats.org/officeDocument/2006/relationships/hyperlink" Target="exhibit10y-sppbasedocument.htm" TargetMode="External"/><Relationship Id="rId13" Type="http://schemas.openxmlformats.org/officeDocument/2006/relationships/hyperlink" Target="http://www.sec.gov/Archives/edgar/data/202058/000095015202008048/l96983aexv99w4.txt" TargetMode="External"/><Relationship Id="rId109" Type="http://schemas.openxmlformats.org/officeDocument/2006/relationships/hyperlink" Target="exhibit10ix-rspamendmentno9.htm" TargetMode="External"/><Relationship Id="rId34" Type="http://schemas.openxmlformats.org/officeDocument/2006/relationships/hyperlink" Target="http://www.sec.gov/Archives/edgar/data/202058/000095012310110843/g25428exv4w2.htm" TargetMode="External"/><Relationship Id="rId55" Type="http://schemas.openxmlformats.org/officeDocument/2006/relationships/hyperlink" Target="http://www.sec.gov/Archives/edgar/data/202058/000095012310083467/g24533exv10w4.htm" TargetMode="External"/><Relationship Id="rId76" Type="http://schemas.openxmlformats.org/officeDocument/2006/relationships/hyperlink" Target="https://www.sec.gov/Archives/edgar/data/202058/000020205821000020/exhibit101.htm?force_isolation=true" TargetMode="External"/><Relationship Id="rId97" Type="http://schemas.openxmlformats.org/officeDocument/2006/relationships/hyperlink" Target="https://www.sec.gov/Archives/edgar/data/202058/000020205821000054/exhibit102-rspamendment5.htm" TargetMode="External"/><Relationship Id="rId120" Type="http://schemas.openxmlformats.org/officeDocument/2006/relationships/hyperlink" Target="https://www.sec.gov/Archives/edgar/data/202058/000020205820000011/exhibit10jnon-employee.htm" TargetMode="External"/><Relationship Id="rId141" Type="http://schemas.openxmlformats.org/officeDocument/2006/relationships/hyperlink" Target="http://www.sec.gov/Archives/edgar/data/202058/000095015205002945/l13101aexv99w2.txt" TargetMode="External"/><Relationship Id="rId7" Type="http://schemas.openxmlformats.org/officeDocument/2006/relationships/hyperlink" Target="http://www.sec.gov/Archives/edgar/data/202058/000114036119012139/ex2_2.htm" TargetMode="External"/><Relationship Id="rId162" Type="http://schemas.openxmlformats.org/officeDocument/2006/relationships/hyperlink" Target="http://www.sec.gov/Archives/edgar/data/202058/000114036119012139/ex10_4.htm" TargetMode="External"/><Relationship Id="rId183" Type="http://schemas.openxmlformats.org/officeDocument/2006/relationships/hyperlink" Target="exhibit10wii-amendmentno1t.htm" TargetMode="External"/><Relationship Id="rId218" Type="http://schemas.openxmlformats.org/officeDocument/2006/relationships/hyperlink" Target="exhibit24cy21-q410xk.htm" TargetMode="External"/><Relationship Id="rId24" Type="http://schemas.openxmlformats.org/officeDocument/2006/relationships/hyperlink" Target="https://www.sec.gov/Archives/edgar/data/202058/000020205820000021/exhibit41formofglobalnot.htm" TargetMode="External"/><Relationship Id="rId45" Type="http://schemas.openxmlformats.org/officeDocument/2006/relationships/hyperlink" Target="http://www.sec.gov/Archives/edgar/data/202058/000114036119012394/ex4_10.htm" TargetMode="External"/><Relationship Id="rId66" Type="http://schemas.openxmlformats.org/officeDocument/2006/relationships/hyperlink" Target="http://www.sec.gov/Archives/edgar/data/202058/000020205819000103/exhibit108integration-.htm" TargetMode="External"/><Relationship Id="rId87" Type="http://schemas.openxmlformats.org/officeDocument/2006/relationships/hyperlink" Target="https://www.sec.gov/Archives/edgar/data/202058/000020205821000046/exhibit102-rspamendment4.htm" TargetMode="External"/><Relationship Id="rId110" Type="http://schemas.openxmlformats.org/officeDocument/2006/relationships/hyperlink" Target="https://www.sec.gov/Archives/edgar/data/202058/000020205820000011/exhibit10h-l3harrisers.htm" TargetMode="External"/><Relationship Id="rId131" Type="http://schemas.openxmlformats.org/officeDocument/2006/relationships/hyperlink" Target="http://www.sec.gov/Archives/edgar/data/202058/000095015204000536/l05216bexv10wd.txt" TargetMode="External"/><Relationship Id="rId152" Type="http://schemas.openxmlformats.org/officeDocument/2006/relationships/hyperlink" Target="http://www.sec.gov/Archives/edgar/data/202058/000095014407005792/g07908exv10w3.htm" TargetMode="External"/><Relationship Id="rId173" Type="http://schemas.openxmlformats.org/officeDocument/2006/relationships/hyperlink" Target="https://www.sec.gov/Archives/edgar/data/0000202058/000020205821000047/summary_ofxnon-employeexdi.htm" TargetMode="External"/><Relationship Id="rId194" Type="http://schemas.openxmlformats.org/officeDocument/2006/relationships/hyperlink" Target="https://www.sec.gov/Archives/edgar/data/202058/000020205821000008/exhibit10zl3harrisserp.htm" TargetMode="External"/><Relationship Id="rId208" Type="http://schemas.openxmlformats.org/officeDocument/2006/relationships/hyperlink" Target="exhibit10y-sppbasedocument.htm" TargetMode="External"/><Relationship Id="rId14" Type="http://schemas.openxmlformats.org/officeDocument/2006/relationships/hyperlink" Target="http://www.sec.gov/Archives/edgar/data/202058/000119312515210656/d937596dex42.htm" TargetMode="External"/><Relationship Id="rId35" Type="http://schemas.openxmlformats.org/officeDocument/2006/relationships/hyperlink" Target="http://www.sec.gov/Archives/edgar/data/202058/000119312515149807/d914283dex45.htm" TargetMode="External"/><Relationship Id="rId56" Type="http://schemas.openxmlformats.org/officeDocument/2006/relationships/hyperlink" Target="http://www.sec.gov/Archives/edgar/data/202058/000129993311002670/exhibit1.htm" TargetMode="External"/><Relationship Id="rId77" Type="http://schemas.openxmlformats.org/officeDocument/2006/relationships/hyperlink" Target="https://www.sec.gov/Archives/edgar/data/202058/000020205821000020/exhibit101.htm?force_isolation=true" TargetMode="External"/><Relationship Id="rId100" Type="http://schemas.openxmlformats.org/officeDocument/2006/relationships/hyperlink" Target="https://www.sec.gov/Archives/edgar/data/202058/000020205821000054/exhibit103-rspamendment6.htm" TargetMode="External"/><Relationship Id="rId8" Type="http://schemas.openxmlformats.org/officeDocument/2006/relationships/hyperlink" Target="http://www.sec.gov/Archives/edgar/data/202058/000020205820000040/restatedcertificateofinc.htm" TargetMode="External"/><Relationship Id="rId51" Type="http://schemas.openxmlformats.org/officeDocument/2006/relationships/hyperlink" Target="https://www.sec.gov/Archives/edgar/data/202058/000020205820000017/exhibit101executivecic.htm" TargetMode="External"/><Relationship Id="rId72" Type="http://schemas.openxmlformats.org/officeDocument/2006/relationships/hyperlink" Target="https://www.sec.gov/Archives/edgar/data/202058/000020205820000056/bod-20x181equityincent.htm" TargetMode="External"/><Relationship Id="rId93" Type="http://schemas.openxmlformats.org/officeDocument/2006/relationships/hyperlink" Target="https://www.sec.gov/Archives/edgar/data/202058/000020205821000046/exhibit102-rspamendment4.htm" TargetMode="External"/><Relationship Id="rId98" Type="http://schemas.openxmlformats.org/officeDocument/2006/relationships/hyperlink" Target="https://www.sec.gov/Archives/edgar/data/202058/000020205821000054/exhibit102-rspamendment5.htm" TargetMode="External"/><Relationship Id="rId121" Type="http://schemas.openxmlformats.org/officeDocument/2006/relationships/hyperlink" Target="http://www.sec.gov/Archives/edgar/data/202058/000095015204000536/l05216bexv10wc.txt" TargetMode="External"/><Relationship Id="rId142" Type="http://schemas.openxmlformats.org/officeDocument/2006/relationships/hyperlink" Target="http://www.sec.gov/Archives/edgar/data/202058/000095014407005792/g07908exv10w1.htm" TargetMode="External"/><Relationship Id="rId163" Type="http://schemas.openxmlformats.org/officeDocument/2006/relationships/hyperlink" Target="http://www.sec.gov/Archives/edgar/data/202058/000114036119012139/ex10_3.htm" TargetMode="External"/><Relationship Id="rId184" Type="http://schemas.openxmlformats.org/officeDocument/2006/relationships/hyperlink" Target="exhibit10wii-amendmentno1t.htm" TargetMode="External"/><Relationship Id="rId189" Type="http://schemas.openxmlformats.org/officeDocument/2006/relationships/hyperlink" Target="exhibit10wii-amendmentno1t.htm" TargetMode="External"/><Relationship Id="rId219" Type="http://schemas.openxmlformats.org/officeDocument/2006/relationships/hyperlink" Target="exhibit311cy21-q410xk.htm" TargetMode="External"/><Relationship Id="rId3" Type="http://schemas.openxmlformats.org/officeDocument/2006/relationships/webSettings" Target="webSettings.xml"/><Relationship Id="rId214" Type="http://schemas.openxmlformats.org/officeDocument/2006/relationships/hyperlink" Target="exhibit10zsppsupplementnin.htm" TargetMode="External"/><Relationship Id="rId25" Type="http://schemas.openxmlformats.org/officeDocument/2006/relationships/hyperlink" Target="https://www.sec.gov/Archives/edgar/data/202058/000020205820000021/exhibit41formofglobalnot.htm" TargetMode="External"/><Relationship Id="rId46" Type="http://schemas.openxmlformats.org/officeDocument/2006/relationships/hyperlink" Target="http://www.sec.gov/Archives/edgar/data/202058/000114036119012394/ex4_11.htm" TargetMode="External"/><Relationship Id="rId67" Type="http://schemas.openxmlformats.org/officeDocument/2006/relationships/hyperlink" Target="http://www.sec.gov/Archives/edgar/data/202058/000020205819000103/exhibit109new-hireothe.htm" TargetMode="External"/><Relationship Id="rId116" Type="http://schemas.openxmlformats.org/officeDocument/2006/relationships/hyperlink" Target="https://www.sec.gov/Archives/edgar/data/202058/000020205821000020/exhibit104.htm?force_isolation=true" TargetMode="External"/><Relationship Id="rId137" Type="http://schemas.openxmlformats.org/officeDocument/2006/relationships/hyperlink" Target="http://www.sec.gov/Archives/edgar/data/202058/000095012310097519/g24630exv10wn.htm" TargetMode="External"/><Relationship Id="rId158" Type="http://schemas.openxmlformats.org/officeDocument/2006/relationships/hyperlink" Target="http://www.sec.gov/Archives/edgar/data/202058/000020205819000023/exhibit10a_ceoxsidexletter.htm" TargetMode="External"/><Relationship Id="rId20" Type="http://schemas.openxmlformats.org/officeDocument/2006/relationships/hyperlink" Target="http://www.sec.gov/Archives/edgar/data/202058/000095015203008045/l98139aexv4wc.htm" TargetMode="External"/><Relationship Id="rId41" Type="http://schemas.openxmlformats.org/officeDocument/2006/relationships/hyperlink" Target="http://www.sec.gov/Archives/edgar/data/202058/000114036119012394/ex4_7.htm" TargetMode="External"/><Relationship Id="rId62" Type="http://schemas.openxmlformats.org/officeDocument/2006/relationships/hyperlink" Target="http://www.sec.gov/Archives/edgar/data/202058/000020205819000103/exhibit104momentumpsut.htm" TargetMode="External"/><Relationship Id="rId83" Type="http://schemas.openxmlformats.org/officeDocument/2006/relationships/hyperlink" Target="https://www.sec.gov/Archives/edgar/data/202058/000020205821000046/exhibit101-rspamendment3.htm" TargetMode="External"/><Relationship Id="rId88" Type="http://schemas.openxmlformats.org/officeDocument/2006/relationships/hyperlink" Target="https://www.sec.gov/Archives/edgar/data/202058/000020205821000046/exhibit102-rspamendment4.htm" TargetMode="External"/><Relationship Id="rId111" Type="http://schemas.openxmlformats.org/officeDocument/2006/relationships/hyperlink" Target="https://www.sec.gov/Archives/edgar/data/202058/000020205820000011/exhibit10h-l3harrisers.htm" TargetMode="External"/><Relationship Id="rId132" Type="http://schemas.openxmlformats.org/officeDocument/2006/relationships/hyperlink" Target="http://www.sec.gov/Archives/edgar/data/202058/000095015204000536/l05216bexv10wd.txt" TargetMode="External"/><Relationship Id="rId153" Type="http://schemas.openxmlformats.org/officeDocument/2006/relationships/hyperlink" Target="http://www.sec.gov/Archives/edgar/data/202058/000095014407005792/g07908exv10w3.htm" TargetMode="External"/><Relationship Id="rId174" Type="http://schemas.openxmlformats.org/officeDocument/2006/relationships/hyperlink" Target="https://www.sec.gov/Archives/edgar/data/0000202058/000020205821000047/summary_ofxnon-employeexdi.htm" TargetMode="External"/><Relationship Id="rId179" Type="http://schemas.openxmlformats.org/officeDocument/2006/relationships/hyperlink" Target="http://www.sec.gov/Archives/edgar/data/202058/000114036119012139/ex10_1.htm" TargetMode="External"/><Relationship Id="rId195" Type="http://schemas.openxmlformats.org/officeDocument/2006/relationships/hyperlink" Target="https://www.sec.gov/Archives/edgar/data/202058/000020205821000008/exhibit10zl3harrisserp.htm" TargetMode="External"/><Relationship Id="rId209" Type="http://schemas.openxmlformats.org/officeDocument/2006/relationships/hyperlink" Target="exhibit10y-sppbasedocument.htm" TargetMode="External"/><Relationship Id="rId190" Type="http://schemas.openxmlformats.org/officeDocument/2006/relationships/hyperlink" Target="exhibit10wii-amendmentno1t.htm" TargetMode="External"/><Relationship Id="rId204" Type="http://schemas.openxmlformats.org/officeDocument/2006/relationships/hyperlink" Target="exhibit10y-sppbasedocument.htm" TargetMode="External"/><Relationship Id="rId220" Type="http://schemas.openxmlformats.org/officeDocument/2006/relationships/hyperlink" Target="exhibit312cy21-q410xk.htm" TargetMode="External"/><Relationship Id="rId15" Type="http://schemas.openxmlformats.org/officeDocument/2006/relationships/hyperlink" Target="http://www.sec.gov/Archives/edgar/data/202058/000119312515210656/d937596dex41.htm" TargetMode="External"/><Relationship Id="rId36" Type="http://schemas.openxmlformats.org/officeDocument/2006/relationships/hyperlink" Target="http://www.sec.gov/Archives/edgar/data/202058/000114036119012394/ex4_1.htm" TargetMode="External"/><Relationship Id="rId57" Type="http://schemas.openxmlformats.org/officeDocument/2006/relationships/hyperlink" Target="http://www.sec.gov/Archives/edgar/data/202058/000119312513418845/d614318dex10a.htm" TargetMode="External"/><Relationship Id="rId106" Type="http://schemas.openxmlformats.org/officeDocument/2006/relationships/hyperlink" Target="https://www.sec.gov/Archives/edgar/data/202058/000020205821000054/exhibit104-rspamendment7.htm" TargetMode="External"/><Relationship Id="rId127" Type="http://schemas.openxmlformats.org/officeDocument/2006/relationships/hyperlink" Target="http://www.sec.gov/Archives/edgar/data/202058/000095012309069904/g21448exv4wewiii.htm" TargetMode="External"/><Relationship Id="rId10" Type="http://schemas.openxmlformats.org/officeDocument/2006/relationships/hyperlink" Target="https://www.sec.gov/Archives/edgar/data/202058/000020205820000027/bylawsamendedandrestated.htm" TargetMode="External"/><Relationship Id="rId31" Type="http://schemas.openxmlformats.org/officeDocument/2006/relationships/hyperlink" Target="https://www.sec.gov/Archives/edgar/data/202058/000020205820000068/formofglobalnotedue2031_.htm" TargetMode="External"/><Relationship Id="rId52" Type="http://schemas.openxmlformats.org/officeDocument/2006/relationships/hyperlink" Target="https://www.sec.gov/Archives/edgar/data/202058/000020205820000017/exhibit2020l3harrissever.htm" TargetMode="External"/><Relationship Id="rId73" Type="http://schemas.openxmlformats.org/officeDocument/2006/relationships/hyperlink" Target="https://www.sec.gov/Archives/edgar/data/202058/000020205821000020/exhibit101.htm?force_isolation=true" TargetMode="External"/><Relationship Id="rId78" Type="http://schemas.openxmlformats.org/officeDocument/2006/relationships/hyperlink" Target="https://www.sec.gov/Archives/edgar/data/202058/000020205821000020/exhibit101.htm?force_isolation=true" TargetMode="External"/><Relationship Id="rId94" Type="http://schemas.openxmlformats.org/officeDocument/2006/relationships/hyperlink" Target="https://www.sec.gov/Archives/edgar/data/202058/000020205821000046/exhibit102-rspamendment4.htm" TargetMode="External"/><Relationship Id="rId99" Type="http://schemas.openxmlformats.org/officeDocument/2006/relationships/hyperlink" Target="https://www.sec.gov/Archives/edgar/data/202058/000020205821000054/exhibit102-rspamendment5.htm" TargetMode="External"/><Relationship Id="rId101" Type="http://schemas.openxmlformats.org/officeDocument/2006/relationships/hyperlink" Target="https://www.sec.gov/Archives/edgar/data/202058/000020205821000054/exhibit103-rspamendment6.htm" TargetMode="External"/><Relationship Id="rId122" Type="http://schemas.openxmlformats.org/officeDocument/2006/relationships/hyperlink" Target="http://www.sec.gov/Archives/edgar/data/202058/000095015204000536/l05216bexv10wc.txt" TargetMode="External"/><Relationship Id="rId143" Type="http://schemas.openxmlformats.org/officeDocument/2006/relationships/hyperlink" Target="http://www.sec.gov/Archives/edgar/data/202058/000095014407005792/g07908exv10w1.htm" TargetMode="External"/><Relationship Id="rId148" Type="http://schemas.openxmlformats.org/officeDocument/2006/relationships/hyperlink" Target="http://www.sec.gov/Archives/edgar/data/202058/000095014407005792/g07908exv10w2.htm" TargetMode="External"/><Relationship Id="rId164" Type="http://schemas.openxmlformats.org/officeDocument/2006/relationships/hyperlink" Target="http://www.sec.gov/Archives/edgar/data/202058/000114036119012139/ex10_3.htm" TargetMode="External"/><Relationship Id="rId169" Type="http://schemas.openxmlformats.org/officeDocument/2006/relationships/hyperlink" Target="http://www.sec.gov/Archives/edgar/data/202058/000114036119012139/ex10_2.htm" TargetMode="External"/><Relationship Id="rId185" Type="http://schemas.openxmlformats.org/officeDocument/2006/relationships/hyperlink" Target="exhibit10wii-amendmentno1t.htm" TargetMode="External"/><Relationship Id="rId4" Type="http://schemas.openxmlformats.org/officeDocument/2006/relationships/image" Target="file:///E:\projects\LLMs\new_data_collection\data_new\htm\L3HARRIS%20TECHNOLOGIES,%20INC\hrs-20211231_g1.jpg" TargetMode="External"/><Relationship Id="rId9" Type="http://schemas.openxmlformats.org/officeDocument/2006/relationships/hyperlink" Target="http://www.sec.gov/Archives/edgar/data/202058/000020205820000040/restatedcertificateofinc.htm" TargetMode="External"/><Relationship Id="rId180" Type="http://schemas.openxmlformats.org/officeDocument/2006/relationships/hyperlink" Target="http://www.sec.gov/Archives/edgar/data/202058/000114036119012139/ex10_1.htm" TargetMode="External"/><Relationship Id="rId210" Type="http://schemas.openxmlformats.org/officeDocument/2006/relationships/hyperlink" Target="exhibit10zsppsupplementnin.htm" TargetMode="External"/><Relationship Id="rId215" Type="http://schemas.openxmlformats.org/officeDocument/2006/relationships/hyperlink" Target="exhibit10zsppsupplementnin.htm" TargetMode="External"/><Relationship Id="rId26" Type="http://schemas.openxmlformats.org/officeDocument/2006/relationships/hyperlink" Target="http://www.sec.gov/Archives/edgar/data/202058/000119312515149807/d914283dex43.htm" TargetMode="External"/><Relationship Id="rId47" Type="http://schemas.openxmlformats.org/officeDocument/2006/relationships/hyperlink" Target="http://www.sec.gov/Archives/edgar/data/202058/000114036119012394/ex4_11.htm" TargetMode="External"/><Relationship Id="rId68" Type="http://schemas.openxmlformats.org/officeDocument/2006/relationships/hyperlink" Target="https://www.sec.gov/Archives/edgar/data/202058/000020205820000011/exhibit10fxl3harrisnon.htm" TargetMode="External"/><Relationship Id="rId89" Type="http://schemas.openxmlformats.org/officeDocument/2006/relationships/hyperlink" Target="https://www.sec.gov/Archives/edgar/data/202058/000020205821000046/exhibit102-rspamendment4.htm" TargetMode="External"/><Relationship Id="rId112" Type="http://schemas.openxmlformats.org/officeDocument/2006/relationships/hyperlink" Target="https://www.sec.gov/Archives/edgar/data/202058/000020205820000011/exhibit10h-l3harrisers.htm" TargetMode="External"/><Relationship Id="rId133" Type="http://schemas.openxmlformats.org/officeDocument/2006/relationships/hyperlink" Target="http://www.sec.gov/Archives/edgar/data/202058/000095015204000536/l05216bexv10wd.txt" TargetMode="External"/><Relationship Id="rId154" Type="http://schemas.openxmlformats.org/officeDocument/2006/relationships/hyperlink" Target="http://www.sec.gov/Archives/edgar/data/202058/000119312511268507/d241889dex101.htm" TargetMode="External"/><Relationship Id="rId175" Type="http://schemas.openxmlformats.org/officeDocument/2006/relationships/hyperlink" Target="https://www.sec.gov/Archives/edgar/data/0000202058/000020205821000047/summary_ofxnon-employeexdi.htm" TargetMode="External"/><Relationship Id="rId196" Type="http://schemas.openxmlformats.org/officeDocument/2006/relationships/hyperlink" Target="https://www.sec.gov/Archives/edgar/data/202058/000020205821000008/exhibit10zl3harrisserp.htm" TargetMode="External"/><Relationship Id="rId200" Type="http://schemas.openxmlformats.org/officeDocument/2006/relationships/hyperlink" Target="https://www.sec.gov/Archives/edgar/data/202058/000020205821000008/exhibit10zl3harrisserp.htm" TargetMode="External"/><Relationship Id="rId16" Type="http://schemas.openxmlformats.org/officeDocument/2006/relationships/hyperlink" Target="http://www.sec.gov/Archives/edgar/data/202058/000095015203008045/l98139aexv4wb.htm" TargetMode="External"/><Relationship Id="rId221" Type="http://schemas.openxmlformats.org/officeDocument/2006/relationships/hyperlink" Target="exhibit321cy21-q410xk.htm" TargetMode="External"/><Relationship Id="rId37" Type="http://schemas.openxmlformats.org/officeDocument/2006/relationships/hyperlink" Target="http://www.sec.gov/Archives/edgar/data/202058/000114036119012394/ex4_4.htm" TargetMode="External"/><Relationship Id="rId58" Type="http://schemas.openxmlformats.org/officeDocument/2006/relationships/hyperlink" Target="http://www.sec.gov/Archives/edgar/data/202058/000119312515308363/d22254dex10fxi.htm" TargetMode="External"/><Relationship Id="rId79" Type="http://schemas.openxmlformats.org/officeDocument/2006/relationships/hyperlink" Target="https://www.sec.gov/Archives/edgar/data/202058/000020205821000020/exhibit102.htm" TargetMode="External"/><Relationship Id="rId102" Type="http://schemas.openxmlformats.org/officeDocument/2006/relationships/hyperlink" Target="https://www.sec.gov/Archives/edgar/data/202058/000020205821000054/exhibit103-rspamendment6.htm" TargetMode="External"/><Relationship Id="rId123" Type="http://schemas.openxmlformats.org/officeDocument/2006/relationships/hyperlink" Target="http://www.sec.gov/Archives/edgar/data/202058/000095015204000536/l05216bexv10wc.txt" TargetMode="External"/><Relationship Id="rId144" Type="http://schemas.openxmlformats.org/officeDocument/2006/relationships/hyperlink" Target="http://www.sec.gov/Archives/edgar/data/202058/000095014407005792/g07908exv10w1.htm" TargetMode="External"/><Relationship Id="rId90" Type="http://schemas.openxmlformats.org/officeDocument/2006/relationships/hyperlink" Target="https://www.sec.gov/Archives/edgar/data/202058/000020205821000046/exhibit102-rspamendment4.htm" TargetMode="External"/><Relationship Id="rId165" Type="http://schemas.openxmlformats.org/officeDocument/2006/relationships/hyperlink" Target="http://www.sec.gov/Archives/edgar/data/202058/000114036119012139/ex10_3.htm" TargetMode="External"/><Relationship Id="rId186" Type="http://schemas.openxmlformats.org/officeDocument/2006/relationships/hyperlink" Target="exhibit10wii-amendmentno1t.htm" TargetMode="External"/><Relationship Id="rId211" Type="http://schemas.openxmlformats.org/officeDocument/2006/relationships/hyperlink" Target="exhibit10zsppsupplementnin.htm" TargetMode="External"/><Relationship Id="rId27" Type="http://schemas.openxmlformats.org/officeDocument/2006/relationships/hyperlink" Target="http://www.sec.gov/Archives/edgar/data/202058/000020205818000052/global4400note-exhibit41.htm" TargetMode="External"/><Relationship Id="rId48" Type="http://schemas.openxmlformats.org/officeDocument/2006/relationships/hyperlink" Target="https://www.sec.gov/Archives/edgar/data/202058/000020205819000090/l3harrisexhibit4zhkdra.htm" TargetMode="External"/><Relationship Id="rId69" Type="http://schemas.openxmlformats.org/officeDocument/2006/relationships/hyperlink" Target="https://www.sec.gov/Archives/edgar/data/202058/000020205820000040/exhibit103-2015equityr.htm" TargetMode="External"/><Relationship Id="rId113" Type="http://schemas.openxmlformats.org/officeDocument/2006/relationships/hyperlink" Target="https://www.sec.gov/Archives/edgar/data/202058/000020205820000011/exhibit10h-l3harrisers.htm" TargetMode="External"/><Relationship Id="rId134" Type="http://schemas.openxmlformats.org/officeDocument/2006/relationships/hyperlink" Target="http://www.sec.gov/Archives/edgar/data/202058/000095015204007534/l09822aexv10wb.htm" TargetMode="External"/><Relationship Id="rId80" Type="http://schemas.openxmlformats.org/officeDocument/2006/relationships/hyperlink" Target="https://www.sec.gov/Archives/edgar/data/202058/000020205821000020/exhibit102.htm" TargetMode="External"/><Relationship Id="rId155" Type="http://schemas.openxmlformats.org/officeDocument/2006/relationships/hyperlink" Target="http://www.sec.gov/Archives/edgar/data/202058/000119312511268507/d241889dex101.htm" TargetMode="External"/><Relationship Id="rId176" Type="http://schemas.openxmlformats.org/officeDocument/2006/relationships/hyperlink" Target="http://www.sec.gov/Archives/edgar/data/202058/000114036119012139/ex10_1.htm" TargetMode="External"/><Relationship Id="rId197" Type="http://schemas.openxmlformats.org/officeDocument/2006/relationships/hyperlink" Target="https://www.sec.gov/Archives/edgar/data/202058/000020205821000008/exhibit10zl3harrisserp.htm" TargetMode="External"/><Relationship Id="rId201" Type="http://schemas.openxmlformats.org/officeDocument/2006/relationships/hyperlink" Target="https://www.sec.gov/Archives/edgar/data/202058/000020205821000008/exhibit10zl3harrisserp.htm" TargetMode="External"/><Relationship Id="rId222" Type="http://schemas.openxmlformats.org/officeDocument/2006/relationships/hyperlink" Target="exhibit322cy21-q410xk.htm" TargetMode="External"/><Relationship Id="rId17" Type="http://schemas.openxmlformats.org/officeDocument/2006/relationships/hyperlink" Target="http://www.sec.gov/Archives/edgar/data/202058/000095012309010681/g17643exv4wm.htm" TargetMode="External"/><Relationship Id="rId38" Type="http://schemas.openxmlformats.org/officeDocument/2006/relationships/hyperlink" Target="http://www.sec.gov/Archives/edgar/data/202058/000114036119012394/ex4_5.htm" TargetMode="External"/><Relationship Id="rId59" Type="http://schemas.openxmlformats.org/officeDocument/2006/relationships/hyperlink" Target="http://www.sec.gov/Archives/edgar/data/202058/000129993315001553/exhibit1.htm" TargetMode="External"/><Relationship Id="rId103" Type="http://schemas.openxmlformats.org/officeDocument/2006/relationships/hyperlink" Target="https://www.sec.gov/Archives/edgar/data/202058/000020205821000054/exhibit103-rspamendment6.htm" TargetMode="External"/><Relationship Id="rId124" Type="http://schemas.openxmlformats.org/officeDocument/2006/relationships/hyperlink" Target="http://www.sec.gov/Archives/edgar/data/202058/000095015204000536/l05216bexv10wc.txt" TargetMode="External"/><Relationship Id="rId70" Type="http://schemas.openxmlformats.org/officeDocument/2006/relationships/hyperlink" Target="https://www.sec.gov/Archives/edgar/data/202058/000020205820000040/exhibit104-2015equityp.htm" TargetMode="External"/><Relationship Id="rId91" Type="http://schemas.openxmlformats.org/officeDocument/2006/relationships/hyperlink" Target="https://www.sec.gov/Archives/edgar/data/202058/000020205821000046/exhibit102-rspamendment4.htm" TargetMode="External"/><Relationship Id="rId145" Type="http://schemas.openxmlformats.org/officeDocument/2006/relationships/hyperlink" Target="http://www.sec.gov/Archives/edgar/data/202058/000095014407005792/g07908exv10w2.htm" TargetMode="External"/><Relationship Id="rId166" Type="http://schemas.openxmlformats.org/officeDocument/2006/relationships/hyperlink" Target="http://www.sec.gov/Archives/edgar/data/202058/000114036119012139/ex10_2.htm" TargetMode="External"/><Relationship Id="rId187" Type="http://schemas.openxmlformats.org/officeDocument/2006/relationships/hyperlink" Target="exhibit10wii-amendmentno1t.htm" TargetMode="External"/><Relationship Id="rId1" Type="http://schemas.openxmlformats.org/officeDocument/2006/relationships/styles" Target="styles.xml"/><Relationship Id="rId212" Type="http://schemas.openxmlformats.org/officeDocument/2006/relationships/hyperlink" Target="exhibit10zsppsupplementnin.htm" TargetMode="External"/><Relationship Id="rId28" Type="http://schemas.openxmlformats.org/officeDocument/2006/relationships/hyperlink" Target="https://www.sec.gov/Archives/edgar/data/202058/000020205819000110/formofglobalnotedue2029.htm" TargetMode="External"/><Relationship Id="rId49" Type="http://schemas.openxmlformats.org/officeDocument/2006/relationships/hyperlink" Target="http://www.sec.gov/Archives/edgar/data/202058/000114036119012139/ex10_5.htm" TargetMode="External"/><Relationship Id="rId114" Type="http://schemas.openxmlformats.org/officeDocument/2006/relationships/hyperlink" Target="https://www.sec.gov/Archives/edgar/data/202058/000020205820000011/exhibit10h-l3harrisers.htm" TargetMode="External"/><Relationship Id="rId60" Type="http://schemas.openxmlformats.org/officeDocument/2006/relationships/hyperlink" Target="http://www.sec.gov/Archives/edgar/data/202058/000119312516449408/d117812dex10f.htm" TargetMode="External"/><Relationship Id="rId81" Type="http://schemas.openxmlformats.org/officeDocument/2006/relationships/hyperlink" Target="https://www.sec.gov/Archives/edgar/data/202058/000020205821000020/exhibit103.htm" TargetMode="External"/><Relationship Id="rId135" Type="http://schemas.openxmlformats.org/officeDocument/2006/relationships/hyperlink" Target="http://www.sec.gov/Archives/edgar/data/202058/000095015204008841/l10812aexv10w5.htm" TargetMode="External"/><Relationship Id="rId156" Type="http://schemas.openxmlformats.org/officeDocument/2006/relationships/hyperlink" Target="http://www.sec.gov/Archives/edgar/data/202058/000119312511268507/d241889dex101.htm" TargetMode="External"/><Relationship Id="rId177" Type="http://schemas.openxmlformats.org/officeDocument/2006/relationships/hyperlink" Target="http://www.sec.gov/Archives/edgar/data/202058/000114036119012139/ex10_1.htm" TargetMode="External"/><Relationship Id="rId198" Type="http://schemas.openxmlformats.org/officeDocument/2006/relationships/hyperlink" Target="https://www.sec.gov/Archives/edgar/data/202058/000020205821000008/exhibit10zl3harrisserp.htm" TargetMode="External"/><Relationship Id="rId202" Type="http://schemas.openxmlformats.org/officeDocument/2006/relationships/hyperlink" Target="exhibit10y-sppbasedocument.htm" TargetMode="External"/><Relationship Id="rId223" Type="http://schemas.openxmlformats.org/officeDocument/2006/relationships/fontTable" Target="fontTable.xml"/><Relationship Id="rId18" Type="http://schemas.openxmlformats.org/officeDocument/2006/relationships/hyperlink" Target="http://www.sec.gov/Archives/edgar/data/202058/000095012309010681/g17643exv4wm.htm" TargetMode="External"/><Relationship Id="rId39" Type="http://schemas.openxmlformats.org/officeDocument/2006/relationships/hyperlink" Target="http://www.sec.gov/Archives/edgar/data/202058/000114036119012394/ex4_6.htm" TargetMode="External"/><Relationship Id="rId50" Type="http://schemas.openxmlformats.org/officeDocument/2006/relationships/hyperlink" Target="http://www.sec.gov/Archives/edgar/data/202058/000095012310097519/g24630exv10wo.htm" TargetMode="External"/><Relationship Id="rId104" Type="http://schemas.openxmlformats.org/officeDocument/2006/relationships/hyperlink" Target="https://www.sec.gov/Archives/edgar/data/202058/000020205821000054/exhibit104-rspamendment7.htm" TargetMode="External"/><Relationship Id="rId125" Type="http://schemas.openxmlformats.org/officeDocument/2006/relationships/hyperlink" Target="http://www.sec.gov/Archives/edgar/data/202058/000095015204000536/l05216bexv10wc.txt" TargetMode="External"/><Relationship Id="rId146" Type="http://schemas.openxmlformats.org/officeDocument/2006/relationships/hyperlink" Target="http://www.sec.gov/Archives/edgar/data/202058/000095014407005792/g07908exv10w2.htm" TargetMode="External"/><Relationship Id="rId167" Type="http://schemas.openxmlformats.org/officeDocument/2006/relationships/hyperlink" Target="http://www.sec.gov/Archives/edgar/data/202058/000114036119012139/ex10_2.htm" TargetMode="External"/><Relationship Id="rId188" Type="http://schemas.openxmlformats.org/officeDocument/2006/relationships/hyperlink" Target="exhibit10wii-amendmentno1t.htm" TargetMode="External"/><Relationship Id="rId71" Type="http://schemas.openxmlformats.org/officeDocument/2006/relationships/hyperlink" Target="https://www.sec.gov/Archives/edgar/data/202058/000020205820000040/exhibit105-2015equitys.htm" TargetMode="External"/><Relationship Id="rId92" Type="http://schemas.openxmlformats.org/officeDocument/2006/relationships/hyperlink" Target="https://www.sec.gov/Archives/edgar/data/202058/000020205821000046/exhibit102-rspamendment4.htm" TargetMode="External"/><Relationship Id="rId213" Type="http://schemas.openxmlformats.org/officeDocument/2006/relationships/hyperlink" Target="exhibit10zsppsupplementnin.htm" TargetMode="External"/><Relationship Id="rId2" Type="http://schemas.openxmlformats.org/officeDocument/2006/relationships/settings" Target="settings.xml"/><Relationship Id="rId29" Type="http://schemas.openxmlformats.org/officeDocument/2006/relationships/hyperlink" Target="https://www.sec.gov/Archives/edgar/data/202058/000020205819000110/formofglobalnotedue2029.htm" TargetMode="External"/><Relationship Id="rId40" Type="http://schemas.openxmlformats.org/officeDocument/2006/relationships/hyperlink" Target="http://www.sec.gov/Archives/edgar/data/202058/000114036119012394/ex4_6.htm" TargetMode="External"/><Relationship Id="rId115" Type="http://schemas.openxmlformats.org/officeDocument/2006/relationships/hyperlink" Target="https://www.sec.gov/Archives/edgar/data/202058/000020205820000011/exhibit10h-l3harrisers.htm" TargetMode="External"/><Relationship Id="rId136" Type="http://schemas.openxmlformats.org/officeDocument/2006/relationships/hyperlink" Target="http://www.sec.gov/Archives/edgar/data/202058/000095014409001119/g17294exv10wxiy.htm" TargetMode="External"/><Relationship Id="rId157" Type="http://schemas.openxmlformats.org/officeDocument/2006/relationships/hyperlink" Target="http://www.sec.gov/Archives/edgar/data/202058/000020205819000023/exhibit10a_ceoxsidexletter.htm" TargetMode="External"/><Relationship Id="rId178" Type="http://schemas.openxmlformats.org/officeDocument/2006/relationships/hyperlink" Target="http://www.sec.gov/Archives/edgar/data/202058/000114036119012139/ex10_1.htm" TargetMode="External"/><Relationship Id="rId61" Type="http://schemas.openxmlformats.org/officeDocument/2006/relationships/hyperlink" Target="http://www.sec.gov/Archives/edgar/data/202058/000020205819000103/exhibit103ceo-coopsutcs.htm" TargetMode="External"/><Relationship Id="rId82" Type="http://schemas.openxmlformats.org/officeDocument/2006/relationships/hyperlink" Target="https://www.sec.gov/Archives/edgar/data/202058/000020205821000020/exhibit103.htm" TargetMode="External"/><Relationship Id="rId199" Type="http://schemas.openxmlformats.org/officeDocument/2006/relationships/hyperlink" Target="https://www.sec.gov/Archives/edgar/data/202058/000020205821000008/exhibit10zl3harrisserp.htm" TargetMode="External"/><Relationship Id="rId203" Type="http://schemas.openxmlformats.org/officeDocument/2006/relationships/hyperlink" Target="exhibit10y-sppbasedocument.htm" TargetMode="External"/><Relationship Id="rId19" Type="http://schemas.openxmlformats.org/officeDocument/2006/relationships/hyperlink" Target="http://www.sec.gov/Archives/edgar/data/202058/000119312515210656/d937596dex43.htm" TargetMode="External"/><Relationship Id="rId224" Type="http://schemas.openxmlformats.org/officeDocument/2006/relationships/theme" Target="theme/theme1.xml"/><Relationship Id="rId30" Type="http://schemas.openxmlformats.org/officeDocument/2006/relationships/hyperlink" Target="https://www.sec.gov/Archives/edgar/data/202058/000020205820000068/formofglobalnotedue2031_.htm" TargetMode="External"/><Relationship Id="rId105" Type="http://schemas.openxmlformats.org/officeDocument/2006/relationships/hyperlink" Target="https://www.sec.gov/Archives/edgar/data/202058/000020205821000054/exhibit104-rspamendment7.htm" TargetMode="External"/><Relationship Id="rId126" Type="http://schemas.openxmlformats.org/officeDocument/2006/relationships/hyperlink" Target="http://www.sec.gov/Archives/edgar/data/202058/000095012309039868/g20164exv10wxmyxiiy.htm" TargetMode="External"/><Relationship Id="rId147" Type="http://schemas.openxmlformats.org/officeDocument/2006/relationships/hyperlink" Target="http://www.sec.gov/Archives/edgar/data/202058/000095014407005792/g07908exv10w2.htm" TargetMode="External"/><Relationship Id="rId168" Type="http://schemas.openxmlformats.org/officeDocument/2006/relationships/hyperlink" Target="http://www.sec.gov/Archives/edgar/data/202058/000114036119012139/ex10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105631</Words>
  <Characters>602100</Characters>
  <Application>Microsoft Office Word</Application>
  <DocSecurity>0</DocSecurity>
  <Lines>5017</Lines>
  <Paragraphs>1412</Paragraphs>
  <ScaleCrop>false</ScaleCrop>
  <Company/>
  <LinksUpToDate>false</LinksUpToDate>
  <CharactersWithSpaces>706319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hrs-20211231</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