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16B33">
      <w:pPr>
        <w:divId w:val="1680424079"/>
        <w:rPr>
          <w:rFonts w:eastAsia="Times New Roman"/>
          <w:vanish/>
        </w:rPr>
      </w:pPr>
      <w:r>
        <w:rPr>
          <w:rFonts w:eastAsia="Times New Roman"/>
          <w:vanish/>
        </w:rPr>
        <w:t>December 300000202058false2022Q21196100002020582022-01-012022-07-0100002020582022-07-22xbrli:shares00002020582022-04-022022-07-01iso4217:USD00002020582021-04-032021-07-0200002020582021-01-022021-07-02iso4217:USDxbrli:shares00002020582022-07-01</w:t>
      </w:r>
      <w:r>
        <w:rPr>
          <w:rFonts w:eastAsia="Times New Roman"/>
          <w:vanish/>
        </w:rPr>
        <w:t>00002020582021-12-3100002020582021-01-0100002020582021-07-020000202058us-gaap:CommonStockMember2022-04-010000202058us-gaap:OtherAdditionalCapitalMember2022-04-010000202058us-gaap:RetainedEarningsMember2022-04-010000202058us-gaap:AccumulatedOtherComprehensi</w:t>
      </w:r>
      <w:r>
        <w:rPr>
          <w:rFonts w:eastAsia="Times New Roman"/>
          <w:vanish/>
        </w:rPr>
        <w:t>veIncomeMember2022-04-010000202058us-gaap:NoncontrollingInterestMember2022-04-0100002020582022-04-010000202058us-gaap:RetainedEarningsMember2022-04-022022-07-010000202058us-gaap:NoncontrollingInterestMember2022-04-022022-07-010000202058us-gaap:AccumulatedO</w:t>
      </w:r>
      <w:r>
        <w:rPr>
          <w:rFonts w:eastAsia="Times New Roman"/>
          <w:vanish/>
        </w:rPr>
        <w:t>therComprehensiveIncomeMember2022-04-022022-07-010000202058us-gaap:OtherAdditionalCapitalMember2022-04-022022-07-010000202058us-gaap:CommonStockMember2022-04-022022-07-010000202058us-gaap:CommonStockMember2022-07-010000202058us-gaap:OtherAdditionalCapitalM</w:t>
      </w:r>
      <w:r>
        <w:rPr>
          <w:rFonts w:eastAsia="Times New Roman"/>
          <w:vanish/>
        </w:rPr>
        <w:t>ember2022-07-010000202058us-gaap:RetainedEarningsMember2022-07-010000202058us-gaap:AccumulatedOtherComprehensiveIncomeMember2022-07-010000202058us-gaap:NoncontrollingInterestMember2022-07-010000202058us-gaap:CommonStockMember2021-04-020000202058us-gaap:Oth</w:t>
      </w:r>
      <w:r>
        <w:rPr>
          <w:rFonts w:eastAsia="Times New Roman"/>
          <w:vanish/>
        </w:rPr>
        <w:t>erAdditionalCapitalMember2021-04-020000202058us-gaap:RetainedEarningsMember2021-04-020000202058us-gaap:AccumulatedOtherComprehensiveIncomeMember2021-04-020000202058us-gaap:NoncontrollingInterestMember2021-04-0200002020582021-04-020000202058us-gaap:Retained</w:t>
      </w:r>
      <w:r>
        <w:rPr>
          <w:rFonts w:eastAsia="Times New Roman"/>
          <w:vanish/>
        </w:rPr>
        <w:t>EarningsMember2021-04-032021-07-020000202058us-gaap:NoncontrollingInterestMember2021-04-032021-07-020000202058us-gaap:AccumulatedOtherComprehensiveIncomeMember2021-04-032021-07-020000202058us-gaap:CommonStockMember2021-04-032021-07-020000202058us-gaap:Othe</w:t>
      </w:r>
      <w:r>
        <w:rPr>
          <w:rFonts w:eastAsia="Times New Roman"/>
          <w:vanish/>
        </w:rPr>
        <w:t>rAdditionalCapitalMember2021-04-032021-07-020000202058us-gaap:CommonStockMember2021-07-020000202058us-gaap:OtherAdditionalCapitalMember2021-07-020000202058us-gaap:RetainedEarningsMember2021-07-020000202058us-gaap:AccumulatedOtherComprehensiveIncomeMember20</w:t>
      </w:r>
      <w:r>
        <w:rPr>
          <w:rFonts w:eastAsia="Times New Roman"/>
          <w:vanish/>
        </w:rPr>
        <w:t>21-07-020000202058us-gaap:NoncontrollingInterestMember2021-07-020000202058us-gaap:CommonStockMember2021-12-310000202058us-gaap:OtherAdditionalCapitalMember2021-12-310000202058us-gaap:RetainedEarningsMember2021-12-310000202058us-gaap:AccumulatedOtherCompreh</w:t>
      </w:r>
      <w:r>
        <w:rPr>
          <w:rFonts w:eastAsia="Times New Roman"/>
          <w:vanish/>
        </w:rPr>
        <w:t>ensiveIncomeMember2021-12-310000202058us-gaap:NoncontrollingInterestMember2021-12-310000202058us-gaap:RetainedEarningsMember2022-01-012022-07-010000202058us-gaap:NoncontrollingInterestMember2022-01-012022-07-010000202058us-gaap:AccumulatedOtherComprehensiv</w:t>
      </w:r>
      <w:r>
        <w:rPr>
          <w:rFonts w:eastAsia="Times New Roman"/>
          <w:vanish/>
        </w:rPr>
        <w:t>eIncomeMember2022-01-012022-07-010000202058us-gaap:OtherAdditionalCapitalMember2022-01-012022-07-010000202058us-gaap:CommonStockMember2022-01-012022-07-010000202058us-gaap:CommonStockMember2021-01-010000202058us-gaap:OtherAdditionalCapitalMember2021-01-010</w:t>
      </w:r>
      <w:r>
        <w:rPr>
          <w:rFonts w:eastAsia="Times New Roman"/>
          <w:vanish/>
        </w:rPr>
        <w:t>000202058us-gaap:RetainedEarningsMember2021-01-010000202058us-gaap:AccumulatedOtherComprehensiveIncomeMember2021-01-010000202058us-gaap:NoncontrollingInterestMember2021-01-010000202058us-gaap:RetainedEarningsMember2021-01-022021-07-020000202058us-gaap:Nonc</w:t>
      </w:r>
      <w:r>
        <w:rPr>
          <w:rFonts w:eastAsia="Times New Roman"/>
          <w:vanish/>
        </w:rPr>
        <w:t>ontrollingInterestMember2021-01-022021-07-020000202058us-gaap:AccumulatedOtherComprehensiveIncomeMember2021-01-022021-07-020000202058us-gaap:CommonStockMember2021-01-022021-07-020000202058us-gaap:OtherAdditionalCapitalMember2021-01-022021-07-02000020205820</w:t>
      </w:r>
      <w:r>
        <w:rPr>
          <w:rFonts w:eastAsia="Times New Roman"/>
          <w:vanish/>
        </w:rPr>
        <w:t>21-01-022021-12-31hrs:segment0000202058us-gaap:DisposalGroupDisposedOfBySaleNotDiscontinuedOperationsMember2022-01-012022-07-010000202058us-gaap:DisposalGroupDisposedOfBySaleNotDiscontinuedOperationsMember2022-04-022022-07-010000202058us-gaap:DisposalGroup</w:t>
      </w:r>
      <w:r>
        <w:rPr>
          <w:rFonts w:eastAsia="Times New Roman"/>
          <w:vanish/>
        </w:rPr>
        <w:t>DisposedOfBySaleNotDiscontinuedOperationsMemberhrs:CombatPropulsionSystemsMemberus-gaap:MaterialReconcilingItemsMember2021-07-020000202058us-gaap:DisposalGroupDisposedOfBySaleNotDiscontinuedOperationsMemberhrs:CombatPropulsionSystemsMemberus-gaap:MaterialR</w:t>
      </w:r>
      <w:r>
        <w:rPr>
          <w:rFonts w:eastAsia="Times New Roman"/>
          <w:vanish/>
        </w:rPr>
        <w:t>econcilingItemsMember2021-01-022021-07-020000202058hrs:MilitaryTrainingBusinessMemberus-gaap:DisposalGroupDisposedOfBySaleNotDiscontinuedOperationsMemberus-gaap:MaterialReconcilingItemsMember2021-07-020000202058hrs:MilitaryTrainingBusinessMemberus-gaap:Dis</w:t>
      </w:r>
      <w:r>
        <w:rPr>
          <w:rFonts w:eastAsia="Times New Roman"/>
          <w:vanish/>
        </w:rPr>
        <w:t>posalGroupDisposedOfBySaleNotDiscontinuedOperationsMemberus-gaap:MaterialReconcilingItemsMember2021-01-022021-07-020000202058us-gaap:DisposalGroupDisposedOfBySaleNotDiscontinuedOperationsMemberhrs:VoiceSwitchEnterpriseMemberus-gaap:MaterialReconcilingItems</w:t>
      </w:r>
      <w:r>
        <w:rPr>
          <w:rFonts w:eastAsia="Times New Roman"/>
          <w:vanish/>
        </w:rPr>
        <w:t>Member2021-07-020000202058us-gaap:DisposalGroupDisposedOfBySaleNotDiscontinuedOperationsMemberhrs:VoiceSwitchEnterpriseMemberus-gaap:MaterialReconcilingItemsMember2021-01-022021-07-020000202058us-gaap:DisposalGroupDisposedOfBySaleNotDiscontinuedOperationsM</w:t>
      </w:r>
      <w:r>
        <w:rPr>
          <w:rFonts w:eastAsia="Times New Roman"/>
          <w:vanish/>
        </w:rPr>
        <w:t>ember2021-07-020000202058us-gaap:DisposalGroupDisposedOfBySaleNotDiscontinuedOperationsMember2021-01-022021-07-020000202058us-gaap:DisposalGroupDisposedOfBySaleNotDiscontinuedOperationsMemberhrs:ElectronDevicesAndNardaMicrowaveWestMember2021-04-032021-07-0</w:t>
      </w:r>
      <w:r>
        <w:rPr>
          <w:rFonts w:eastAsia="Times New Roman"/>
          <w:vanish/>
        </w:rPr>
        <w:t>20000202058us-gaap:DisposalGroupDisposedOfBySaleNotDiscontinuedOperationsMemberhrs:ElectronDevicesAndNardaMicrowaveWestMember2021-01-022021-07-020000202058us-gaap:DisposalGroupDisposedOfBySaleNotDiscontinuedOperationsMemberhrs:CombatPropulsionSystemsMember</w:t>
      </w:r>
      <w:r>
        <w:rPr>
          <w:rFonts w:eastAsia="Times New Roman"/>
          <w:vanish/>
        </w:rPr>
        <w:t>2021-04-032021-07-020000202058us-gaap:DisposalGroupDisposedOfBySaleNotDiscontinuedOperationsMemberhrs:CombatPropulsionSystemsMember2021-01-022021-07-020000202058hrs:MilitaryTrainingBusinessMemberus-gaap:DisposalGroupDisposedOfBySaleNotDiscontinuedOperation</w:t>
      </w:r>
      <w:r>
        <w:rPr>
          <w:rFonts w:eastAsia="Times New Roman"/>
          <w:vanish/>
        </w:rPr>
        <w:t>sMember2021-04-032021-07-020000202058hrs:MilitaryTrainingBusinessMemberus-gaap:DisposalGroupDisposedOfBySaleNotDiscontinuedOperationsMember2021-01-022021-07-020000202058us-gaap:DisposalGroupDisposedOfBySaleNotDiscontinuedOperationsMemberhrs:VoiceSwitchEnte</w:t>
      </w:r>
      <w:r>
        <w:rPr>
          <w:rFonts w:eastAsia="Times New Roman"/>
          <w:vanish/>
        </w:rPr>
        <w:t>rpriseMember2021-04-032021-07-020000202058us-gaap:DisposalGroupDisposedOfBySaleNotDiscontinuedOperationsMemberhrs:VoiceSwitchEnterpriseMember2021-01-022021-07-020000202058hrs:OtherCompletedDivestitureOfBusinessesMemberus-gaap:DisposalGroupDisposedOfBySaleN</w:t>
      </w:r>
      <w:r>
        <w:rPr>
          <w:rFonts w:eastAsia="Times New Roman"/>
          <w:vanish/>
        </w:rPr>
        <w:t>otDiscontinuedOperationsMember2021-04-032021-07-020000202058hrs:OtherCompletedDivestitureOfBusinessesMemberus-gaap:DisposalGroupDisposedOfBySaleNotDiscontinuedOperationsMember2021-01-022021-07-020000202058us-gaap:DisposalGroupDisposedOfBySaleNotDiscontinue</w:t>
      </w:r>
      <w:r>
        <w:rPr>
          <w:rFonts w:eastAsia="Times New Roman"/>
          <w:vanish/>
        </w:rPr>
        <w:t>dOperationsMember2021-04-032021-07-020000202058us-gaap:DisposalGroupDisposedOfBySaleNotDiscontinuedOperationsMemberhrs:CombatPropulsionSystemsMember2021-01-022021-04-020000202058hrs:L3HarrisShareholderapprovedEmployeeStockIncentivePlansMember2022-04-022022</w:t>
      </w:r>
      <w:r>
        <w:rPr>
          <w:rFonts w:eastAsia="Times New Roman"/>
          <w:vanish/>
        </w:rPr>
        <w:t>-07-010000202058hrs:L3HarrisShareholderapprovedEmployeeStockIncentivePlansMember2022-01-012022-07-010000202058hrs:L3HarrisShareholderapprovedEmployeeStockIncentivePlansMember2021-04-032021-07-020000202058hrs:L3HarrisShareholderapprovedEmployeeStockIncentiv</w:t>
      </w:r>
      <w:r>
        <w:rPr>
          <w:rFonts w:eastAsia="Times New Roman"/>
          <w:vanish/>
        </w:rPr>
        <w:t>ePlansMember2021-01-022021-07-020000202058hrs:PerformanceStockUnitsMemberhrs:L3HarrisShareholderapprovedEmployeeStockIncentivePlansMember2022-04-022022-07-010000202058hrs:L3HarrisShareholderapprovedEmployeeStockIncentivePlansMemberus-gaap:RestrictedStockUn</w:t>
      </w:r>
      <w:r>
        <w:rPr>
          <w:rFonts w:eastAsia="Times New Roman"/>
          <w:vanish/>
        </w:rPr>
        <w:t>itsRSUMember2022-04-022022-07-010000202058hrs:PerformanceStockUnitsMemberhrs:L3HarrisShareholderapprovedEmployeeStockIncentivePlansMember2022-01-012022-07-010000202058hrs:L3HarrisShareholderapprovedEmployeeStockIncentivePlansMemberus-gaap:RestrictedStockUn</w:t>
      </w:r>
      <w:r>
        <w:rPr>
          <w:rFonts w:eastAsia="Times New Roman"/>
          <w:vanish/>
        </w:rPr>
        <w:t>itsRSUMember2022-01-012022-07-010000202058us-gaap:EmployeeStockOptionMemberhrs:L3HarrisShareholderapprovedEmployeeStockIncentivePlansMember2022-01-012022-07-01xbrli:pure0000202058us-gaap:AccumulatedTranslationAdjustmentMember2021-12-310000202058us-gaap:Acc</w:t>
      </w:r>
      <w:r>
        <w:rPr>
          <w:rFonts w:eastAsia="Times New Roman"/>
          <w:vanish/>
        </w:rPr>
        <w:t>umulatedGainLossNetCashFlowHedgeParentMember2021-12-310000202058us-gaap:AccumulatedDefinedBenefitPlansAdjustmentMember2021-12-310000202058us-gaap:AccumulatedTranslationAdjustmentMember2022-01-012022-07-010000202058us-gaap:AccumulatedGainLossNetCashFlowHedg</w:t>
      </w:r>
      <w:r>
        <w:rPr>
          <w:rFonts w:eastAsia="Times New Roman"/>
          <w:vanish/>
        </w:rPr>
        <w:t>eParentMember2022-01-012022-07-010000202058us-gaap:AccumulatedDefinedBenefitPlansAdjustmentMember2022-01-012022-07-010000202058us-gaap:AccumulatedTranslationAdjustmentMember2022-07-010000202058us-gaap:AccumulatedGainLossNetCashFlowHedgeParentMember2022-07-</w:t>
      </w:r>
      <w:r>
        <w:rPr>
          <w:rFonts w:eastAsia="Times New Roman"/>
          <w:vanish/>
        </w:rPr>
        <w:t>010000202058us-gaap:AccumulatedDefinedBenefitPlansAdjustmentMember2022-07-010000202058us-gaap:AccumulatedTranslationAdjustmentMember2021-01-010000202058us-gaap:AccumulatedGainLossNetCashFlowHedgeParentMember2021-01-010000202058us-gaap:AccumulatedDefinedBen</w:t>
      </w:r>
      <w:r>
        <w:rPr>
          <w:rFonts w:eastAsia="Times New Roman"/>
          <w:vanish/>
        </w:rPr>
        <w:t>efitPlansAdjustmentMember2021-01-010000202058us-gaap:AccumulatedTranslationAdjustmentMember2021-01-022021-07-020000202058us-gaap:AccumulatedGainLossNetCashFlowHedgeParentMember2021-01-022021-07-020000202058us-gaap:AccumulatedDefinedBenefitPlansAdjustmentMe</w:t>
      </w:r>
      <w:r>
        <w:rPr>
          <w:rFonts w:eastAsia="Times New Roman"/>
          <w:vanish/>
        </w:rPr>
        <w:t>mber2021-01-022021-07-020000202058us-gaap:AccumulatedTranslationAdjustmentMember2021-07-020000202058us-gaap:AccumulatedGainLossNetCashFlowHedgeParentMember2021-07-020000202058us-gaap:AccumulatedDefinedBenefitPlansAdjustmentMember2021-07-020000202058hrs:Rec</w:t>
      </w:r>
      <w:r>
        <w:rPr>
          <w:rFonts w:eastAsia="Times New Roman"/>
          <w:vanish/>
        </w:rPr>
        <w:t>eivableSaleAgreementMember2022-07-01hrs:receivableSaleAgreement0000202058hrs:ReceivableSaleAgreementOneMember2022-07-010000202058hrs:ReceivableSaleAgreementTwoMember2022-07-010000202058hrs:ReceivableSaleAgreementMember2021-12-310000202058hrs:CommercialTrai</w:t>
      </w:r>
      <w:r>
        <w:rPr>
          <w:rFonts w:eastAsia="Times New Roman"/>
          <w:vanish/>
        </w:rPr>
        <w:t>ningSolutionsMember2021-04-032021-07-020000202058hrs:CommercialTrainingSolutionsMember2021-01-022021-07-020000202058srt:ScenarioPreviouslyReportedMemberhrs:IntegratedMissionSystemsMember2021-12-310000202058srt:ScenarioPreviouslyReportedMemberhrs:SpaceandAi</w:t>
      </w:r>
      <w:r>
        <w:rPr>
          <w:rFonts w:eastAsia="Times New Roman"/>
          <w:vanish/>
        </w:rPr>
        <w:t>rborneSystemsMember2021-12-310000202058srt:ScenarioPreviouslyReportedMemberhrs:CommunicationSystemsMember2021-12-310000202058hrs:AviationSystemsMembersrt:ScenarioPreviouslyReportedMember2021-12-310000202058srt:ScenarioPreviouslyReportedMember2021-12-310000</w:t>
      </w:r>
      <w:r>
        <w:rPr>
          <w:rFonts w:eastAsia="Times New Roman"/>
          <w:vanish/>
        </w:rPr>
        <w:t>202058hrs:IntegratedMissionSystemsMembersrt:RestatementAdjustmentMember2021-12-310000202058hrs:SpaceandAirborneSystemsMembersrt:RestatementAdjustmentMember2021-12-310000202058hrs:CommunicationSystemsMembersrt:RestatementAdjustmentMember2021-12-310000202058</w:t>
      </w:r>
      <w:r>
        <w:rPr>
          <w:rFonts w:eastAsia="Times New Roman"/>
          <w:vanish/>
        </w:rPr>
        <w:t>hrs:AviationSystemsMembersrt:RestatementAdjustmentMember2021-12-310000202058srt:RestatementAdjustmentMember2021-12-310000202058hrs:IntegratedMissionSystemsMember2021-12-310000202058hrs:SpaceandAirborneSystemsMember2021-12-310000202058hrs:CommunicationSyste</w:t>
      </w:r>
      <w:r>
        <w:rPr>
          <w:rFonts w:eastAsia="Times New Roman"/>
          <w:vanish/>
        </w:rPr>
        <w:t>msMember2021-12-310000202058hrs:AviationSystemsMember2021-12-310000202058hrs:IntegratedMissionSystemsMember2022-01-012022-07-010000202058hrs:SpaceandAirborneSystemsMember2022-01-012022-07-010000202058hrs:CommunicationSystemsMember2022-01-012022-07-01000020</w:t>
      </w:r>
      <w:r>
        <w:rPr>
          <w:rFonts w:eastAsia="Times New Roman"/>
          <w:vanish/>
        </w:rPr>
        <w:t>2058hrs:AviationSystemsMember2022-01-012022-07-010000202058hrs:IntegratedMissionSystemsMember2022-07-010000202058hrs:SpaceandAirborneSystemsMember2022-07-010000202058hrs:CommunicationSystemsMember2022-07-010000202058hrs:AviationSystemsMember2022-07-0100002</w:t>
      </w:r>
      <w:r>
        <w:rPr>
          <w:rFonts w:eastAsia="Times New Roman"/>
          <w:vanish/>
        </w:rPr>
        <w:t>02058hrs:AviationSystemsMemberus-gaap:DisposalGroupHeldforsaleNotDiscontinuedOperationsMemberhrs:CombatPropulsionSystemsMember2021-04-020000202058hrs:AviationSystemsMemberus-gaap:DisposalGroupHeldforsaleNotDiscontinuedOperationsMemberhrs:CombatPropulsionSy</w:t>
      </w:r>
      <w:r>
        <w:rPr>
          <w:rFonts w:eastAsia="Times New Roman"/>
          <w:vanish/>
        </w:rPr>
        <w:t>stemsMember2021-01-022021-04-020000202058hrs:AviationSystemsMemberhrs:CommercialTrainingSolutionsMember2021-04-032021-07-020000202058hrs:AviationSystemsMemberhrs:CommercialTrainingSolutionsMember2021-01-022021-07-02hrs:reportingUnit0000202058us-gaap:Pensio</w:t>
      </w:r>
      <w:r>
        <w:rPr>
          <w:rFonts w:eastAsia="Times New Roman"/>
          <w:vanish/>
        </w:rPr>
        <w:t>nPlansDefinedBenefitMember2022-04-022022-07-010000202058us-gaap:OtherPostretirementBenefitPlansDefinedBenefitMember2022-04-022022-07-010000202058us-gaap:PensionPlansDefinedBenefitMember2022-01-012022-07-010000202058us-gaap:OtherPostretirementBenefitPlansDe</w:t>
      </w:r>
      <w:r>
        <w:rPr>
          <w:rFonts w:eastAsia="Times New Roman"/>
          <w:vanish/>
        </w:rPr>
        <w:t>finedBenefitMember2022-01-012022-07-010000202058us-gaap:PensionPlansDefinedBenefitMember2021-04-032021-07-020000202058us-gaap:OtherPostretirementBenefitPlansDefinedBenefitMember2021-04-032021-07-020000202058us-gaap:PensionPlansDefinedBenefitMember2021-01-0</w:t>
      </w:r>
      <w:r>
        <w:rPr>
          <w:rFonts w:eastAsia="Times New Roman"/>
          <w:vanish/>
        </w:rPr>
        <w:t>22021-07-020000202058us-gaap:OtherPostretirementBenefitPlansDefinedBenefitMember2021-01-022021-07-020000202058us-gaap:PensionPlansDefinedBenefitMembercountry:US2022-07-010000202058us-gaap:EquitySecuritiesMemberus-gaap:EstimateOfFairValueFairValueDisclosure</w:t>
      </w:r>
      <w:r>
        <w:rPr>
          <w:rFonts w:eastAsia="Times New Roman"/>
          <w:vanish/>
        </w:rPr>
        <w:t>Member2022-07-010000202058us-gaap:EquitySecuritiesMemberus-gaap:EstimateOfFairValueFairValueDisclosureMemberus-gaap:FairValueInputsLevel1Member2022-07-010000202058us-gaap:EquitySecuritiesMemberus-gaap:EstimateOfFairValueFairValueDisclosureMember2021-12-310</w:t>
      </w:r>
      <w:r>
        <w:rPr>
          <w:rFonts w:eastAsia="Times New Roman"/>
          <w:vanish/>
        </w:rPr>
        <w:t>000202058us-gaap:EquitySecuritiesMemberus-gaap:EstimateOfFairValueFairValueDisclosureMemberus-gaap:FairValueInputsLevel1Member2021-12-310000202058hrs:CorporateownedlifeinsuranceMemberus-gaap:EstimateOfFairValueFairValueDisclosureMemberus-gaap:FairValueMeas</w:t>
      </w:r>
      <w:r>
        <w:rPr>
          <w:rFonts w:eastAsia="Times New Roman"/>
          <w:vanish/>
        </w:rPr>
        <w:t>uredAtNetAssetValuePerShareMember2022-07-010000202058hrs:CorporateownedlifeinsuranceMemberus-gaap:EstimateOfFairValueFairValueDisclosureMemberus-gaap:FairValueMeasuredAtNetAssetValuePerShareMember2021-12-310000202058us-gaap:EstimateOfFairValueFairValueDisc</w:t>
      </w:r>
      <w:r>
        <w:rPr>
          <w:rFonts w:eastAsia="Times New Roman"/>
          <w:vanish/>
        </w:rPr>
        <w:t>losureMember2022-07-010000202058us-gaap:EstimateOfFairValueFairValueDisclosureMember2021-12-310000202058us-gaap:EstimateOfFairValueFairValueDisclosureMemberus-gaap:MutualFundMember2022-07-010000202058us-gaap:EstimateOfFairValueFairValueDisclosureMemberus-g</w:t>
      </w:r>
      <w:r>
        <w:rPr>
          <w:rFonts w:eastAsia="Times New Roman"/>
          <w:vanish/>
        </w:rPr>
        <w:t>aap:MutualFundMemberus-gaap:FairValueInputsLevel1Member2022-07-010000202058us-gaap:EstimateOfFairValueFairValueDisclosureMemberus-gaap:MutualFundMember2021-12-310000202058us-gaap:EstimateOfFairValueFairValueDisclosureMemberus-gaap:MutualFundMemberus-gaap:F</w:t>
      </w:r>
      <w:r>
        <w:rPr>
          <w:rFonts w:eastAsia="Times New Roman"/>
          <w:vanish/>
        </w:rPr>
        <w:t>airValueInputsLevel1Member2021-12-310000202058us-gaap:EstimateOfFairValueFairValueDisclosureMemberus-gaap:FairValueMeasuredAtNetAssetValuePerShareMemberhrs:CommonCollectiveTrustsandGuaranteedInvestmentProgramMember2022-07-010000202058us-gaap:EstimateOfFair</w:t>
      </w:r>
      <w:r>
        <w:rPr>
          <w:rFonts w:eastAsia="Times New Roman"/>
          <w:vanish/>
        </w:rPr>
        <w:t>ValueFairValueDisclosureMemberus-gaap:FairValueMeasuredAtNetAssetValuePerShareMemberhrs:CommonCollectiveTrustsandGuaranteedInvestmentProgramMember2021-12-310000202058us-gaap:CarryingReportedAmountFairValueDisclosureMember2022-07-010000202058us-gaap:MarketA</w:t>
      </w:r>
      <w:r>
        <w:rPr>
          <w:rFonts w:eastAsia="Times New Roman"/>
          <w:vanish/>
        </w:rPr>
        <w:t>pproachValuationTechniqueMemberus-gaap:FairValueInputsLevel2Memberus-gaap:EstimateOfFairValueFairValueDisclosureMember2022-07-010000202058us-gaap:CarryingReportedAmountFairValueDisclosureMember2021-12-310000202058us-gaap:MarketApproachValuationTechniqueMem</w:t>
      </w:r>
      <w:r>
        <w:rPr>
          <w:rFonts w:eastAsia="Times New Roman"/>
          <w:vanish/>
        </w:rPr>
        <w:t>berus-gaap:FairValueInputsLevel2Memberus-gaap:EstimateOfFairValueFairValueDisclosureMember2021-12-310000202058us-gaap:CashFlowHedgingMemberus-gaap:ForeignExchangeForwardMember2022-07-010000202058us-gaap:CashFlowHedgingMemberus-gaap:ForeignExchangeForwardMe</w:t>
      </w:r>
      <w:r>
        <w:rPr>
          <w:rFonts w:eastAsia="Times New Roman"/>
          <w:vanish/>
        </w:rPr>
        <w:t>mber2021-12-310000202058us-gaap:OtherCurrentAssetsMember2022-07-010000202058us-gaap:OtherCurrentAssetsMember2021-12-310000202058us-gaap:OtherNoncurrentAssetsMember2022-07-010000202058us-gaap:OtherNoncurrentAssetsMember2021-12-310000202058us-gaap:OtherCurre</w:t>
      </w:r>
      <w:r>
        <w:rPr>
          <w:rFonts w:eastAsia="Times New Roman"/>
          <w:vanish/>
        </w:rPr>
        <w:t>ntLiabilitiesMember2022-07-010000202058us-gaap:OtherCurrentLiabilitiesMember2021-12-310000202058us-gaap:OtherNoncurrentLiabilitiesMember2022-07-010000202058us-gaap:OtherNoncurrentLiabilitiesMember2021-12-310000202058us-gaap:ContractsAccountedForUnderPercen</w:t>
      </w:r>
      <w:r>
        <w:rPr>
          <w:rFonts w:eastAsia="Times New Roman"/>
          <w:vanish/>
        </w:rPr>
        <w:t>tageOfCompletionMember2022-04-022022-07-010000202058us-gaap:ContractsAccountedForUnderPercentageOfCompletionMember2021-04-032021-07-020000202058us-gaap:ContractsAccountedForUnderPercentageOfCompletionMember2022-01-012022-07-010000202058us-gaap:ContractsAcc</w:t>
      </w:r>
      <w:r>
        <w:rPr>
          <w:rFonts w:eastAsia="Times New Roman"/>
          <w:vanish/>
        </w:rPr>
        <w:t>ountedForUnderPercentageOfCompletionMember2021-01-022021-07-0200002020582022-07-022022-07-0100002020582023-01-012022-07-010000202058us-gaap:OperatingSegmentsMemberhrs:IntegratedMissionSystemsMember2022-04-022022-07-010000202058us-gaap:OperatingSegmentsMemb</w:t>
      </w:r>
      <w:r>
        <w:rPr>
          <w:rFonts w:eastAsia="Times New Roman"/>
          <w:vanish/>
        </w:rPr>
        <w:t>erhrs:IntegratedMissionSystemsMember2021-04-032021-07-020000202058us-gaap:OperatingSegmentsMemberhrs:IntegratedMissionSystemsMember2022-01-012022-07-010000202058us-gaap:OperatingSegmentsMemberhrs:IntegratedMissionSystemsMember2021-01-022021-07-020000202058</w:t>
      </w:r>
      <w:r>
        <w:rPr>
          <w:rFonts w:eastAsia="Times New Roman"/>
          <w:vanish/>
        </w:rPr>
        <w:t>us-gaap:OperatingSegmentsMemberhrs:SpaceandAirborneSystemsMember2022-04-022022-07-010000202058us-gaap:OperatingSegmentsMemberhrs:SpaceandAirborneSystemsMember2021-04-032021-07-020000202058us-gaap:OperatingSegmentsMemberhrs:SpaceandAirborneSystemsMember2022</w:t>
      </w:r>
      <w:r>
        <w:rPr>
          <w:rFonts w:eastAsia="Times New Roman"/>
          <w:vanish/>
        </w:rPr>
        <w:t>-01-012022-07-010000202058us-gaap:OperatingSegmentsMemberhrs:SpaceandAirborneSystemsMember2021-01-022021-07-020000202058us-gaap:OperatingSegmentsMemberhrs:CommunicationSystemsMember2022-04-022022-07-010000202058us-gaap:OperatingSegmentsMemberhrs:Communicat</w:t>
      </w:r>
      <w:r>
        <w:rPr>
          <w:rFonts w:eastAsia="Times New Roman"/>
          <w:vanish/>
        </w:rPr>
        <w:t>ionSystemsMember2021-04-032021-07-020000202058us-gaap:OperatingSegmentsMemberhrs:CommunicationSystemsMember2022-01-012022-07-010000202058us-gaap:OperatingSegmentsMemberhrs:CommunicationSystemsMember2021-01-022021-07-020000202058us-gaap:MaterialReconcilingI</w:t>
      </w:r>
      <w:r>
        <w:rPr>
          <w:rFonts w:eastAsia="Times New Roman"/>
          <w:vanish/>
        </w:rPr>
        <w:t>temsMember2022-04-022022-07-010000202058us-gaap:MaterialReconcilingItemsMember2021-04-032021-07-020000202058us-gaap:MaterialReconcilingItemsMember2022-01-012022-07-010000202058us-gaap:MaterialReconcilingItemsMember2021-01-022021-07-020000202058us-gaap:Corp</w:t>
      </w:r>
      <w:r>
        <w:rPr>
          <w:rFonts w:eastAsia="Times New Roman"/>
          <w:vanish/>
        </w:rPr>
        <w:t>orateNonSegmentMember2022-04-022022-07-010000202058us-gaap:CorporateNonSegmentMember2021-04-032021-07-020000202058us-gaap:CorporateNonSegmentMember2022-01-012022-07-010000202058us-gaap:CorporateNonSegmentMember2021-01-022021-07-020000202058us-gaap:Operatin</w:t>
      </w:r>
      <w:r>
        <w:rPr>
          <w:rFonts w:eastAsia="Times New Roman"/>
          <w:vanish/>
        </w:rPr>
        <w:t>gSegmentsMember2022-04-022022-07-010000202058us-gaap:OperatingSegmentsMember2021-04-032021-07-020000202058us-gaap:OperatingSegmentsMember2022-01-012022-07-010000202058us-gaap:OperatingSegmentsMember2021-01-022021-07-020000202058us-gaap:IntellectualProperty</w:t>
      </w:r>
      <w:r>
        <w:rPr>
          <w:rFonts w:eastAsia="Times New Roman"/>
          <w:vanish/>
        </w:rPr>
        <w:t>Member2022-04-022022-07-010000202058us-gaap:IntellectualPropertyMember2022-01-012022-07-010000202058hrs:IntegratedMissionSystemsMemberus-gaap:TransferredOverTimeMemberus-gaap:SalesChannelDirectlyToConsumerMember2022-04-022022-07-010000202058us-gaap:Transfe</w:t>
      </w:r>
      <w:r>
        <w:rPr>
          <w:rFonts w:eastAsia="Times New Roman"/>
          <w:vanish/>
        </w:rPr>
        <w:t>rredOverTimeMemberhrs:SpaceandAirborneSystemsMemberus-gaap:SalesChannelDirectlyToConsumerMember2022-04-022022-07-010000202058hrs:CommunicationSystemsMemberus-gaap:SalesChannelDirectlyToConsumerMemberus-gaap:TransferredAtPointInTimeMember2022-04-022022-07-0</w:t>
      </w:r>
      <w:r>
        <w:rPr>
          <w:rFonts w:eastAsia="Times New Roman"/>
          <w:vanish/>
        </w:rPr>
        <w:t>10000202058hrs:IntegratedMissionSystemsMemberus-gaap:TransferredOverTimeMemberus-gaap:SalesChannelDirectlyToConsumerMember2021-04-032021-07-020000202058us-gaap:TransferredOverTimeMemberhrs:SpaceandAirborneSystemsMemberus-gaap:SalesChannelDirectlyToConsumer</w:t>
      </w:r>
      <w:r>
        <w:rPr>
          <w:rFonts w:eastAsia="Times New Roman"/>
          <w:vanish/>
        </w:rPr>
        <w:t>Member2021-04-032021-07-020000202058hrs:CommunicationSystemsMemberus-gaap:SalesChannelDirectlyToConsumerMemberus-gaap:TransferredAtPointInTimeMember2021-04-032021-07-020000202058us-gaap:SalesChannelThroughIntermediaryMemberhrs:IntegratedMissionSystemsMembe</w:t>
      </w:r>
      <w:r>
        <w:rPr>
          <w:rFonts w:eastAsia="Times New Roman"/>
          <w:vanish/>
        </w:rPr>
        <w:t>rus-gaap:TransferredOverTimeMember2022-04-022022-07-010000202058us-gaap:SalesChannelThroughIntermediaryMemberus-gaap:TransferredOverTimeMemberhrs:SpaceandAirborneSystemsMember2022-04-022022-07-010000202058us-gaap:SalesChannelThroughIntermediaryMemberhrs:Co</w:t>
      </w:r>
      <w:r>
        <w:rPr>
          <w:rFonts w:eastAsia="Times New Roman"/>
          <w:vanish/>
        </w:rPr>
        <w:t>mmunicationSystemsMemberus-gaap:TransferredAtPointInTimeMember2022-04-022022-07-010000202058us-gaap:SalesChannelThroughIntermediaryMemberhrs:IntegratedMissionSystemsMemberus-gaap:TransferredOverTimeMember2021-04-032021-07-020000202058us-gaap:SalesChannelTh</w:t>
      </w:r>
      <w:r>
        <w:rPr>
          <w:rFonts w:eastAsia="Times New Roman"/>
          <w:vanish/>
        </w:rPr>
        <w:t>roughIntermediaryMemberus-gaap:TransferredOverTimeMemberhrs:SpaceandAirborneSystemsMember2021-04-032021-07-020000202058us-gaap:SalesChannelThroughIntermediaryMemberhrs:CommunicationSystemsMemberus-gaap:TransferredAtPointInTimeMember2021-04-032021-07-020000</w:t>
      </w:r>
      <w:r>
        <w:rPr>
          <w:rFonts w:eastAsia="Times New Roman"/>
          <w:vanish/>
        </w:rPr>
        <w:t>202058us-gaap:IntersegmentEliminationMemberhrs:IntegratedMissionSystemsMemberus-gaap:TransferredOverTimeMember2022-04-022022-07-010000202058us-gaap:IntersegmentEliminationMemberus-gaap:TransferredOverTimeMemberhrs:SpaceandAirborneSystemsMember2022-04-02202</w:t>
      </w:r>
      <w:r>
        <w:rPr>
          <w:rFonts w:eastAsia="Times New Roman"/>
          <w:vanish/>
        </w:rPr>
        <w:t>2-07-010000202058us-gaap:IntersegmentEliminationMemberhrs:CommunicationSystemsMemberus-gaap:TransferredAtPointInTimeMember2022-04-022022-07-010000202058us-gaap:IntersegmentEliminationMemberhrs:IntegratedMissionSystemsMemberus-gaap:TransferredOverTimeMember</w:t>
      </w:r>
      <w:r>
        <w:rPr>
          <w:rFonts w:eastAsia="Times New Roman"/>
          <w:vanish/>
        </w:rPr>
        <w:t>2021-04-032021-07-020000202058us-gaap:IntersegmentEliminationMemberus-gaap:TransferredOverTimeMemberhrs:SpaceandAirborneSystemsMember2021-04-032021-07-020000202058us-gaap:IntersegmentEliminationMemberhrs:CommunicationSystemsMemberus-gaap:TransferredAtPoint</w:t>
      </w:r>
      <w:r>
        <w:rPr>
          <w:rFonts w:eastAsia="Times New Roman"/>
          <w:vanish/>
        </w:rPr>
        <w:t>InTimeMember2021-04-032021-07-020000202058hrs:IntegratedMissionSystemsMemberus-gaap:TransferredOverTimeMember2022-04-022022-07-010000202058us-gaap:TransferredOverTimeMemberhrs:SpaceandAirborneSystemsMember2022-04-022022-07-010000202058hrs:CommunicationSyst</w:t>
      </w:r>
      <w:r>
        <w:rPr>
          <w:rFonts w:eastAsia="Times New Roman"/>
          <w:vanish/>
        </w:rPr>
        <w:t>emsMemberus-gaap:TransferredAtPointInTimeMember2022-04-022022-07-010000202058hrs:IntegratedMissionSystemsMemberus-gaap:TransferredOverTimeMember2021-04-032021-07-020000202058us-gaap:TransferredOverTimeMemberhrs:SpaceandAirborneSystemsMember2021-04-032021-0</w:t>
      </w:r>
      <w:r>
        <w:rPr>
          <w:rFonts w:eastAsia="Times New Roman"/>
          <w:vanish/>
        </w:rPr>
        <w:t>7-020000202058hrs:CommunicationSystemsMemberus-gaap:TransferredAtPointInTimeMember2021-04-032021-07-020000202058us-gaap:FixedPriceContractMemberhrs:IntegratedMissionSystemsMemberus-gaap:TransferredOverTimeMember2022-04-022022-07-010000202058us-gaap:FixedPr</w:t>
      </w:r>
      <w:r>
        <w:rPr>
          <w:rFonts w:eastAsia="Times New Roman"/>
          <w:vanish/>
        </w:rPr>
        <w:t>iceContractMemberus-gaap:TransferredOverTimeMemberhrs:SpaceandAirborneSystemsMember2022-04-022022-07-010000202058us-gaap:FixedPriceContractMemberhrs:CommunicationSystemsMemberus-gaap:TransferredAtPointInTimeMember2022-04-022022-07-010000202058us-gaap:Fixed</w:t>
      </w:r>
      <w:r>
        <w:rPr>
          <w:rFonts w:eastAsia="Times New Roman"/>
          <w:vanish/>
        </w:rPr>
        <w:t>PriceContractMemberhrs:IntegratedMissionSystemsMemberus-gaap:TransferredOverTimeMember2021-04-032021-07-020000202058us-gaap:FixedPriceContractMemberus-gaap:TransferredOverTimeMemberhrs:SpaceandAirborneSystemsMember2021-04-032021-07-020000202058us-gaap:Fixe</w:t>
      </w:r>
      <w:r>
        <w:rPr>
          <w:rFonts w:eastAsia="Times New Roman"/>
          <w:vanish/>
        </w:rPr>
        <w:t>dPriceContractMemberhrs:CommunicationSystemsMemberus-gaap:TransferredAtPointInTimeMember2021-04-032021-07-020000202058hrs:IntegratedMissionSystemsMemberus-gaap:TransferredOverTimeMemberhrs:CostreimbursableMember2022-04-022022-07-010000202058us-gaap:Transfe</w:t>
      </w:r>
      <w:r>
        <w:rPr>
          <w:rFonts w:eastAsia="Times New Roman"/>
          <w:vanish/>
        </w:rPr>
        <w:t>rredOverTimeMemberhrs:SpaceandAirborneSystemsMemberhrs:CostreimbursableMember2022-04-022022-07-010000202058hrs:CommunicationSystemsMemberhrs:CostreimbursableMemberus-gaap:TransferredAtPointInTimeMember2022-04-022022-07-010000202058hrs:IntegratedMissionSyst</w:t>
      </w:r>
      <w:r>
        <w:rPr>
          <w:rFonts w:eastAsia="Times New Roman"/>
          <w:vanish/>
        </w:rPr>
        <w:t>emsMemberus-gaap:TransferredOverTimeMemberhrs:CostreimbursableMember2021-04-032021-07-020000202058us-gaap:TransferredOverTimeMemberhrs:SpaceandAirborneSystemsMemberhrs:CostreimbursableMember2021-04-032021-07-020000202058hrs:CommunicationSystemsMemberhrs:Co</w:t>
      </w:r>
      <w:r>
        <w:rPr>
          <w:rFonts w:eastAsia="Times New Roman"/>
          <w:vanish/>
        </w:rPr>
        <w:t>streimbursableMemberus-gaap:TransferredAtPointInTimeMember2021-04-032021-07-020000202058country:UShrs:IntegratedMissionSystemsMemberus-gaap:TransferredOverTimeMember2022-04-022022-07-010000202058country:USus-gaap:TransferredOverTimeMemberhrs:SpaceandAirbor</w:t>
      </w:r>
      <w:r>
        <w:rPr>
          <w:rFonts w:eastAsia="Times New Roman"/>
          <w:vanish/>
        </w:rPr>
        <w:t>neSystemsMember2022-04-022022-07-010000202058country:UShrs:CommunicationSystemsMemberus-gaap:TransferredAtPointInTimeMember2022-04-022022-07-010000202058country:UShrs:IntegratedMissionSystemsMemberus-gaap:TransferredOverTimeMember2021-04-032021-07-02000020</w:t>
      </w:r>
      <w:r>
        <w:rPr>
          <w:rFonts w:eastAsia="Times New Roman"/>
          <w:vanish/>
        </w:rPr>
        <w:t>2058country:USus-gaap:TransferredOverTimeMemberhrs:SpaceandAirborneSystemsMember2021-04-032021-07-020000202058country:UShrs:CommunicationSystemsMemberus-gaap:TransferredAtPointInTimeMember2021-04-032021-07-020000202058hrs:IntegratedMissionSystemsMemberus-g</w:t>
      </w:r>
      <w:r>
        <w:rPr>
          <w:rFonts w:eastAsia="Times New Roman"/>
          <w:vanish/>
        </w:rPr>
        <w:t>aap:TransferredOverTimeMemberus-gaap:NonUsMember2022-04-022022-07-010000202058us-gaap:TransferredOverTimeMemberhrs:SpaceandAirborneSystemsMemberus-gaap:NonUsMember2022-04-022022-07-010000202058hrs:CommunicationSystemsMemberus-gaap:NonUsMemberus-gaap:Transf</w:t>
      </w:r>
      <w:r>
        <w:rPr>
          <w:rFonts w:eastAsia="Times New Roman"/>
          <w:vanish/>
        </w:rPr>
        <w:t>erredAtPointInTimeMember2022-04-022022-07-010000202058hrs:IntegratedMissionSystemsMemberus-gaap:TransferredOverTimeMemberus-gaap:NonUsMember2021-04-032021-07-020000202058us-gaap:TransferredOverTimeMemberhrs:SpaceandAirborneSystemsMemberus-gaap:NonUsMember2</w:t>
      </w:r>
      <w:r>
        <w:rPr>
          <w:rFonts w:eastAsia="Times New Roman"/>
          <w:vanish/>
        </w:rPr>
        <w:t>021-04-032021-07-020000202058hrs:CommunicationSystemsMemberus-gaap:NonUsMemberus-gaap:TransferredAtPointInTimeMember2021-04-032021-07-020000202058hrs:IntegratedMissionSystemsMemberus-gaap:TransferredOverTimeMemberus-gaap:SalesChannelDirectlyToConsumerMembe</w:t>
      </w:r>
      <w:r>
        <w:rPr>
          <w:rFonts w:eastAsia="Times New Roman"/>
          <w:vanish/>
        </w:rPr>
        <w:t>r2022-01-012022-07-010000202058us-gaap:TransferredOverTimeMemberhrs:SpaceandAirborneSystemsMemberus-gaap:SalesChannelDirectlyToConsumerMember2022-01-012022-07-010000202058hrs:CommunicationSystemsMemberus-gaap:SalesChannelDirectlyToConsumerMemberus-gaap:Tra</w:t>
      </w:r>
      <w:r>
        <w:rPr>
          <w:rFonts w:eastAsia="Times New Roman"/>
          <w:vanish/>
        </w:rPr>
        <w:t>nsferredAtPointInTimeMember2022-01-012022-07-010000202058hrs:IntegratedMissionSystemsMemberus-gaap:TransferredOverTimeMemberus-gaap:SalesChannelDirectlyToConsumerMember2021-01-022021-07-020000202058us-gaap:TransferredOverTimeMemberhrs:SpaceandAirborneSyste</w:t>
      </w:r>
      <w:r>
        <w:rPr>
          <w:rFonts w:eastAsia="Times New Roman"/>
          <w:vanish/>
        </w:rPr>
        <w:t>msMemberus-gaap:SalesChannelDirectlyToConsumerMember2021-01-022021-07-020000202058hrs:CommunicationSystemsMemberus-gaap:SalesChannelDirectlyToConsumerMemberus-gaap:TransferredAtPointInTimeMember2021-01-022021-07-020000202058us-gaap:SalesChannelThroughInter</w:t>
      </w:r>
      <w:r>
        <w:rPr>
          <w:rFonts w:eastAsia="Times New Roman"/>
          <w:vanish/>
        </w:rPr>
        <w:t>mediaryMemberhrs:IntegratedMissionSystemsMemberus-gaap:TransferredOverTimeMember2022-01-012022-07-010000202058us-gaap:SalesChannelThroughIntermediaryMemberus-gaap:TransferredOverTimeMemberhrs:SpaceandAirborneSystemsMember2022-01-012022-07-010000202058us-ga</w:t>
      </w:r>
      <w:r>
        <w:rPr>
          <w:rFonts w:eastAsia="Times New Roman"/>
          <w:vanish/>
        </w:rPr>
        <w:t>ap:SalesChannelThroughIntermediaryMemberhrs:CommunicationSystemsMemberus-gaap:TransferredAtPointInTimeMember2022-01-012022-07-010000202058us-gaap:SalesChannelThroughIntermediaryMemberhrs:IntegratedMissionSystemsMemberus-gaap:TransferredOverTimeMember2021-0</w:t>
      </w:r>
      <w:r>
        <w:rPr>
          <w:rFonts w:eastAsia="Times New Roman"/>
          <w:vanish/>
        </w:rPr>
        <w:t>1-022021-07-020000202058us-gaap:SalesChannelThroughIntermediaryMemberus-gaap:TransferredOverTimeMemberhrs:SpaceandAirborneSystemsMember2021-01-022021-07-020000202058us-gaap:SalesChannelThroughIntermediaryMemberhrs:CommunicationSystemsMemberus-gaap:Transfer</w:t>
      </w:r>
      <w:r>
        <w:rPr>
          <w:rFonts w:eastAsia="Times New Roman"/>
          <w:vanish/>
        </w:rPr>
        <w:t>redAtPointInTimeMember2021-01-022021-07-020000202058us-gaap:IntersegmentEliminationMemberhrs:IntegratedMissionSystemsMemberus-gaap:TransferredOverTimeMember2022-01-012022-07-010000202058us-gaap:IntersegmentEliminationMemberus-gaap:TransferredOverTimeMember</w:t>
      </w:r>
      <w:r>
        <w:rPr>
          <w:rFonts w:eastAsia="Times New Roman"/>
          <w:vanish/>
        </w:rPr>
        <w:t>hrs:SpaceandAirborneSystemsMember2022-01-012022-07-010000202058us-gaap:IntersegmentEliminationMemberhrs:CommunicationSystemsMemberus-gaap:TransferredAtPointInTimeMember2022-01-012022-07-010000202058us-gaap:IntersegmentEliminationMemberhrs:IntegratedMission</w:t>
      </w:r>
      <w:r>
        <w:rPr>
          <w:rFonts w:eastAsia="Times New Roman"/>
          <w:vanish/>
        </w:rPr>
        <w:t>SystemsMemberus-gaap:TransferredOverTimeMember2021-01-022021-07-020000202058us-gaap:IntersegmentEliminationMemberus-gaap:TransferredOverTimeMemberhrs:SpaceandAirborneSystemsMember2021-01-022021-07-020000202058us-gaap:IntersegmentEliminationMemberhrs:Commun</w:t>
      </w:r>
      <w:r>
        <w:rPr>
          <w:rFonts w:eastAsia="Times New Roman"/>
          <w:vanish/>
        </w:rPr>
        <w:t>icationSystemsMemberus-gaap:TransferredAtPointInTimeMember2021-01-022021-07-020000202058hrs:IntegratedMissionSystemsMemberus-gaap:TransferredOverTimeMember2022-01-012022-07-010000202058us-gaap:TransferredOverTimeMemberhrs:SpaceandAirborneSystemsMember2022-</w:t>
      </w:r>
      <w:r>
        <w:rPr>
          <w:rFonts w:eastAsia="Times New Roman"/>
          <w:vanish/>
        </w:rPr>
        <w:t>01-012022-07-010000202058hrs:CommunicationSystemsMemberus-gaap:TransferredAtPointInTimeMember2022-01-012022-07-010000202058hrs:IntegratedMissionSystemsMemberus-gaap:TransferredOverTimeMember2021-01-022021-07-020000202058us-gaap:TransferredOverTimeMemberhrs</w:t>
      </w:r>
      <w:r>
        <w:rPr>
          <w:rFonts w:eastAsia="Times New Roman"/>
          <w:vanish/>
        </w:rPr>
        <w:t>:SpaceandAirborneSystemsMember2021-01-022021-07-020000202058hrs:CommunicationSystemsMemberus-gaap:TransferredAtPointInTimeMember2021-01-022021-07-020000202058us-gaap:FixedPriceContractMemberhrs:IntegratedMissionSystemsMemberus-gaap:TransferredOverTimeMembe</w:t>
      </w:r>
      <w:r>
        <w:rPr>
          <w:rFonts w:eastAsia="Times New Roman"/>
          <w:vanish/>
        </w:rPr>
        <w:t>r2022-01-012022-07-010000202058us-gaap:FixedPriceContractMemberus-gaap:TransferredOverTimeMemberhrs:SpaceandAirborneSystemsMember2022-01-012022-07-010000202058us-gaap:FixedPriceContractMemberhrs:CommunicationSystemsMemberus-gaap:TransferredAtPointInTimeMem</w:t>
      </w:r>
      <w:r>
        <w:rPr>
          <w:rFonts w:eastAsia="Times New Roman"/>
          <w:vanish/>
        </w:rPr>
        <w:t>ber2022-01-012022-07-010000202058us-gaap:FixedPriceContractMemberhrs:IntegratedMissionSystemsMemberus-gaap:TransferredOverTimeMember2021-01-022021-07-020000202058us-gaap:FixedPriceContractMemberus-gaap:TransferredOverTimeMemberhrs:SpaceandAirborneSystemsMe</w:t>
      </w:r>
      <w:r>
        <w:rPr>
          <w:rFonts w:eastAsia="Times New Roman"/>
          <w:vanish/>
        </w:rPr>
        <w:t>mber2021-01-022021-07-020000202058us-gaap:FixedPriceContractMemberhrs:CommunicationSystemsMemberus-gaap:TransferredAtPointInTimeMember2021-01-022021-07-020000202058hrs:IntegratedMissionSystemsMemberus-gaap:TransferredOverTimeMemberhrs:CostreimbursableMembe</w:t>
      </w:r>
      <w:r>
        <w:rPr>
          <w:rFonts w:eastAsia="Times New Roman"/>
          <w:vanish/>
        </w:rPr>
        <w:t>r2022-01-012022-07-010000202058us-gaap:TransferredOverTimeMemberhrs:SpaceandAirborneSystemsMemberhrs:CostreimbursableMember2022-01-012022-07-010000202058hrs:CommunicationSystemsMemberhrs:CostreimbursableMemberus-gaap:TransferredAtPointInTimeMember2022-01-0</w:t>
      </w:r>
      <w:r>
        <w:rPr>
          <w:rFonts w:eastAsia="Times New Roman"/>
          <w:vanish/>
        </w:rPr>
        <w:t>12022-07-010000202058hrs:IntegratedMissionSystemsMemberus-gaap:TransferredOverTimeMemberhrs:CostreimbursableMember2021-01-022021-07-020000202058us-gaap:TransferredOverTimeMemberhrs:SpaceandAirborneSystemsMemberhrs:CostreimbursableMember2021-01-022021-07-02</w:t>
      </w:r>
      <w:r>
        <w:rPr>
          <w:rFonts w:eastAsia="Times New Roman"/>
          <w:vanish/>
        </w:rPr>
        <w:t>0000202058hrs:CommunicationSystemsMemberhrs:CostreimbursableMemberus-gaap:TransferredAtPointInTimeMember2021-01-022021-07-020000202058country:UShrs:IntegratedMissionSystemsMemberus-gaap:TransferredOverTimeMember2022-01-012022-07-010000202058country:USus-ga</w:t>
      </w:r>
      <w:r>
        <w:rPr>
          <w:rFonts w:eastAsia="Times New Roman"/>
          <w:vanish/>
        </w:rPr>
        <w:t>ap:TransferredOverTimeMemberhrs:SpaceandAirborneSystemsMember2022-01-012022-07-010000202058country:UShrs:CommunicationSystemsMemberus-gaap:TransferredAtPointInTimeMember2022-01-012022-07-010000202058country:UShrs:IntegratedMissionSystemsMemberus-gaap:Trans</w:t>
      </w:r>
      <w:r>
        <w:rPr>
          <w:rFonts w:eastAsia="Times New Roman"/>
          <w:vanish/>
        </w:rPr>
        <w:t>ferredOverTimeMember2021-01-022021-07-020000202058country:USus-gaap:TransferredOverTimeMemberhrs:SpaceandAirborneSystemsMember2021-01-022021-07-020000202058country:UShrs:CommunicationSystemsMemberus-gaap:TransferredAtPointInTimeMember2021-01-022021-07-0200</w:t>
      </w:r>
      <w:r>
        <w:rPr>
          <w:rFonts w:eastAsia="Times New Roman"/>
          <w:vanish/>
        </w:rPr>
        <w:t>00202058hrs:IntegratedMissionSystemsMemberus-gaap:TransferredOverTimeMemberus-gaap:NonUsMember2022-01-012022-07-010000202058us-gaap:TransferredOverTimeMemberhrs:SpaceandAirborneSystemsMemberus-gaap:NonUsMember2022-01-012022-07-010000202058hrs:Communication</w:t>
      </w:r>
      <w:r>
        <w:rPr>
          <w:rFonts w:eastAsia="Times New Roman"/>
          <w:vanish/>
        </w:rPr>
        <w:t>SystemsMemberus-gaap:NonUsMemberus-gaap:TransferredAtPointInTimeMember2022-01-012022-07-010000202058hrs:IntegratedMissionSystemsMemberus-gaap:TransferredOverTimeMemberus-gaap:NonUsMember2021-01-022021-07-020000202058us-gaap:TransferredOverTimeMemberhrs:Spa</w:t>
      </w:r>
      <w:r>
        <w:rPr>
          <w:rFonts w:eastAsia="Times New Roman"/>
          <w:vanish/>
        </w:rPr>
        <w:t>ceandAirborneSystemsMemberus-gaap:NonUsMember2021-01-022021-07-020000202058hrs:CommunicationSystemsMemberus-gaap:NonUsMemberus-gaap:TransferredAtPointInTimeMember2021-01-022021-07-020000202058us-gaap:OperatingSegmentsMemberhrs:IntegratedMissionSystemsMembe</w:t>
      </w:r>
      <w:r>
        <w:rPr>
          <w:rFonts w:eastAsia="Times New Roman"/>
          <w:vanish/>
        </w:rPr>
        <w:t>r2022-07-010000202058us-gaap:OperatingSegmentsMemberhrs:IntegratedMissionSystemsMember2021-12-310000202058us-gaap:OperatingSegmentsMemberhrs:SpaceandAirborneSystemsMember2022-07-010000202058us-gaap:OperatingSegmentsMemberhrs:SpaceandAirborneSystemsMember20</w:t>
      </w:r>
      <w:r>
        <w:rPr>
          <w:rFonts w:eastAsia="Times New Roman"/>
          <w:vanish/>
        </w:rPr>
        <w:t>21-12-310000202058us-gaap:OperatingSegmentsMemberhrs:CommunicationSystemsMember2022-07-010000202058us-gaap:OperatingSegmentsMemberhrs:CommunicationSystemsMember2021-12-310000202058us-gaap:MaterialReconcilingItemsMember2022-07-010000202058us-gaap:MaterialRe</w:t>
      </w:r>
      <w:r>
        <w:rPr>
          <w:rFonts w:eastAsia="Times New Roman"/>
          <w:vanish/>
        </w:rPr>
        <w:t>concilingItemsMember2021-12-310000202058us-gaap:CorporateNonSegmentMember2022-07-010000202058us-gaap:CorporateNonSegmentMember2021-12-310000202058hrs:PassaicRiverAlaskaMemberhrs:ExelisMember2016-03-012016-03-31hrs:responsible_party0000202058hrs:PassaicRive</w:t>
      </w:r>
      <w:r>
        <w:rPr>
          <w:rFonts w:eastAsia="Times New Roman"/>
          <w:vanish/>
        </w:rPr>
        <w:t>rAlaskaMemberhrs:ExelisMember2022-01-012022-07-010000202058hrs:PassaicRiverAlaskaMemberhrs:ExelisMember2021-10-022021-12-31</w:t>
      </w:r>
    </w:p>
    <w:p w:rsidR="00000000" w:rsidRDefault="00E16B33">
      <w:pPr>
        <w:ind w:firstLine="360"/>
        <w:jc w:val="center"/>
        <w:divId w:val="1902251905"/>
        <w:rPr>
          <w:rFonts w:eastAsia="Times New Roman"/>
        </w:rPr>
      </w:pPr>
    </w:p>
    <w:p w:rsidR="00000000" w:rsidRDefault="00E16B33">
      <w:pPr>
        <w:ind w:firstLine="360"/>
        <w:jc w:val="center"/>
        <w:divId w:val="1309554014"/>
        <w:rPr>
          <w:rFonts w:eastAsia="Times New Roman"/>
        </w:rPr>
      </w:pPr>
    </w:p>
    <w:p w:rsidR="00000000" w:rsidRDefault="00E16B33">
      <w:pPr>
        <w:ind w:firstLine="360"/>
        <w:jc w:val="center"/>
        <w:divId w:val="1907910591"/>
        <w:rPr>
          <w:rFonts w:eastAsia="Times New Roman"/>
        </w:rPr>
      </w:pPr>
    </w:p>
    <w:p w:rsidR="00000000" w:rsidRDefault="00E16B33">
      <w:pPr>
        <w:ind w:firstLine="360"/>
        <w:jc w:val="center"/>
        <w:divId w:val="719741585"/>
        <w:rPr>
          <w:rFonts w:eastAsia="Times New Roman"/>
        </w:rPr>
      </w:pPr>
    </w:p>
    <w:p w:rsidR="00000000" w:rsidRDefault="00E16B33">
      <w:pPr>
        <w:ind w:firstLine="360"/>
        <w:jc w:val="center"/>
        <w:rPr>
          <w:rFonts w:eastAsia="Times New Roman"/>
        </w:rPr>
      </w:pPr>
    </w:p>
    <w:p w:rsidR="00000000" w:rsidRDefault="00E16B33">
      <w:pPr>
        <w:ind w:firstLine="360"/>
        <w:jc w:val="center"/>
        <w:rPr>
          <w:rFonts w:eastAsia="Times New Roman"/>
        </w:rPr>
      </w:pPr>
    </w:p>
    <w:p w:rsidR="00000000" w:rsidRDefault="00E16B33">
      <w:pPr>
        <w:ind w:firstLine="36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16B33">
      <w:pPr>
        <w:ind w:firstLine="360"/>
        <w:jc w:val="center"/>
        <w:divId w:val="1677464889"/>
        <w:rPr>
          <w:rFonts w:eastAsia="Times New Roman"/>
        </w:rPr>
      </w:pPr>
      <w:r>
        <w:rPr>
          <w:rFonts w:eastAsia="Times New Roman"/>
          <w:b/>
          <w:bCs/>
          <w:color w:val="000000"/>
          <w:sz w:val="32"/>
          <w:szCs w:val="32"/>
        </w:rPr>
        <w:t>UNITED STATES</w:t>
      </w:r>
    </w:p>
    <w:p w:rsidR="00000000" w:rsidRDefault="00E16B33">
      <w:pPr>
        <w:ind w:firstLine="360"/>
        <w:jc w:val="center"/>
        <w:divId w:val="754400458"/>
        <w:rPr>
          <w:rFonts w:eastAsia="Times New Roman"/>
        </w:rPr>
      </w:pPr>
      <w:r>
        <w:rPr>
          <w:rFonts w:eastAsia="Times New Roman"/>
          <w:b/>
          <w:bCs/>
          <w:color w:val="000000"/>
          <w:sz w:val="32"/>
          <w:szCs w:val="32"/>
        </w:rPr>
        <w:t>SECURITIES AND EXCHANGE COMMISSION</w:t>
      </w:r>
    </w:p>
    <w:p w:rsidR="00000000" w:rsidRDefault="00E16B33">
      <w:pPr>
        <w:ind w:firstLine="360"/>
        <w:jc w:val="center"/>
        <w:divId w:val="796874294"/>
        <w:rPr>
          <w:rFonts w:eastAsia="Times New Roman"/>
        </w:rPr>
      </w:pPr>
      <w:r>
        <w:rPr>
          <w:rFonts w:eastAsia="Times New Roman"/>
          <w:b/>
          <w:bCs/>
          <w:color w:val="000000"/>
        </w:rPr>
        <w:t>Washington, D.C. 20549</w:t>
      </w:r>
    </w:p>
    <w:p w:rsidR="00000000" w:rsidRDefault="00E16B33">
      <w:pPr>
        <w:ind w:firstLine="360"/>
        <w:jc w:val="center"/>
        <w:divId w:val="1884904590"/>
        <w:rPr>
          <w:rFonts w:eastAsia="Times New Roman"/>
        </w:rPr>
      </w:pPr>
      <w:r>
        <w:rPr>
          <w:rFonts w:eastAsia="Times New Roman"/>
          <w:b/>
          <w:bCs/>
          <w:color w:val="000000"/>
          <w:sz w:val="32"/>
          <w:szCs w:val="32"/>
        </w:rPr>
        <w:t>FORM 10-Q</w:t>
      </w:r>
    </w:p>
    <w:p w:rsidR="00000000" w:rsidRDefault="00E16B33">
      <w:pPr>
        <w:ind w:firstLine="360"/>
        <w:divId w:val="1468741879"/>
        <w:rPr>
          <w:rFonts w:eastAsia="Times New Roman"/>
        </w:rPr>
      </w:pPr>
      <w:r>
        <w:rPr>
          <w:rFonts w:eastAsia="Times New Roman"/>
          <w:b/>
          <w:bCs/>
          <w:color w:val="000000"/>
          <w:sz w:val="16"/>
          <w:szCs w:val="16"/>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8"/>
        <w:gridCol w:w="36"/>
      </w:tblGrid>
      <w:tr w:rsidR="00000000">
        <w:trPr>
          <w:divId w:val="815756775"/>
          <w:jc w:val="center"/>
        </w:trPr>
        <w:tc>
          <w:tcPr>
            <w:tcW w:w="50" w:type="pct"/>
            <w:vAlign w:val="center"/>
            <w:hideMark/>
          </w:tcPr>
          <w:p w:rsidR="00000000" w:rsidRDefault="00E16B33">
            <w:pPr>
              <w:ind w:firstLine="360"/>
              <w:rPr>
                <w:rFonts w:eastAsia="Times New Roman"/>
              </w:rPr>
            </w:pPr>
          </w:p>
        </w:tc>
        <w:tc>
          <w:tcPr>
            <w:tcW w:w="18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70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815756775"/>
          <w:jc w:val="center"/>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QUARTERLY REPORT PURSUANT TO SECTION </w:t>
            </w:r>
            <w:r>
              <w:rPr>
                <w:rFonts w:eastAsia="Times New Roman"/>
                <w:color w:val="000000"/>
                <w:sz w:val="20"/>
                <w:szCs w:val="20"/>
              </w:rPr>
              <w:t>13 OR 15(d) OF THE SECURITIES EXCHANGE ACT OF 1934</w:t>
            </w:r>
          </w:p>
        </w:tc>
      </w:tr>
    </w:tbl>
    <w:p w:rsidR="00000000" w:rsidRDefault="00E16B33">
      <w:pPr>
        <w:ind w:firstLine="360"/>
        <w:jc w:val="center"/>
        <w:divId w:val="1477340022"/>
        <w:rPr>
          <w:rFonts w:eastAsia="Times New Roman"/>
        </w:rPr>
      </w:pPr>
      <w:r>
        <w:rPr>
          <w:rFonts w:eastAsia="Times New Roman"/>
          <w:b/>
          <w:bCs/>
          <w:color w:val="000000"/>
          <w:sz w:val="20"/>
          <w:szCs w:val="20"/>
        </w:rPr>
        <w:t xml:space="preserve">For the quarterly period ended July 1, 2022 </w:t>
      </w:r>
    </w:p>
    <w:p w:rsidR="00000000" w:rsidRDefault="00E16B33">
      <w:pPr>
        <w:ind w:firstLine="360"/>
        <w:jc w:val="center"/>
        <w:divId w:val="1022976440"/>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trPr>
          <w:divId w:val="1118599519"/>
          <w:jc w:val="center"/>
        </w:trPr>
        <w:tc>
          <w:tcPr>
            <w:tcW w:w="50" w:type="pct"/>
            <w:vAlign w:val="center"/>
            <w:hideMark/>
          </w:tcPr>
          <w:p w:rsidR="00000000" w:rsidRDefault="00E16B33">
            <w:pPr>
              <w:ind w:firstLine="360"/>
              <w:jc w:val="center"/>
              <w:rPr>
                <w:rFonts w:eastAsia="Times New Roman"/>
              </w:rPr>
            </w:pPr>
          </w:p>
        </w:tc>
        <w:tc>
          <w:tcPr>
            <w:tcW w:w="18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70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118599519"/>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TRANSITION REPORT PURSUANT TO SECTION 13 OR 15(d) OF THE SECURITIES EXCHANGE ACT OF 1934</w:t>
            </w:r>
          </w:p>
        </w:tc>
      </w:tr>
      <w:tr w:rsidR="00000000">
        <w:trPr>
          <w:divId w:val="1118599519"/>
          <w:jc w:val="center"/>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20"/>
                <w:szCs w:val="20"/>
              </w:rPr>
              <w:t>For the transition period from _______________ to ______________</w:t>
            </w:r>
          </w:p>
        </w:tc>
      </w:tr>
    </w:tbl>
    <w:p w:rsidR="00000000" w:rsidRDefault="00E16B33">
      <w:pPr>
        <w:ind w:firstLine="360"/>
        <w:jc w:val="center"/>
        <w:divId w:val="1594166788"/>
        <w:rPr>
          <w:rFonts w:eastAsia="Times New Roman"/>
        </w:rPr>
      </w:pPr>
      <w:r>
        <w:rPr>
          <w:rFonts w:eastAsia="Times New Roman"/>
          <w:color w:val="000000"/>
          <w:sz w:val="20"/>
          <w:szCs w:val="20"/>
        </w:rPr>
        <w:t xml:space="preserve">Commission File Number 1-3863 </w:t>
      </w:r>
    </w:p>
    <w:p w:rsidR="00000000" w:rsidRDefault="00E16B33">
      <w:pPr>
        <w:ind w:firstLine="360"/>
        <w:jc w:val="center"/>
        <w:rPr>
          <w:rFonts w:eastAsia="Times New Roman"/>
        </w:rPr>
      </w:pPr>
      <w:r>
        <w:rPr>
          <w:rFonts w:eastAsia="Times New Roman"/>
          <w:b/>
          <w:bCs/>
          <w:color w:val="000000"/>
          <w:sz w:val="40"/>
          <w:szCs w:val="40"/>
        </w:rPr>
        <w:t xml:space="preserve">L3HARRIS TECHNOLOGIES, INC. </w:t>
      </w:r>
    </w:p>
    <w:p w:rsidR="00000000" w:rsidRDefault="00E16B33">
      <w:pPr>
        <w:ind w:firstLine="360"/>
        <w:jc w:val="center"/>
        <w:rPr>
          <w:rFonts w:eastAsia="Times New Roman"/>
        </w:rPr>
      </w:pPr>
      <w:r>
        <w:rPr>
          <w:rFonts w:eastAsia="Times New Roman"/>
          <w:color w:val="000000"/>
          <w:sz w:val="16"/>
          <w:szCs w:val="16"/>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09"/>
        <w:gridCol w:w="38"/>
        <w:gridCol w:w="67"/>
        <w:gridCol w:w="647"/>
        <w:gridCol w:w="36"/>
        <w:gridCol w:w="68"/>
        <w:gridCol w:w="1148"/>
        <w:gridCol w:w="36"/>
        <w:gridCol w:w="68"/>
        <w:gridCol w:w="2940"/>
        <w:gridCol w:w="37"/>
      </w:tblGrid>
      <w:tr w:rsidR="00000000">
        <w:trPr>
          <w:jc w:val="center"/>
        </w:trPr>
        <w:tc>
          <w:tcPr>
            <w:tcW w:w="50" w:type="pct"/>
            <w:vAlign w:val="center"/>
            <w:hideMark/>
          </w:tcPr>
          <w:p w:rsidR="00000000" w:rsidRDefault="00E16B33">
            <w:pPr>
              <w:ind w:firstLine="360"/>
              <w:jc w:val="center"/>
              <w:rPr>
                <w:rFonts w:eastAsia="Times New Roman"/>
              </w:rPr>
            </w:pPr>
          </w:p>
        </w:tc>
        <w:tc>
          <w:tcPr>
            <w:tcW w:w="185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0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7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80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E16B33">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16B33">
            <w:pPr>
              <w:spacing w:after="100"/>
              <w:jc w:val="center"/>
              <w:rPr>
                <w:rFonts w:eastAsia="Times New Roman"/>
              </w:rPr>
            </w:pPr>
            <w:r>
              <w:rPr>
                <w:rFonts w:eastAsia="Times New Roman"/>
                <w:b/>
                <w:bCs/>
                <w:color w:val="000000"/>
                <w:sz w:val="18"/>
                <w:szCs w:val="18"/>
              </w:rPr>
              <w:t>34-0276860</w:t>
            </w:r>
          </w:p>
        </w:tc>
      </w:tr>
      <w:tr w:rsidR="00000000">
        <w:trPr>
          <w:jc w:val="center"/>
        </w:trPr>
        <w:tc>
          <w:tcPr>
            <w:tcW w:w="0" w:type="auto"/>
            <w:gridSpan w:val="6"/>
            <w:tcMar>
              <w:top w:w="30" w:type="dxa"/>
              <w:left w:w="20" w:type="dxa"/>
              <w:bottom w:w="30" w:type="dxa"/>
              <w:right w:w="20" w:type="dxa"/>
            </w:tcMar>
            <w:hideMark/>
          </w:tcPr>
          <w:p w:rsidR="00000000" w:rsidRDefault="00E16B33">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16B33">
            <w:pPr>
              <w:spacing w:after="100"/>
              <w:jc w:val="center"/>
              <w:rPr>
                <w:rFonts w:eastAsia="Times New Roman"/>
              </w:rPr>
            </w:pPr>
            <w:r>
              <w:rPr>
                <w:rFonts w:eastAsia="Times New Roman"/>
                <w:color w:val="000000"/>
                <w:sz w:val="16"/>
                <w:szCs w:val="16"/>
              </w:rPr>
              <w:t>(I.R.S. Employer Identification No.)</w:t>
            </w:r>
          </w:p>
        </w:tc>
      </w:tr>
    </w:tbl>
    <w:p w:rsidR="00000000" w:rsidRDefault="00E16B33">
      <w:pPr>
        <w:ind w:firstLine="360"/>
        <w:divId w:val="1564170135"/>
        <w:rPr>
          <w:rFonts w:eastAsia="Times New Roman"/>
          <w:vanish/>
        </w:rPr>
      </w:pPr>
    </w:p>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trPr>
          <w:divId w:val="1564170135"/>
        </w:trPr>
        <w:tc>
          <w:tcPr>
            <w:tcW w:w="50" w:type="pct"/>
            <w:vAlign w:val="center"/>
            <w:hideMark/>
          </w:tcPr>
          <w:p w:rsidR="00000000" w:rsidRDefault="00E16B33">
            <w:pPr>
              <w:ind w:firstLine="360"/>
              <w:jc w:val="center"/>
              <w:rPr>
                <w:rFonts w:eastAsia="Times New Roman"/>
              </w:rPr>
            </w:pPr>
          </w:p>
        </w:tc>
        <w:tc>
          <w:tcPr>
            <w:tcW w:w="106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0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8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86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811"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564170135"/>
        </w:trPr>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564170135"/>
        </w:trPr>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8"/>
                <w:szCs w:val="18"/>
              </w:rPr>
              <w:t>32919</w:t>
            </w:r>
          </w:p>
        </w:tc>
      </w:tr>
      <w:tr w:rsidR="00000000">
        <w:trPr>
          <w:divId w:val="1564170135"/>
        </w:trPr>
        <w:tc>
          <w:tcPr>
            <w:tcW w:w="0" w:type="auto"/>
            <w:gridSpan w:val="9"/>
            <w:tcMar>
              <w:top w:w="30" w:type="dxa"/>
              <w:left w:w="20" w:type="dxa"/>
              <w:bottom w:w="30" w:type="dxa"/>
              <w:right w:w="20" w:type="dxa"/>
            </w:tcMar>
            <w:hideMark/>
          </w:tcPr>
          <w:p w:rsidR="00000000" w:rsidRDefault="00E16B33">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16B33">
            <w:pPr>
              <w:spacing w:after="100"/>
              <w:jc w:val="center"/>
              <w:rPr>
                <w:rFonts w:eastAsia="Times New Roman"/>
              </w:rPr>
            </w:pPr>
            <w:r>
              <w:rPr>
                <w:rFonts w:eastAsia="Times New Roman"/>
                <w:color w:val="000000"/>
                <w:sz w:val="16"/>
                <w:szCs w:val="16"/>
              </w:rPr>
              <w:t>(Zip Code)</w:t>
            </w:r>
          </w:p>
        </w:tc>
      </w:tr>
    </w:tbl>
    <w:p w:rsidR="00000000" w:rsidRDefault="00E16B33">
      <w:pPr>
        <w:ind w:firstLine="360"/>
        <w:jc w:val="center"/>
        <w:divId w:val="1683124567"/>
        <w:rPr>
          <w:rFonts w:eastAsia="Times New Roman"/>
        </w:rPr>
      </w:pPr>
      <w:r>
        <w:rPr>
          <w:rFonts w:eastAsia="Times New Roman"/>
          <w:b/>
          <w:bCs/>
          <w:color w:val="000000"/>
          <w:sz w:val="18"/>
          <w:szCs w:val="18"/>
        </w:rPr>
        <w:t xml:space="preserve">Registrant’s telephone number, including area code: (321) 727-9100 </w:t>
      </w:r>
    </w:p>
    <w:tbl>
      <w:tblPr>
        <w:tblW w:w="4892" w:type="pct"/>
        <w:jc w:val="center"/>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trPr>
          <w:jc w:val="center"/>
        </w:trPr>
        <w:tc>
          <w:tcPr>
            <w:tcW w:w="50" w:type="pct"/>
            <w:vAlign w:val="center"/>
            <w:hideMark/>
          </w:tcPr>
          <w:p w:rsidR="00000000" w:rsidRDefault="00E16B33">
            <w:pPr>
              <w:ind w:firstLine="360"/>
              <w:jc w:val="center"/>
              <w:rPr>
                <w:rFonts w:eastAsia="Times New Roman"/>
              </w:rPr>
            </w:pPr>
          </w:p>
        </w:tc>
        <w:tc>
          <w:tcPr>
            <w:tcW w:w="175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4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921"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4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75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Securities registered pursuant to Section 12(b) of the Act:</w:t>
            </w: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16"/>
                <w:szCs w:val="16"/>
              </w:rPr>
              <w:t>New York Stock Exchange</w:t>
            </w:r>
          </w:p>
        </w:tc>
      </w:tr>
    </w:tbl>
    <w:p w:rsidR="00000000" w:rsidRDefault="00E16B33">
      <w:pPr>
        <w:ind w:firstLine="360"/>
        <w:divId w:val="1303265868"/>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w:t>
      </w:r>
      <w:r>
        <w:rPr>
          <w:rFonts w:eastAsia="Times New Roman"/>
          <w:color w:val="000000"/>
          <w:sz w:val="20"/>
          <w:szCs w:val="20"/>
        </w:rPr>
        <w:t>              </w:t>
      </w:r>
      <w:r>
        <w:rPr>
          <w:rFonts w:ascii="Wingdings" w:eastAsia="Times New Roman" w:hAnsi="Wingdings"/>
          <w:color w:val="000000"/>
          <w:sz w:val="18"/>
          <w:szCs w:val="18"/>
        </w:rPr>
        <w:t>þ</w:t>
      </w:r>
      <w:r>
        <w:rPr>
          <w:rFonts w:eastAsia="Times New Roman"/>
          <w:color w:val="000000"/>
          <w:sz w:val="20"/>
          <w:szCs w:val="20"/>
        </w:rPr>
        <w:t> </w:t>
      </w:r>
      <w:r>
        <w:rPr>
          <w:rFonts w:eastAsia="Times New Roman"/>
          <w:color w:val="000000"/>
          <w:sz w:val="20"/>
          <w:szCs w:val="20"/>
        </w:rPr>
        <w:t xml:space="preserve">  Yes   </w:t>
      </w:r>
      <w:r>
        <w:rPr>
          <w:rFonts w:ascii="Wingdings" w:eastAsia="Times New Roman" w:hAnsi="Wingdings"/>
          <w:color w:val="000000"/>
          <w:sz w:val="18"/>
          <w:szCs w:val="18"/>
        </w:rPr>
        <w:t>o</w:t>
      </w:r>
      <w:r>
        <w:rPr>
          <w:rFonts w:eastAsia="Times New Roman"/>
          <w:color w:val="000000"/>
          <w:sz w:val="20"/>
          <w:szCs w:val="20"/>
        </w:rPr>
        <w:t>  No  </w:t>
      </w:r>
    </w:p>
    <w:p w:rsidR="00000000" w:rsidRDefault="00E16B33">
      <w:pPr>
        <w:ind w:firstLine="360"/>
        <w:divId w:val="1968046617"/>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w:t>
      </w:r>
      <w:r>
        <w:rPr>
          <w:rFonts w:eastAsia="Times New Roman"/>
          <w:color w:val="000000"/>
          <w:sz w:val="18"/>
          <w:szCs w:val="18"/>
        </w:rPr>
        <w:t>trant was required to submit such files).</w:t>
      </w:r>
      <w:r>
        <w:rPr>
          <w:rFonts w:eastAsia="Times New Roman"/>
          <w:color w:val="000000"/>
          <w:sz w:val="20"/>
          <w:szCs w:val="20"/>
        </w:rPr>
        <w:t>          </w:t>
      </w:r>
      <w:r>
        <w:rPr>
          <w:rFonts w:ascii="Wingdings" w:eastAsia="Times New Roman" w:hAnsi="Wingdings"/>
          <w:color w:val="000000"/>
          <w:sz w:val="18"/>
          <w:szCs w:val="18"/>
        </w:rPr>
        <w:t>þ</w:t>
      </w:r>
      <w:r>
        <w:rPr>
          <w:rFonts w:eastAsia="Times New Roman"/>
          <w:color w:val="000000"/>
          <w:sz w:val="18"/>
          <w:szCs w:val="18"/>
        </w:rPr>
        <w:t xml:space="preserve">  </w:t>
      </w:r>
      <w:r>
        <w:rPr>
          <w:rFonts w:eastAsia="Times New Roman"/>
          <w:color w:val="000000"/>
          <w:sz w:val="20"/>
          <w:szCs w:val="20"/>
        </w:rPr>
        <w:t> Yes   </w:t>
      </w:r>
      <w:r>
        <w:rPr>
          <w:rFonts w:ascii="Wingdings" w:eastAsia="Times New Roman" w:hAnsi="Wingdings"/>
          <w:color w:val="000000"/>
          <w:sz w:val="18"/>
          <w:szCs w:val="18"/>
        </w:rPr>
        <w:t>o</w:t>
      </w:r>
      <w:r>
        <w:rPr>
          <w:rFonts w:eastAsia="Times New Roman"/>
          <w:color w:val="000000"/>
          <w:sz w:val="18"/>
          <w:szCs w:val="18"/>
        </w:rPr>
        <w:t> </w:t>
      </w:r>
      <w:r>
        <w:rPr>
          <w:rFonts w:eastAsia="Times New Roman"/>
          <w:color w:val="000000"/>
          <w:sz w:val="20"/>
          <w:szCs w:val="20"/>
        </w:rPr>
        <w:t> No  </w:t>
      </w:r>
    </w:p>
    <w:p w:rsidR="00000000" w:rsidRDefault="00E16B33">
      <w:pPr>
        <w:ind w:firstLine="360"/>
        <w:divId w:val="145558140"/>
        <w:rPr>
          <w:rFonts w:eastAsia="Times New Roman"/>
        </w:rPr>
      </w:pPr>
      <w:r>
        <w:rPr>
          <w:rFonts w:eastAsia="Times New Roman"/>
          <w:color w:val="000000"/>
          <w:sz w:val="18"/>
          <w:szCs w:val="18"/>
        </w:rPr>
        <w:lastRenderedPageBreak/>
        <w:t>Indicate by check mark whether the registrant is a large accelerated filer, an accelerated filer, a non-accelerated filer, a smaller reporting company or an emerging growth company. See t</w:t>
      </w:r>
      <w:r>
        <w:rPr>
          <w:rFonts w:eastAsia="Times New Roman"/>
          <w:color w:val="000000"/>
          <w:sz w:val="18"/>
          <w:szCs w:val="18"/>
        </w:rPr>
        <w:t>he definitions of “large accelerated filer,” “accelerated filer,” “smaller reporting company” and “emerging growth company” in Rule 12b-2 of the Exchange Act.</w:t>
      </w:r>
    </w:p>
    <w:tbl>
      <w:tblPr>
        <w:tblW w:w="4920" w:type="pct"/>
        <w:tblCellMar>
          <w:top w:w="15" w:type="dxa"/>
          <w:left w:w="15" w:type="dxa"/>
          <w:bottom w:w="15" w:type="dxa"/>
          <w:right w:w="15" w:type="dxa"/>
        </w:tblCellMar>
        <w:tblLook w:val="04A0" w:firstRow="1" w:lastRow="0" w:firstColumn="1" w:lastColumn="0" w:noHBand="0" w:noVBand="1"/>
      </w:tblPr>
      <w:tblGrid>
        <w:gridCol w:w="41"/>
        <w:gridCol w:w="1582"/>
        <w:gridCol w:w="36"/>
        <w:gridCol w:w="36"/>
        <w:gridCol w:w="36"/>
        <w:gridCol w:w="36"/>
        <w:gridCol w:w="38"/>
        <w:gridCol w:w="3685"/>
        <w:gridCol w:w="36"/>
        <w:gridCol w:w="39"/>
        <w:gridCol w:w="138"/>
        <w:gridCol w:w="36"/>
        <w:gridCol w:w="87"/>
        <w:gridCol w:w="1915"/>
        <w:gridCol w:w="36"/>
        <w:gridCol w:w="36"/>
        <w:gridCol w:w="70"/>
        <w:gridCol w:w="36"/>
        <w:gridCol w:w="37"/>
        <w:gridCol w:w="181"/>
        <w:gridCol w:w="36"/>
      </w:tblGrid>
      <w:tr w:rsidR="00000000">
        <w:trPr>
          <w:divId w:val="1969388906"/>
        </w:trPr>
        <w:tc>
          <w:tcPr>
            <w:tcW w:w="50" w:type="pct"/>
            <w:vAlign w:val="center"/>
            <w:hideMark/>
          </w:tcPr>
          <w:p w:rsidR="00000000" w:rsidRDefault="00E16B33">
            <w:pPr>
              <w:ind w:firstLine="360"/>
              <w:rPr>
                <w:rFonts w:eastAsia="Times New Roman"/>
              </w:rPr>
            </w:pPr>
          </w:p>
        </w:tc>
        <w:tc>
          <w:tcPr>
            <w:tcW w:w="99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4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228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1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2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96938890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ascii="Segoe UI Symbol" w:eastAsia="Times New Roman" w:hAnsi="Segoe UI Symbol" w:cs="Segoe UI Symbol"/>
                <w:color w:val="000000"/>
                <w:sz w:val="18"/>
                <w:szCs w:val="18"/>
              </w:rPr>
              <w:t>☐</w:t>
            </w:r>
          </w:p>
        </w:tc>
      </w:tr>
      <w:tr w:rsidR="00000000">
        <w:trPr>
          <w:divId w:val="196938890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divId w:val="901793626"/>
              <w:rPr>
                <w:rFonts w:eastAsia="Times New Roman"/>
              </w:rPr>
            </w:pPr>
            <w:r>
              <w:rPr>
                <w:rFonts w:ascii="Wingdings" w:eastAsia="Times New Roman" w:hAnsi="Wingdings"/>
                <w:color w:val="000000"/>
                <w:sz w:val="18"/>
                <w:szCs w:val="18"/>
              </w:rPr>
              <w:t>¨</w:t>
            </w: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ascii="Segoe UI Symbol" w:eastAsia="Times New Roman" w:hAnsi="Segoe UI Symbol" w:cs="Segoe UI Symbol"/>
                <w:color w:val="000000"/>
                <w:sz w:val="18"/>
                <w:szCs w:val="18"/>
              </w:rPr>
              <w:t>☐</w:t>
            </w:r>
          </w:p>
        </w:tc>
      </w:tr>
      <w:tr w:rsidR="00000000">
        <w:trPr>
          <w:divId w:val="196938890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ascii="Segoe UI Symbol" w:eastAsia="Times New Roman" w:hAnsi="Segoe UI Symbol" w:cs="Segoe UI Symbol"/>
                <w:color w:val="000000"/>
                <w:sz w:val="18"/>
                <w:szCs w:val="18"/>
              </w:rPr>
              <w:t>☐</w:t>
            </w:r>
          </w:p>
        </w:tc>
      </w:tr>
    </w:tbl>
    <w:p w:rsidR="00000000" w:rsidRDefault="00E16B33">
      <w:pPr>
        <w:ind w:firstLine="360"/>
        <w:divId w:val="201537459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w:t>
      </w:r>
      <w:r>
        <w:rPr>
          <w:rFonts w:eastAsia="Times New Roman"/>
          <w:color w:val="000000"/>
          <w:sz w:val="18"/>
          <w:szCs w:val="18"/>
        </w:rPr>
        <w:t> </w:t>
      </w:r>
    </w:p>
    <w:p w:rsidR="00000000" w:rsidRDefault="00E16B33">
      <w:pPr>
        <w:ind w:firstLine="360"/>
        <w:divId w:val="51118667"/>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is a shell company (as defined in Rule 12b-2 of the Exchange Act).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Yes   </w:t>
      </w:r>
      <w:r>
        <w:rPr>
          <w:rFonts w:ascii="Wingdings" w:eastAsia="Times New Roman" w:hAnsi="Wingdings"/>
          <w:color w:val="000000"/>
          <w:sz w:val="18"/>
          <w:szCs w:val="18"/>
        </w:rPr>
        <w:t>þ</w:t>
      </w:r>
      <w:r>
        <w:rPr>
          <w:rFonts w:eastAsia="Times New Roman"/>
          <w:color w:val="000000"/>
          <w:sz w:val="20"/>
          <w:szCs w:val="20"/>
        </w:rPr>
        <w:t>  No  </w:t>
      </w:r>
    </w:p>
    <w:p w:rsidR="00000000" w:rsidRDefault="00E16B33">
      <w:pPr>
        <w:ind w:firstLine="360"/>
        <w:divId w:val="260380703"/>
        <w:rPr>
          <w:rFonts w:eastAsia="Times New Roman"/>
        </w:rPr>
      </w:pPr>
      <w:r>
        <w:rPr>
          <w:rFonts w:eastAsia="Times New Roman"/>
          <w:color w:val="000000"/>
          <w:sz w:val="18"/>
          <w:szCs w:val="18"/>
        </w:rPr>
        <w:t>The number of shares outstanding of the registrant’s common stock as of July 22, 2022 was 191,353,157.</w:t>
      </w:r>
    </w:p>
    <w:p w:rsidR="00000000" w:rsidRDefault="00E16B33">
      <w:pPr>
        <w:ind w:firstLine="360"/>
        <w:divId w:val="1623804862"/>
        <w:rPr>
          <w:rFonts w:eastAsia="Times New Roman"/>
        </w:rPr>
      </w:pPr>
    </w:p>
    <w:p w:rsidR="00000000" w:rsidRDefault="00E16B33">
      <w:pPr>
        <w:rPr>
          <w:rFonts w:eastAsia="Times New Roman"/>
        </w:rPr>
      </w:pPr>
      <w:r>
        <w:rPr>
          <w:rFonts w:eastAsia="Times New Roman"/>
        </w:rPr>
        <w:pict>
          <v:rect id="_x0000_i1026" style="width:0;height:1.5pt" o:hralign="center" o:hrstd="t" o:hr="t" fillcolor="#a0a0a0" stroked="f"/>
        </w:pict>
      </w:r>
    </w:p>
    <w:p w:rsidR="00000000" w:rsidRDefault="00E16B33">
      <w:pPr>
        <w:ind w:firstLine="360"/>
        <w:divId w:val="1652707950"/>
        <w:rPr>
          <w:rFonts w:eastAsia="Times New Roman"/>
        </w:rPr>
      </w:pPr>
    </w:p>
    <w:p w:rsidR="00000000" w:rsidRDefault="00E16B33">
      <w:pPr>
        <w:ind w:firstLine="360"/>
        <w:divId w:val="572392976"/>
        <w:rPr>
          <w:rFonts w:eastAsia="Times New Roman"/>
        </w:rPr>
      </w:pPr>
    </w:p>
    <w:p w:rsidR="00000000" w:rsidRDefault="00E16B33">
      <w:pPr>
        <w:ind w:firstLine="360"/>
        <w:jc w:val="center"/>
        <w:rPr>
          <w:rFonts w:eastAsia="Times New Roman"/>
        </w:rPr>
      </w:pPr>
    </w:p>
    <w:p w:rsidR="00000000" w:rsidRDefault="00E16B33">
      <w:pPr>
        <w:ind w:firstLine="360"/>
        <w:jc w:val="center"/>
        <w:divId w:val="325592955"/>
        <w:rPr>
          <w:rFonts w:eastAsia="Times New Roman"/>
        </w:rPr>
      </w:pPr>
      <w:r>
        <w:rPr>
          <w:rFonts w:eastAsia="Times New Roman"/>
          <w:b/>
          <w:bCs/>
          <w:color w:val="000000"/>
          <w:sz w:val="20"/>
          <w:szCs w:val="20"/>
        </w:rPr>
        <w:t>L3HARRIS TECHNOLOGIES, INC.</w:t>
      </w:r>
    </w:p>
    <w:p w:rsidR="00000000" w:rsidRDefault="00E16B33">
      <w:pPr>
        <w:ind w:firstLine="360"/>
        <w:jc w:val="center"/>
        <w:divId w:val="598295525"/>
        <w:rPr>
          <w:rFonts w:eastAsia="Times New Roman"/>
        </w:rPr>
      </w:pPr>
      <w:r>
        <w:rPr>
          <w:rFonts w:eastAsia="Times New Roman"/>
          <w:b/>
          <w:bCs/>
          <w:color w:val="000000"/>
          <w:sz w:val="20"/>
          <w:szCs w:val="20"/>
        </w:rPr>
        <w:t>FORM 10-Q</w:t>
      </w:r>
    </w:p>
    <w:p w:rsidR="00000000" w:rsidRDefault="00E16B33">
      <w:pPr>
        <w:ind w:firstLine="360"/>
        <w:jc w:val="center"/>
        <w:divId w:val="1091703784"/>
        <w:rPr>
          <w:rFonts w:eastAsia="Times New Roman"/>
        </w:rPr>
      </w:pPr>
      <w:r>
        <w:rPr>
          <w:rFonts w:eastAsia="Times New Roman"/>
          <w:b/>
          <w:bCs/>
          <w:color w:val="000000"/>
          <w:sz w:val="20"/>
          <w:szCs w:val="20"/>
        </w:rPr>
        <w:t>For the Quarter Ended July 1, 2022</w:t>
      </w:r>
    </w:p>
    <w:p w:rsidR="00000000" w:rsidRDefault="00E16B33">
      <w:pPr>
        <w:ind w:firstLine="360"/>
        <w:jc w:val="center"/>
        <w:divId w:val="1145733072"/>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79"/>
        <w:gridCol w:w="37"/>
        <w:gridCol w:w="38"/>
        <w:gridCol w:w="7404"/>
        <w:gridCol w:w="38"/>
        <w:gridCol w:w="87"/>
        <w:gridCol w:w="550"/>
        <w:gridCol w:w="36"/>
      </w:tblGrid>
      <w:tr w:rsidR="00000000">
        <w:trPr>
          <w:divId w:val="1145733072"/>
          <w:jc w:val="center"/>
        </w:trPr>
        <w:tc>
          <w:tcPr>
            <w:tcW w:w="5" w:type="pct"/>
            <w:vAlign w:val="center"/>
            <w:hideMark/>
          </w:tcPr>
          <w:p w:rsidR="00000000" w:rsidRDefault="00E16B33">
            <w:pPr>
              <w:ind w:firstLine="360"/>
              <w:jc w:val="center"/>
              <w:rPr>
                <w:rFonts w:eastAsia="Times New Roman"/>
              </w:rPr>
            </w:pPr>
          </w:p>
        </w:tc>
        <w:tc>
          <w:tcPr>
            <w:tcW w:w="7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48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145733072"/>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Page No.</w:t>
            </w:r>
          </w:p>
        </w:tc>
      </w:tr>
      <w:tr w:rsidR="00000000">
        <w:trPr>
          <w:divId w:val="1145733072"/>
          <w:trHeight w:val="300"/>
          <w:jc w:val="center"/>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145733072"/>
          <w:jc w:val="center"/>
        </w:trPr>
        <w:tc>
          <w:tcPr>
            <w:tcW w:w="0" w:type="auto"/>
            <w:gridSpan w:val="6"/>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16B33">
            <w:pPr>
              <w:spacing w:after="100"/>
              <w:divId w:val="879051033"/>
              <w:rPr>
                <w:rFonts w:eastAsia="Times New Roman"/>
              </w:rPr>
            </w:pPr>
            <w:hyperlink w:anchor="ib8da3f6584e1415c857e753e656a8150_13" w:history="1">
              <w:r>
                <w:rPr>
                  <w:rStyle w:val="a3"/>
                  <w:rFonts w:eastAsia="Times New Roman"/>
                  <w:color w:val="000000"/>
                  <w:sz w:val="20"/>
                  <w:szCs w:val="20"/>
                  <w:u w:val="none"/>
                </w:rPr>
                <w:t>ITEM 1.     Financial Statements (</w:t>
              </w:r>
            </w:hyperlink>
            <w:r>
              <w:rPr>
                <w:rFonts w:eastAsia="Times New Roman"/>
                <w:color w:val="000000"/>
                <w:sz w:val="20"/>
                <w:szCs w:val="20"/>
              </w:rPr>
              <w:t>Unaudited):</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16B33">
            <w:pPr>
              <w:spacing w:after="100"/>
              <w:divId w:val="1900628705"/>
              <w:rPr>
                <w:rFonts w:eastAsia="Times New Roman"/>
              </w:rPr>
            </w:pPr>
            <w:hyperlink w:anchor="ib8da3f6584e1415c857e753e656a8150_16" w:history="1">
              <w:r>
                <w:rPr>
                  <w:rStyle w:val="a3"/>
                  <w:rFonts w:eastAsia="Times New Roman"/>
                  <w:color w:val="000000"/>
                  <w:sz w:val="20"/>
                  <w:szCs w:val="20"/>
                  <w:u w:val="none"/>
                </w:rPr>
                <w:t xml:space="preserve">Condensed Consolidated Statement of Income </w:t>
              </w:r>
            </w:hyperlink>
            <w:r>
              <w:rPr>
                <w:rFonts w:eastAsia="Times New Roman"/>
                <w:color w:val="000000"/>
                <w:sz w:val="20"/>
                <w:szCs w:val="20"/>
              </w:rPr>
              <w:t>for the Quarter and Two Quarters Ended July 1, 2022 and July 2, 2021</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6" w:history="1">
              <w:r>
                <w:rPr>
                  <w:rStyle w:val="a3"/>
                  <w:rFonts w:eastAsia="Times New Roman"/>
                  <w:color w:val="000000"/>
                  <w:sz w:val="20"/>
                  <w:szCs w:val="20"/>
                  <w:u w:val="none"/>
                </w:rPr>
                <w:t>1</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750155122"/>
              <w:rPr>
                <w:rFonts w:eastAsia="Times New Roman"/>
              </w:rPr>
            </w:pPr>
            <w:hyperlink w:anchor="ib8da3f6584e1415c857e753e656a8150_19" w:history="1">
              <w:r>
                <w:rPr>
                  <w:rStyle w:val="a3"/>
                  <w:rFonts w:eastAsia="Times New Roman"/>
                  <w:color w:val="000000"/>
                  <w:sz w:val="20"/>
                  <w:szCs w:val="20"/>
                  <w:u w:val="none"/>
                </w:rPr>
                <w:t>Condensed Consol</w:t>
              </w:r>
              <w:r>
                <w:rPr>
                  <w:rStyle w:val="a3"/>
                  <w:rFonts w:eastAsia="Times New Roman"/>
                  <w:color w:val="000000"/>
                  <w:sz w:val="20"/>
                  <w:szCs w:val="20"/>
                  <w:u w:val="none"/>
                </w:rPr>
                <w:t xml:space="preserve">idated Statement of Comprehensive Income </w:t>
              </w:r>
            </w:hyperlink>
            <w:r>
              <w:rPr>
                <w:rFonts w:eastAsia="Times New Roman"/>
                <w:color w:val="000000"/>
                <w:sz w:val="20"/>
                <w:szCs w:val="20"/>
              </w:rPr>
              <w:t>for the Quarter and Two Quarters Ended July 1, 2022 and July 2, 2021</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9" w:history="1">
              <w:r>
                <w:rPr>
                  <w:rStyle w:val="a3"/>
                  <w:rFonts w:eastAsia="Times New Roman"/>
                  <w:color w:val="000000"/>
                  <w:sz w:val="20"/>
                  <w:szCs w:val="20"/>
                  <w:u w:val="none"/>
                </w:rPr>
                <w:t>2</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912817418"/>
              <w:rPr>
                <w:rFonts w:eastAsia="Times New Roman"/>
              </w:rPr>
            </w:pPr>
            <w:hyperlink w:anchor="ib8da3f6584e1415c857e753e656a8150_22" w:history="1">
              <w:r>
                <w:rPr>
                  <w:rStyle w:val="a3"/>
                  <w:rFonts w:eastAsia="Times New Roman"/>
                  <w:color w:val="000000"/>
                  <w:sz w:val="20"/>
                  <w:szCs w:val="20"/>
                  <w:u w:val="none"/>
                </w:rPr>
                <w:t>Condensed Consolidated Balance Sheet </w:t>
              </w:r>
            </w:hyperlink>
            <w:r>
              <w:rPr>
                <w:rFonts w:eastAsia="Times New Roman"/>
                <w:color w:val="000000"/>
                <w:sz w:val="20"/>
                <w:szCs w:val="20"/>
              </w:rPr>
              <w:t>at July 1, 2022 and December 31, 2021</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22" w:history="1">
              <w:r>
                <w:rPr>
                  <w:rStyle w:val="a3"/>
                  <w:rFonts w:eastAsia="Times New Roman"/>
                  <w:color w:val="000000"/>
                  <w:sz w:val="20"/>
                  <w:szCs w:val="20"/>
                  <w:u w:val="none"/>
                </w:rPr>
                <w:t>3</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ind w:hanging="270"/>
              <w:divId w:val="158431123"/>
              <w:rPr>
                <w:rFonts w:eastAsia="Times New Roman"/>
              </w:rPr>
            </w:pPr>
            <w:hyperlink w:anchor="ib8da3f6584e1415c857e753e656a8150_25" w:history="1">
              <w:r>
                <w:rPr>
                  <w:rStyle w:val="a3"/>
                  <w:rFonts w:eastAsia="Times New Roman"/>
                  <w:color w:val="000000"/>
                  <w:sz w:val="20"/>
                  <w:szCs w:val="20"/>
                  <w:u w:val="none"/>
                </w:rPr>
                <w:t xml:space="preserve">Condensed Consolidated Statement of Cash Flows </w:t>
              </w:r>
            </w:hyperlink>
            <w:r>
              <w:rPr>
                <w:rFonts w:eastAsia="Times New Roman"/>
                <w:color w:val="000000"/>
                <w:sz w:val="20"/>
                <w:szCs w:val="20"/>
              </w:rPr>
              <w:t>for the Two Quarters Ended July 1, 2022 and July 2, 2021</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25" w:history="1">
              <w:r>
                <w:rPr>
                  <w:rStyle w:val="a3"/>
                  <w:rFonts w:eastAsia="Times New Roman"/>
                  <w:color w:val="000000"/>
                  <w:sz w:val="20"/>
                  <w:szCs w:val="20"/>
                  <w:u w:val="none"/>
                </w:rPr>
                <w:t>4</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2082942215"/>
              <w:rPr>
                <w:rFonts w:eastAsia="Times New Roman"/>
              </w:rPr>
            </w:pPr>
            <w:hyperlink w:anchor="ib8da3f6584e1415c857e753e656a8150_28" w:history="1">
              <w:r>
                <w:rPr>
                  <w:rStyle w:val="a3"/>
                  <w:rFonts w:eastAsia="Times New Roman"/>
                  <w:color w:val="000000"/>
                  <w:sz w:val="20"/>
                  <w:szCs w:val="20"/>
                  <w:u w:val="none"/>
                </w:rPr>
                <w:t>Condensed Consolid</w:t>
              </w:r>
              <w:r>
                <w:rPr>
                  <w:rStyle w:val="a3"/>
                  <w:rFonts w:eastAsia="Times New Roman"/>
                  <w:color w:val="000000"/>
                  <w:sz w:val="20"/>
                  <w:szCs w:val="20"/>
                  <w:u w:val="none"/>
                </w:rPr>
                <w:t>ated Statement of Equity f</w:t>
              </w:r>
            </w:hyperlink>
            <w:r>
              <w:rPr>
                <w:rFonts w:eastAsia="Times New Roman"/>
                <w:color w:val="000000"/>
                <w:sz w:val="20"/>
                <w:szCs w:val="20"/>
              </w:rPr>
              <w:t>or the Quarter and Two Quarters Ended July 1, 2022 and July 2, 2021</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28" w:history="1">
              <w:r>
                <w:rPr>
                  <w:rStyle w:val="a3"/>
                  <w:rFonts w:eastAsia="Times New Roman"/>
                  <w:color w:val="000000"/>
                  <w:sz w:val="20"/>
                  <w:szCs w:val="20"/>
                  <w:u w:val="none"/>
                </w:rPr>
                <w:t>5</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1887327911"/>
              <w:rPr>
                <w:rFonts w:eastAsia="Times New Roman"/>
              </w:rPr>
            </w:pPr>
            <w:hyperlink w:anchor="ib8da3f6584e1415c857e753e656a8150_31" w:history="1">
              <w:r>
                <w:rPr>
                  <w:rStyle w:val="a3"/>
                  <w:rFonts w:eastAsia="Times New Roman"/>
                  <w:color w:val="000000"/>
                  <w:sz w:val="20"/>
                  <w:szCs w:val="20"/>
                  <w:u w:val="none"/>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31" w:history="1">
              <w:r>
                <w:rPr>
                  <w:rStyle w:val="a3"/>
                  <w:rFonts w:eastAsia="Times New Roman"/>
                  <w:color w:val="000000"/>
                  <w:sz w:val="20"/>
                  <w:szCs w:val="20"/>
                  <w:u w:val="none"/>
                </w:rPr>
                <w:t>6</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ind w:hanging="270"/>
              <w:divId w:val="1788356859"/>
              <w:rPr>
                <w:rFonts w:eastAsia="Times New Roman"/>
              </w:rPr>
            </w:pPr>
            <w:hyperlink w:anchor="ib8da3f6584e1415c857e753e656a8150_94" w:history="1">
              <w:r>
                <w:rPr>
                  <w:rStyle w:val="a3"/>
                  <w:rFonts w:eastAsia="Times New Roman"/>
                  <w:color w:val="000000"/>
                  <w:sz w:val="20"/>
                  <w:szCs w:val="20"/>
                  <w:u w:val="none"/>
                </w:rPr>
                <w:t>Report of Indepe</w:t>
              </w:r>
              <w:r>
                <w:rPr>
                  <w:rStyle w:val="a3"/>
                  <w:rFonts w:eastAsia="Times New Roman"/>
                  <w:color w:val="000000"/>
                  <w:sz w:val="20"/>
                  <w:szCs w:val="20"/>
                  <w:u w:val="none"/>
                </w:rPr>
                <w:t>ndent Registered Public Accounting Firm (PCAOB ID:</w:t>
              </w:r>
            </w:hyperlink>
            <w:r>
              <w:rPr>
                <w:rFonts w:eastAsia="Times New Roman"/>
                <w:color w:val="000000"/>
                <w:sz w:val="20"/>
                <w:szCs w:val="20"/>
              </w:rPr>
              <w:t xml:space="preserve"> 42</w:t>
            </w:r>
            <w:hyperlink w:anchor="ib8da3f6584e1415c857e753e656a8150_94"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94" w:history="1">
              <w:r>
                <w:rPr>
                  <w:rStyle w:val="a3"/>
                  <w:rFonts w:eastAsia="Times New Roman"/>
                  <w:color w:val="000000"/>
                  <w:sz w:val="20"/>
                  <w:szCs w:val="20"/>
                  <w:u w:val="none"/>
                </w:rPr>
                <w:t>17</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981497822"/>
              <w:rPr>
                <w:rFonts w:eastAsia="Times New Roman"/>
              </w:rPr>
            </w:pPr>
            <w:hyperlink w:anchor="ib8da3f6584e1415c857e753e656a8150_97" w:history="1">
              <w:r>
                <w:rPr>
                  <w:rStyle w:val="a3"/>
                  <w:rFonts w:eastAsia="Times New Roman"/>
                  <w:color w:val="000000"/>
                  <w:sz w:val="20"/>
                  <w:szCs w:val="20"/>
                  <w:u w:val="none"/>
                </w:rPr>
                <w:t>ITEM 2.</w:t>
              </w:r>
            </w:hyperlink>
            <w:r>
              <w:rPr>
                <w:rFonts w:eastAsia="Times New Roman"/>
                <w:color w:val="000000"/>
                <w:sz w:val="20"/>
                <w:szCs w:val="20"/>
              </w:rPr>
              <w:t>     M</w:t>
            </w:r>
            <w:hyperlink w:anchor="ib8da3f6584e1415c857e753e656a8150_97" w:history="1">
              <w:r>
                <w:rPr>
                  <w:rStyle w:val="a3"/>
                  <w:rFonts w:eastAsia="Times New Roman"/>
                  <w:color w:val="000000"/>
                  <w:sz w:val="20"/>
                  <w:szCs w:val="20"/>
                  <w:u w:val="none"/>
                </w:rPr>
                <w:t>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97" w:history="1">
              <w:r>
                <w:rPr>
                  <w:rStyle w:val="a3"/>
                  <w:rFonts w:eastAsia="Times New Roman"/>
                  <w:color w:val="000000"/>
                  <w:sz w:val="20"/>
                  <w:szCs w:val="20"/>
                  <w:u w:val="none"/>
                </w:rPr>
                <w:t>18</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673150001"/>
              <w:rPr>
                <w:rFonts w:eastAsia="Times New Roman"/>
              </w:rPr>
            </w:pPr>
            <w:hyperlink w:anchor="ib8da3f6584e1415c857e753e656a8150_115" w:history="1">
              <w:r>
                <w:rPr>
                  <w:rStyle w:val="a3"/>
                  <w:rFonts w:eastAsia="Times New Roman"/>
                  <w:color w:val="000000"/>
                  <w:sz w:val="20"/>
                  <w:szCs w:val="20"/>
                  <w:u w:val="none"/>
                </w:rPr>
                <w:t>ITEM 3.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15" w:history="1">
              <w:r>
                <w:rPr>
                  <w:rStyle w:val="a3"/>
                  <w:rFonts w:eastAsia="Times New Roman"/>
                  <w:color w:val="000000"/>
                  <w:sz w:val="20"/>
                  <w:szCs w:val="20"/>
                  <w:u w:val="none"/>
                </w:rPr>
                <w:t>29</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460001712"/>
              <w:rPr>
                <w:rFonts w:eastAsia="Times New Roman"/>
              </w:rPr>
            </w:pPr>
            <w:hyperlink w:anchor="ib8da3f6584e1415c857e753e656a8150_118" w:history="1">
              <w:r>
                <w:rPr>
                  <w:rStyle w:val="a3"/>
                  <w:rFonts w:eastAsia="Times New Roman"/>
                  <w:color w:val="000000"/>
                  <w:sz w:val="20"/>
                  <w:szCs w:val="20"/>
                  <w:u w:val="none"/>
                </w:rPr>
                <w:t>ITEM 4.     Controls and Procedures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18" w:history="1">
              <w:r>
                <w:rPr>
                  <w:rStyle w:val="a3"/>
                  <w:rFonts w:eastAsia="Times New Roman"/>
                  <w:color w:val="000000"/>
                  <w:sz w:val="20"/>
                  <w:szCs w:val="20"/>
                  <w:u w:val="none"/>
                </w:rPr>
                <w:t>29</w:t>
              </w:r>
            </w:hyperlink>
          </w:p>
        </w:tc>
      </w:tr>
      <w:tr w:rsidR="00000000">
        <w:trPr>
          <w:divId w:val="1145733072"/>
          <w:trHeight w:val="300"/>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145733072"/>
          <w:jc w:val="center"/>
        </w:trPr>
        <w:tc>
          <w:tcPr>
            <w:tcW w:w="0" w:type="auto"/>
            <w:gridSpan w:val="6"/>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16B33">
            <w:pPr>
              <w:spacing w:after="100"/>
              <w:divId w:val="455828808"/>
              <w:rPr>
                <w:rFonts w:eastAsia="Times New Roman"/>
              </w:rPr>
            </w:pPr>
            <w:hyperlink w:anchor="ib8da3f6584e1415c857e753e656a8150_124" w:history="1">
              <w:r>
                <w:rPr>
                  <w:rStyle w:val="a3"/>
                  <w:rFonts w:eastAsia="Times New Roman"/>
                  <w:color w:val="000000"/>
                  <w:sz w:val="20"/>
                  <w:szCs w:val="20"/>
                  <w:u w:val="none"/>
                </w:rPr>
                <w:t>ITEM 1.      Legal Proceedings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24" w:history="1">
              <w:r>
                <w:rPr>
                  <w:rStyle w:val="a3"/>
                  <w:rFonts w:eastAsia="Times New Roman"/>
                  <w:color w:val="000000"/>
                  <w:sz w:val="20"/>
                  <w:szCs w:val="20"/>
                  <w:u w:val="none"/>
                </w:rPr>
                <w:t>31</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708603530"/>
              <w:rPr>
                <w:rFonts w:eastAsia="Times New Roman"/>
              </w:rPr>
            </w:pPr>
            <w:hyperlink w:anchor="ib8da3f6584e1415c857e753e656a8150_127" w:history="1">
              <w:r>
                <w:rPr>
                  <w:rStyle w:val="a3"/>
                  <w:rFonts w:eastAsia="Times New Roman"/>
                  <w:color w:val="000000"/>
                  <w:sz w:val="20"/>
                  <w:szCs w:val="20"/>
                  <w:u w:val="none"/>
                </w:rPr>
                <w:t>ITEM 1A.   Risk Factors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27" w:history="1">
              <w:r>
                <w:rPr>
                  <w:rStyle w:val="a3"/>
                  <w:rFonts w:eastAsia="Times New Roman"/>
                  <w:color w:val="000000"/>
                  <w:sz w:val="20"/>
                  <w:szCs w:val="20"/>
                  <w:u w:val="none"/>
                </w:rPr>
                <w:t>31</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ind w:hanging="1080"/>
              <w:divId w:val="1011100416"/>
              <w:rPr>
                <w:rFonts w:eastAsia="Times New Roman"/>
              </w:rPr>
            </w:pPr>
            <w:hyperlink w:anchor="ib8da3f6584e1415c857e753e656a8150_130" w:history="1">
              <w:r>
                <w:rPr>
                  <w:rStyle w:val="a3"/>
                  <w:rFonts w:eastAsia="Times New Roman"/>
                  <w:color w:val="000000"/>
                  <w:sz w:val="20"/>
                  <w:szCs w:val="20"/>
                  <w:u w:val="none"/>
                </w:rPr>
                <w:t>ITEM 2.      Unregistered Sales of Equity Securities</w:t>
              </w:r>
            </w:hyperlink>
            <w:r>
              <w:rPr>
                <w:rFonts w:eastAsia="Times New Roman"/>
                <w:color w:val="000000"/>
                <w:sz w:val="20"/>
                <w:szCs w:val="20"/>
              </w:rPr>
              <w:t xml:space="preserve"> and Use of Proceeds</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30" w:history="1">
              <w:r>
                <w:rPr>
                  <w:rStyle w:val="a3"/>
                  <w:rFonts w:eastAsia="Times New Roman"/>
                  <w:color w:val="000000"/>
                  <w:sz w:val="20"/>
                  <w:szCs w:val="20"/>
                  <w:u w:val="none"/>
                </w:rPr>
                <w:t>32</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1096830198"/>
              <w:rPr>
                <w:rFonts w:eastAsia="Times New Roman"/>
              </w:rPr>
            </w:pPr>
            <w:hyperlink w:anchor="ib8da3f6584e1415c857e753e656a8150_133" w:history="1">
              <w:r>
                <w:rPr>
                  <w:rStyle w:val="a3"/>
                  <w:rFonts w:eastAsia="Times New Roman"/>
                  <w:color w:val="000000"/>
                  <w:sz w:val="20"/>
                  <w:szCs w:val="20"/>
                  <w:u w:val="none"/>
                </w:rPr>
                <w:t>ITEM 3.      Defaults Upon Senior Securities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33" w:history="1">
              <w:r>
                <w:rPr>
                  <w:rStyle w:val="a3"/>
                  <w:rFonts w:eastAsia="Times New Roman"/>
                  <w:color w:val="000000"/>
                  <w:sz w:val="20"/>
                  <w:szCs w:val="20"/>
                  <w:u w:val="none"/>
                </w:rPr>
                <w:t>32</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178814550"/>
              <w:rPr>
                <w:rFonts w:eastAsia="Times New Roman"/>
              </w:rPr>
            </w:pPr>
            <w:hyperlink w:anchor="ib8da3f6584e1415c857e753e656a8150_136" w:history="1">
              <w:r>
                <w:rPr>
                  <w:rStyle w:val="a3"/>
                  <w:rFonts w:eastAsia="Times New Roman"/>
                  <w:color w:val="000000"/>
                  <w:sz w:val="20"/>
                  <w:szCs w:val="20"/>
                  <w:u w:val="none"/>
                </w:rPr>
                <w:t>ITEM 4.      Mine Safety Disclosures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36" w:history="1">
              <w:r>
                <w:rPr>
                  <w:rStyle w:val="a3"/>
                  <w:rFonts w:eastAsia="Times New Roman"/>
                  <w:color w:val="000000"/>
                  <w:sz w:val="20"/>
                  <w:szCs w:val="20"/>
                  <w:u w:val="none"/>
                </w:rPr>
                <w:t>32</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1363824279"/>
              <w:rPr>
                <w:rFonts w:eastAsia="Times New Roman"/>
              </w:rPr>
            </w:pPr>
            <w:hyperlink w:anchor="ib8da3f6584e1415c857e753e656a8150_139" w:history="1">
              <w:r>
                <w:rPr>
                  <w:rStyle w:val="a3"/>
                  <w:rFonts w:eastAsia="Times New Roman"/>
                  <w:color w:val="000000"/>
                  <w:sz w:val="20"/>
                  <w:szCs w:val="20"/>
                  <w:u w:val="none"/>
                </w:rPr>
                <w:t>ITEM 5.     Other Information</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39" w:history="1">
              <w:r>
                <w:rPr>
                  <w:rStyle w:val="a3"/>
                  <w:rFonts w:eastAsia="Times New Roman"/>
                  <w:color w:val="000000"/>
                  <w:sz w:val="20"/>
                  <w:szCs w:val="20"/>
                  <w:u w:val="none"/>
                </w:rPr>
                <w:t>32</w:t>
              </w:r>
            </w:hyperlink>
          </w:p>
        </w:tc>
      </w:tr>
      <w:tr w:rsidR="00000000">
        <w:trPr>
          <w:divId w:val="1145733072"/>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16B33">
            <w:pPr>
              <w:spacing w:after="100"/>
              <w:divId w:val="434180715"/>
              <w:rPr>
                <w:rFonts w:eastAsia="Times New Roman"/>
              </w:rPr>
            </w:pPr>
            <w:r>
              <w:rPr>
                <w:rFonts w:eastAsia="Times New Roman"/>
                <w:color w:val="000000"/>
                <w:sz w:val="20"/>
                <w:szCs w:val="20"/>
              </w:rPr>
              <w:t>ITEM 6.      </w:t>
            </w:r>
            <w:hyperlink w:anchor="ib8da3f6584e1415c857e753e656a8150_142"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39" w:history="1">
              <w:r>
                <w:rPr>
                  <w:rStyle w:val="a3"/>
                  <w:rFonts w:eastAsia="Times New Roman"/>
                  <w:color w:val="000000"/>
                  <w:sz w:val="20"/>
                  <w:szCs w:val="20"/>
                  <w:u w:val="none"/>
                </w:rPr>
                <w:t>32</w:t>
              </w:r>
            </w:hyperlink>
          </w:p>
        </w:tc>
      </w:tr>
      <w:tr w:rsidR="00000000">
        <w:trPr>
          <w:divId w:val="1145733072"/>
          <w:trHeight w:val="300"/>
          <w:jc w:val="center"/>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145733072"/>
          <w:jc w:val="center"/>
        </w:trPr>
        <w:tc>
          <w:tcPr>
            <w:tcW w:w="0" w:type="auto"/>
            <w:gridSpan w:val="6"/>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Signatures</w:t>
            </w:r>
          </w:p>
        </w:tc>
        <w:tc>
          <w:tcPr>
            <w:tcW w:w="0" w:type="auto"/>
            <w:gridSpan w:val="3"/>
            <w:tcMar>
              <w:top w:w="30" w:type="dxa"/>
              <w:left w:w="20" w:type="dxa"/>
              <w:bottom w:w="30" w:type="dxa"/>
              <w:right w:w="20" w:type="dxa"/>
            </w:tcMar>
            <w:vAlign w:val="bottom"/>
            <w:hideMark/>
          </w:tcPr>
          <w:p w:rsidR="00000000" w:rsidRDefault="00E16B33">
            <w:pPr>
              <w:spacing w:after="100"/>
              <w:jc w:val="right"/>
              <w:rPr>
                <w:rFonts w:eastAsia="Times New Roman"/>
              </w:rPr>
            </w:pPr>
            <w:hyperlink w:anchor="ib8da3f6584e1415c857e753e656a8150_145" w:history="1">
              <w:r>
                <w:rPr>
                  <w:rStyle w:val="a3"/>
                  <w:rFonts w:eastAsia="Times New Roman"/>
                  <w:color w:val="000000"/>
                  <w:sz w:val="20"/>
                  <w:szCs w:val="20"/>
                  <w:u w:val="none"/>
                </w:rPr>
                <w:t>34</w:t>
              </w:r>
            </w:hyperlink>
          </w:p>
        </w:tc>
      </w:tr>
    </w:tbl>
    <w:p w:rsidR="00000000" w:rsidRDefault="00E16B33">
      <w:pPr>
        <w:ind w:firstLine="360"/>
        <w:divId w:val="2019774499"/>
        <w:rPr>
          <w:rFonts w:eastAsia="Times New Roman"/>
        </w:rPr>
      </w:pPr>
      <w:r>
        <w:rPr>
          <w:rFonts w:eastAsia="Times New Roman"/>
          <w:color w:val="000000"/>
          <w:sz w:val="20"/>
          <w:szCs w:val="20"/>
        </w:rPr>
        <w:t xml:space="preserve">This Report contains trademarks, service marks and registered marks of L3Harris Technologies, Inc. and its subsidiaries. All other trademarks are the property of their respective owners. </w:t>
      </w:r>
    </w:p>
    <w:p w:rsidR="00000000" w:rsidRDefault="00E16B33">
      <w:pPr>
        <w:ind w:firstLine="360"/>
        <w:jc w:val="center"/>
        <w:divId w:val="2063366440"/>
        <w:rPr>
          <w:rFonts w:eastAsia="Times New Roman"/>
        </w:rPr>
      </w:pPr>
    </w:p>
    <w:p w:rsidR="00000000" w:rsidRDefault="00E16B33">
      <w:pPr>
        <w:rPr>
          <w:rFonts w:eastAsia="Times New Roman"/>
        </w:rPr>
      </w:pPr>
      <w:r>
        <w:rPr>
          <w:rFonts w:eastAsia="Times New Roman"/>
        </w:rPr>
        <w:pict>
          <v:rect id="_x0000_i1027" style="width:0;height:1.5pt" o:hralign="center" o:hrstd="t" o:hr="t" fillcolor="#a0a0a0" stroked="f"/>
        </w:pict>
      </w:r>
    </w:p>
    <w:p w:rsidR="00000000" w:rsidRDefault="00E16B33">
      <w:pPr>
        <w:ind w:firstLine="360"/>
        <w:divId w:val="1299795796"/>
        <w:rPr>
          <w:rFonts w:eastAsia="Times New Roman"/>
        </w:rPr>
      </w:pPr>
    </w:p>
    <w:p w:rsidR="00000000" w:rsidRDefault="00E16B33">
      <w:pPr>
        <w:ind w:firstLine="360"/>
        <w:divId w:val="1330056627"/>
        <w:rPr>
          <w:rFonts w:eastAsia="Times New Roman"/>
        </w:rPr>
      </w:pPr>
    </w:p>
    <w:p w:rsidR="00000000" w:rsidRDefault="00E16B33">
      <w:pPr>
        <w:ind w:firstLine="360"/>
        <w:jc w:val="center"/>
        <w:divId w:val="231820882"/>
        <w:rPr>
          <w:rFonts w:eastAsia="Times New Roman"/>
        </w:rPr>
      </w:pPr>
      <w:r>
        <w:rPr>
          <w:rFonts w:eastAsia="Times New Roman"/>
          <w:b/>
          <w:bCs/>
          <w:color w:val="000000"/>
          <w:sz w:val="20"/>
          <w:szCs w:val="20"/>
        </w:rPr>
        <w:t>PART I. FINANCIAL INFORMATION</w:t>
      </w:r>
    </w:p>
    <w:tbl>
      <w:tblPr>
        <w:tblW w:w="3484" w:type="pct"/>
        <w:tblCellMar>
          <w:top w:w="15" w:type="dxa"/>
          <w:left w:w="15" w:type="dxa"/>
          <w:bottom w:w="15" w:type="dxa"/>
          <w:right w:w="15" w:type="dxa"/>
        </w:tblCellMar>
        <w:tblLook w:val="04A0" w:firstRow="1" w:lastRow="0" w:firstColumn="1" w:lastColumn="0" w:noHBand="0" w:noVBand="1"/>
      </w:tblPr>
      <w:tblGrid>
        <w:gridCol w:w="50"/>
        <w:gridCol w:w="880"/>
        <w:gridCol w:w="36"/>
        <w:gridCol w:w="43"/>
        <w:gridCol w:w="4743"/>
        <w:gridCol w:w="36"/>
      </w:tblGrid>
      <w:tr w:rsidR="00000000">
        <w:trPr>
          <w:divId w:val="1565413139"/>
        </w:trPr>
        <w:tc>
          <w:tcPr>
            <w:tcW w:w="50" w:type="pct"/>
            <w:vAlign w:val="center"/>
            <w:hideMark/>
          </w:tcPr>
          <w:p w:rsidR="00000000" w:rsidRDefault="00E16B33">
            <w:pPr>
              <w:ind w:firstLine="360"/>
              <w:jc w:val="center"/>
              <w:rPr>
                <w:rFonts w:eastAsia="Times New Roman"/>
              </w:rPr>
            </w:pPr>
          </w:p>
        </w:tc>
        <w:tc>
          <w:tcPr>
            <w:tcW w:w="78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10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565413139"/>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 ITEM 1.</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FINANCIAL STATEMENTS (Unaudited).</w:t>
            </w:r>
          </w:p>
        </w:tc>
      </w:tr>
    </w:tbl>
    <w:p w:rsidR="00000000" w:rsidRDefault="00E16B33">
      <w:pPr>
        <w:jc w:val="center"/>
        <w:divId w:val="911741425"/>
        <w:rPr>
          <w:rFonts w:eastAsia="Times New Roman"/>
        </w:rPr>
      </w:pPr>
      <w:r>
        <w:rPr>
          <w:rFonts w:eastAsia="Times New Roman"/>
          <w:b/>
          <w:bCs/>
          <w:color w:val="000000"/>
          <w:sz w:val="20"/>
          <w:szCs w:val="20"/>
        </w:rPr>
        <w:t>L3HARRIS TECHNOLOGIES, INC. AND SUBSIDIARIES</w:t>
      </w:r>
    </w:p>
    <w:p w:rsidR="00000000" w:rsidRDefault="00E16B33">
      <w:pPr>
        <w:ind w:firstLine="360"/>
        <w:jc w:val="center"/>
        <w:rPr>
          <w:rFonts w:eastAsia="Times New Roman"/>
        </w:rPr>
      </w:pPr>
      <w:r>
        <w:rPr>
          <w:rFonts w:eastAsia="Times New Roman"/>
          <w:b/>
          <w:bCs/>
          <w:color w:val="000000"/>
          <w:sz w:val="20"/>
          <w:szCs w:val="20"/>
        </w:rPr>
        <w:t>CONDENSED CONSOLIDATED STATEMENT OF INCOME</w:t>
      </w:r>
    </w:p>
    <w:p w:rsidR="00000000" w:rsidRDefault="00E16B33">
      <w:pPr>
        <w:ind w:firstLine="360"/>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158"/>
        <w:gridCol w:w="41"/>
        <w:gridCol w:w="120"/>
        <w:gridCol w:w="813"/>
        <w:gridCol w:w="36"/>
        <w:gridCol w:w="36"/>
        <w:gridCol w:w="36"/>
        <w:gridCol w:w="36"/>
        <w:gridCol w:w="120"/>
        <w:gridCol w:w="768"/>
        <w:gridCol w:w="36"/>
        <w:gridCol w:w="36"/>
        <w:gridCol w:w="36"/>
        <w:gridCol w:w="36"/>
        <w:gridCol w:w="120"/>
        <w:gridCol w:w="768"/>
        <w:gridCol w:w="36"/>
        <w:gridCol w:w="36"/>
        <w:gridCol w:w="36"/>
        <w:gridCol w:w="36"/>
        <w:gridCol w:w="120"/>
        <w:gridCol w:w="768"/>
        <w:gridCol w:w="36"/>
      </w:tblGrid>
      <w:tr w:rsidR="00000000">
        <w:trPr>
          <w:jc w:val="center"/>
        </w:trPr>
        <w:tc>
          <w:tcPr>
            <w:tcW w:w="50" w:type="pct"/>
            <w:vAlign w:val="center"/>
            <w:hideMark/>
          </w:tcPr>
          <w:p w:rsidR="00000000" w:rsidRDefault="00E16B33">
            <w:pPr>
              <w:ind w:firstLine="360"/>
              <w:jc w:val="center"/>
              <w:rPr>
                <w:rFonts w:eastAsia="Times New Roman"/>
              </w:rPr>
            </w:pPr>
          </w:p>
        </w:tc>
        <w:tc>
          <w:tcPr>
            <w:tcW w:w="253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2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2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2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4,135 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4,668 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8,238 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9,235 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Cost of product sales and services</w:t>
            </w:r>
          </w:p>
        </w:tc>
        <w:tc>
          <w:tcPr>
            <w:tcW w:w="0" w:type="auto"/>
            <w:gridSpan w:val="2"/>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(2,907)</w:t>
            </w:r>
          </w:p>
        </w:tc>
        <w:tc>
          <w:tcPr>
            <w:tcW w:w="0" w:type="auto"/>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(3,251)</w:t>
            </w:r>
          </w:p>
        </w:tc>
        <w:tc>
          <w:tcPr>
            <w:tcW w:w="0" w:type="auto"/>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(5,767)</w:t>
            </w:r>
          </w:p>
        </w:tc>
        <w:tc>
          <w:tcPr>
            <w:tcW w:w="0" w:type="auto"/>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(6,464)</w:t>
            </w:r>
          </w:p>
        </w:tc>
        <w:tc>
          <w:tcPr>
            <w:tcW w:w="0" w:type="auto"/>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(744)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(891)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(1,489)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(1,692)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525 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1,061 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945 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880 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945 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879 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lastRenderedPageBreak/>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471 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946 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881 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24"/>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Amount attributable to L3Harris Technologies, Inc. common shareholders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Income from continuing operations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24"/>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Net income per common share attributable to L3Harris Technologies, Inc. common shareholders</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4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4.86 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4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2.01 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4.86 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4.25 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192.1 </w:t>
            </w:r>
          </w:p>
        </w:tc>
        <w:tc>
          <w:tcPr>
            <w:tcW w:w="0" w:type="auto"/>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203.6 </w:t>
            </w:r>
          </w:p>
        </w:tc>
        <w:tc>
          <w:tcPr>
            <w:tcW w:w="0" w:type="auto"/>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192.6 </w:t>
            </w:r>
          </w:p>
        </w:tc>
        <w:tc>
          <w:tcPr>
            <w:tcW w:w="0" w:type="auto"/>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205.2 </w:t>
            </w:r>
          </w:p>
        </w:tc>
        <w:tc>
          <w:tcPr>
            <w:tcW w:w="0" w:type="auto"/>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Diluted weighted average common shares outstanding</w:t>
            </w: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194.0 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205.6 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194.5 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207.1 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r>
    </w:tbl>
    <w:p w:rsidR="00000000" w:rsidRDefault="00E16B33">
      <w:pPr>
        <w:ind w:firstLine="360"/>
        <w:jc w:val="center"/>
        <w:divId w:val="472795303"/>
        <w:rPr>
          <w:rFonts w:eastAsia="Times New Roman"/>
        </w:rPr>
      </w:pPr>
      <w:r>
        <w:rPr>
          <w:rFonts w:eastAsia="Times New Roman"/>
          <w:color w:val="000000"/>
          <w:sz w:val="20"/>
          <w:szCs w:val="20"/>
        </w:rPr>
        <w:t>See accompanying Notes to Condensed Consolidated Fin</w:t>
      </w:r>
      <w:r>
        <w:rPr>
          <w:rFonts w:eastAsia="Times New Roman"/>
          <w:color w:val="000000"/>
          <w:sz w:val="20"/>
          <w:szCs w:val="20"/>
        </w:rPr>
        <w:t>ancial Statements (Unaudited).</w:t>
      </w:r>
    </w:p>
    <w:p w:rsidR="00000000" w:rsidRDefault="00E16B33">
      <w:pPr>
        <w:ind w:firstLine="360"/>
        <w:jc w:val="center"/>
        <w:divId w:val="1157917543"/>
        <w:rPr>
          <w:rFonts w:eastAsia="Times New Roman"/>
        </w:rPr>
      </w:pPr>
      <w:r>
        <w:rPr>
          <w:rFonts w:eastAsia="Times New Roman"/>
          <w:color w:val="000000"/>
          <w:sz w:val="20"/>
          <w:szCs w:val="20"/>
        </w:rPr>
        <w:t>1</w:t>
      </w:r>
    </w:p>
    <w:p w:rsidR="00000000" w:rsidRDefault="00E16B33">
      <w:pPr>
        <w:rPr>
          <w:rFonts w:eastAsia="Times New Roman"/>
        </w:rPr>
      </w:pPr>
      <w:r>
        <w:rPr>
          <w:rFonts w:eastAsia="Times New Roman"/>
        </w:rPr>
        <w:pict>
          <v:rect id="_x0000_i1028" style="width:0;height:1.5pt" o:hralign="center" o:hrstd="t" o:hr="t" fillcolor="#a0a0a0" stroked="f"/>
        </w:pict>
      </w:r>
    </w:p>
    <w:p w:rsidR="00000000" w:rsidRDefault="00E16B33">
      <w:pPr>
        <w:ind w:firstLine="360"/>
        <w:divId w:val="561913657"/>
        <w:rPr>
          <w:rFonts w:eastAsia="Times New Roman"/>
        </w:rPr>
      </w:pPr>
    </w:p>
    <w:p w:rsidR="00000000" w:rsidRDefault="00E16B33">
      <w:pPr>
        <w:jc w:val="center"/>
        <w:divId w:val="539363643"/>
        <w:rPr>
          <w:rFonts w:eastAsia="Times New Roman"/>
        </w:rPr>
      </w:pPr>
      <w:r>
        <w:rPr>
          <w:rFonts w:eastAsia="Times New Roman"/>
          <w:b/>
          <w:bCs/>
          <w:color w:val="000000"/>
          <w:sz w:val="20"/>
          <w:szCs w:val="20"/>
        </w:rPr>
        <w:t>L3HARRIS TECHNOLOGIES, INC. AND SUBSIDIARIES</w:t>
      </w:r>
    </w:p>
    <w:p w:rsidR="00000000" w:rsidRDefault="00E16B33">
      <w:pPr>
        <w:ind w:firstLine="360"/>
        <w:jc w:val="center"/>
        <w:rPr>
          <w:rFonts w:eastAsia="Times New Roman"/>
        </w:rPr>
      </w:pPr>
      <w:r>
        <w:rPr>
          <w:rFonts w:eastAsia="Times New Roman"/>
          <w:b/>
          <w:bCs/>
          <w:color w:val="000000"/>
          <w:sz w:val="20"/>
          <w:szCs w:val="20"/>
        </w:rPr>
        <w:t>CONDENSED CONSOLIDATED STATEMENT OF COMPREHENSIVE INCOME</w:t>
      </w:r>
    </w:p>
    <w:p w:rsidR="00000000" w:rsidRDefault="00E16B33">
      <w:pPr>
        <w:ind w:firstLine="360"/>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486"/>
        <w:gridCol w:w="39"/>
        <w:gridCol w:w="120"/>
        <w:gridCol w:w="713"/>
        <w:gridCol w:w="36"/>
        <w:gridCol w:w="36"/>
        <w:gridCol w:w="36"/>
        <w:gridCol w:w="36"/>
        <w:gridCol w:w="120"/>
        <w:gridCol w:w="713"/>
        <w:gridCol w:w="36"/>
        <w:gridCol w:w="36"/>
        <w:gridCol w:w="36"/>
        <w:gridCol w:w="36"/>
        <w:gridCol w:w="120"/>
        <w:gridCol w:w="713"/>
        <w:gridCol w:w="36"/>
        <w:gridCol w:w="36"/>
        <w:gridCol w:w="36"/>
        <w:gridCol w:w="36"/>
        <w:gridCol w:w="120"/>
        <w:gridCol w:w="653"/>
        <w:gridCol w:w="36"/>
      </w:tblGrid>
      <w:tr w:rsidR="00000000">
        <w:trPr>
          <w:jc w:val="center"/>
        </w:trPr>
        <w:tc>
          <w:tcPr>
            <w:tcW w:w="50" w:type="pct"/>
            <w:vAlign w:val="center"/>
            <w:hideMark/>
          </w:tcPr>
          <w:p w:rsidR="00000000" w:rsidRDefault="00E16B33">
            <w:pPr>
              <w:ind w:firstLine="360"/>
              <w:jc w:val="center"/>
              <w:rPr>
                <w:rFonts w:eastAsia="Times New Roman"/>
              </w:rPr>
            </w:pPr>
          </w:p>
        </w:tc>
        <w:tc>
          <w:tcPr>
            <w:tcW w:w="275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2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879 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410" w:type="dxa"/>
              <w:bottom w:w="30" w:type="dxa"/>
              <w:right w:w="20" w:type="dxa"/>
            </w:tcMar>
            <w:vAlign w:val="bottom"/>
            <w:hideMark/>
          </w:tcPr>
          <w:p w:rsidR="00000000" w:rsidRDefault="00E16B33">
            <w:pPr>
              <w:spacing w:after="100"/>
              <w:ind w:hanging="270"/>
              <w:rPr>
                <w:rFonts w:eastAsia="Times New Roman"/>
              </w:rPr>
            </w:pPr>
            <w:r>
              <w:rPr>
                <w:rFonts w:eastAsia="Times New Roman"/>
                <w:color w:val="000000"/>
                <w:sz w:val="20"/>
                <w:szCs w:val="20"/>
              </w:rPr>
              <w:t>Foreign currency translation (loss) gain,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410" w:type="dxa"/>
              <w:bottom w:w="30" w:type="dxa"/>
              <w:right w:w="20" w:type="dxa"/>
            </w:tcMar>
            <w:vAlign w:val="bottom"/>
            <w:hideMark/>
          </w:tcPr>
          <w:p w:rsidR="00000000" w:rsidRDefault="00E16B33">
            <w:pPr>
              <w:spacing w:after="100"/>
              <w:ind w:hanging="270"/>
              <w:rPr>
                <w:rFonts w:eastAsia="Times New Roman"/>
              </w:rPr>
            </w:pPr>
            <w:r>
              <w:rPr>
                <w:rFonts w:eastAsia="Times New Roman"/>
                <w:color w:val="000000"/>
                <w:sz w:val="20"/>
                <w:szCs w:val="20"/>
              </w:rPr>
              <w:t>Net unrealized (loss) gain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410" w:type="dxa"/>
              <w:bottom w:w="30" w:type="dxa"/>
              <w:right w:w="20" w:type="dxa"/>
            </w:tcMar>
            <w:vAlign w:val="bottom"/>
            <w:hideMark/>
          </w:tcPr>
          <w:p w:rsidR="00000000" w:rsidRDefault="00E16B33">
            <w:pPr>
              <w:spacing w:after="100"/>
              <w:ind w:hanging="270"/>
              <w:rPr>
                <w:rFonts w:eastAsia="Times New Roman"/>
              </w:rPr>
            </w:pPr>
            <w:r>
              <w:rPr>
                <w:rFonts w:eastAsia="Times New Roman"/>
                <w:color w:val="000000"/>
                <w:sz w:val="20"/>
                <w:szCs w:val="20"/>
              </w:rPr>
              <w:t>Net unrecognized loss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410" w:type="dxa"/>
              <w:bottom w:w="30" w:type="dxa"/>
              <w:right w:w="20" w:type="dxa"/>
            </w:tcMar>
            <w:vAlign w:val="bottom"/>
            <w:hideMark/>
          </w:tcPr>
          <w:p w:rsidR="00000000" w:rsidRDefault="00E16B33">
            <w:pPr>
              <w:spacing w:after="100"/>
              <w:ind w:hanging="270"/>
              <w:rPr>
                <w:rFonts w:eastAsia="Times New Roman"/>
              </w:rPr>
            </w:pPr>
            <w:r>
              <w:rPr>
                <w:rFonts w:eastAsia="Times New Roman"/>
                <w:color w:val="000000"/>
                <w:sz w:val="20"/>
                <w:szCs w:val="20"/>
              </w:rPr>
              <w:t>Other comprehensive (loss) income,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410" w:type="dxa"/>
              <w:bottom w:w="30" w:type="dxa"/>
              <w:right w:w="20" w:type="dxa"/>
            </w:tcMar>
            <w:vAlign w:val="bottom"/>
            <w:hideMark/>
          </w:tcPr>
          <w:p w:rsidR="00000000" w:rsidRDefault="00E16B33">
            <w:pPr>
              <w:spacing w:after="100"/>
              <w:ind w:hanging="270"/>
              <w:rPr>
                <w:rFonts w:eastAsia="Times New Roman"/>
              </w:rPr>
            </w:pPr>
            <w:r>
              <w:rPr>
                <w:rFonts w:eastAsia="Times New Roman"/>
                <w:color w:val="000000"/>
                <w:sz w:val="20"/>
                <w:szCs w:val="20"/>
              </w:rPr>
              <w:lastRenderedPageBreak/>
              <w:t>Reclassification adjustments for (gains) losses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Comprehensive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90" w:type="dxa"/>
              <w:bottom w:w="30" w:type="dxa"/>
              <w:right w:w="20" w:type="dxa"/>
            </w:tcMar>
            <w:vAlign w:val="bottom"/>
            <w:hideMark/>
          </w:tcPr>
          <w:p w:rsidR="00000000" w:rsidRDefault="00E16B33">
            <w:pPr>
              <w:spacing w:after="100"/>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jc w:val="center"/>
        <w:divId w:val="482700422"/>
        <w:rPr>
          <w:rFonts w:eastAsia="Times New Roman"/>
        </w:rPr>
      </w:pPr>
      <w:r>
        <w:rPr>
          <w:rFonts w:eastAsia="Times New Roman"/>
          <w:color w:val="000000"/>
          <w:sz w:val="20"/>
          <w:szCs w:val="20"/>
        </w:rPr>
        <w:t>See accompanying Notes to Condensed Consolidated Financial Statements (Unaudited).</w:t>
      </w:r>
    </w:p>
    <w:p w:rsidR="00000000" w:rsidRDefault="00E16B33">
      <w:pPr>
        <w:ind w:firstLine="360"/>
        <w:jc w:val="center"/>
        <w:divId w:val="1751997785"/>
        <w:rPr>
          <w:rFonts w:eastAsia="Times New Roman"/>
        </w:rPr>
      </w:pPr>
      <w:r>
        <w:rPr>
          <w:rFonts w:eastAsia="Times New Roman"/>
          <w:color w:val="000000"/>
          <w:sz w:val="20"/>
          <w:szCs w:val="20"/>
        </w:rPr>
        <w:t>2</w:t>
      </w:r>
    </w:p>
    <w:p w:rsidR="00000000" w:rsidRDefault="00E16B33">
      <w:pPr>
        <w:rPr>
          <w:rFonts w:eastAsia="Times New Roman"/>
        </w:rPr>
      </w:pPr>
      <w:r>
        <w:rPr>
          <w:rFonts w:eastAsia="Times New Roman"/>
        </w:rPr>
        <w:pict>
          <v:rect id="_x0000_i1029" style="width:0;height:1.5pt" o:hralign="center" o:hrstd="t" o:hr="t" fillcolor="#a0a0a0" stroked="f"/>
        </w:pict>
      </w:r>
    </w:p>
    <w:p w:rsidR="00000000" w:rsidRDefault="00E16B33">
      <w:pPr>
        <w:ind w:firstLine="360"/>
        <w:divId w:val="2089887817"/>
        <w:rPr>
          <w:rFonts w:eastAsia="Times New Roman"/>
        </w:rPr>
      </w:pPr>
    </w:p>
    <w:p w:rsidR="00000000" w:rsidRDefault="00E16B33">
      <w:pPr>
        <w:jc w:val="center"/>
        <w:divId w:val="1479608004"/>
        <w:rPr>
          <w:rFonts w:eastAsia="Times New Roman"/>
        </w:rPr>
      </w:pPr>
      <w:r>
        <w:rPr>
          <w:rFonts w:eastAsia="Times New Roman"/>
          <w:b/>
          <w:bCs/>
          <w:color w:val="000000"/>
          <w:sz w:val="20"/>
          <w:szCs w:val="20"/>
        </w:rPr>
        <w:t>L3HARRIS TECHNOLOGIES, INC. AND SUBSIDIARIES</w:t>
      </w:r>
    </w:p>
    <w:p w:rsidR="00000000" w:rsidRDefault="00E16B33">
      <w:pPr>
        <w:ind w:firstLine="360"/>
        <w:jc w:val="center"/>
        <w:rPr>
          <w:rFonts w:eastAsia="Times New Roman"/>
        </w:rPr>
      </w:pPr>
      <w:r>
        <w:rPr>
          <w:rFonts w:eastAsia="Times New Roman"/>
          <w:b/>
          <w:bCs/>
          <w:color w:val="000000"/>
          <w:sz w:val="20"/>
          <w:szCs w:val="20"/>
        </w:rPr>
        <w:t xml:space="preserve">CONDENSED CONSOLIDATED BALANCE SHEET </w:t>
      </w:r>
    </w:p>
    <w:p w:rsidR="00000000" w:rsidRDefault="00E16B33">
      <w:pPr>
        <w:ind w:firstLine="360"/>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27"/>
        <w:gridCol w:w="36"/>
        <w:gridCol w:w="120"/>
        <w:gridCol w:w="1059"/>
        <w:gridCol w:w="36"/>
        <w:gridCol w:w="36"/>
        <w:gridCol w:w="36"/>
        <w:gridCol w:w="36"/>
        <w:gridCol w:w="120"/>
        <w:gridCol w:w="1023"/>
        <w:gridCol w:w="36"/>
      </w:tblGrid>
      <w:tr w:rsidR="00000000">
        <w:trPr>
          <w:jc w:val="center"/>
        </w:trPr>
        <w:tc>
          <w:tcPr>
            <w:tcW w:w="50" w:type="pct"/>
            <w:vAlign w:val="center"/>
            <w:hideMark/>
          </w:tcPr>
          <w:p w:rsidR="00000000" w:rsidRDefault="00E16B33">
            <w:pPr>
              <w:ind w:firstLine="360"/>
              <w:jc w:val="center"/>
              <w:rPr>
                <w:rFonts w:eastAsia="Times New Roman"/>
              </w:rPr>
            </w:pPr>
          </w:p>
        </w:tc>
        <w:tc>
          <w:tcPr>
            <w:tcW w:w="347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2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 except sha</w:t>
            </w:r>
            <w:r>
              <w:rPr>
                <w:rFonts w:eastAsia="Times New Roman"/>
                <w:b/>
                <w:bCs/>
                <w:color w:val="000000"/>
                <w:sz w:val="16"/>
                <w:szCs w:val="16"/>
              </w:rPr>
              <w:t>res)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1,191 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1,241 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982 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Inventory prepayments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2,042 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2,101 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761 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769 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18,143 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18,189 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6,321 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6,640 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27,950 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lastRenderedPageBreak/>
              <w:t>Short-term debt</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1,721 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1,767 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1,270 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898 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1,002 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Defined benefit plans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756 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6,782 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7,048 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1,032 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1,057 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1,065 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 xml:space="preserve">Shareholders’ </w:t>
            </w: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divId w:val="544873307"/>
              <w:rPr>
                <w:rFonts w:eastAsia="Times New Roman"/>
              </w:rPr>
            </w:pPr>
            <w:r>
              <w:rPr>
                <w:rFonts w:eastAsia="Times New Roman"/>
                <w:color w:val="000000"/>
                <w:sz w:val="20"/>
                <w:szCs w:val="20"/>
              </w:rPr>
              <w:t>Preferred stock, without par value; 1,000,000 shares authorized; none issued</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16B33">
            <w:pPr>
              <w:spacing w:after="100"/>
              <w:ind w:hanging="270"/>
              <w:divId w:val="52898265"/>
              <w:rPr>
                <w:rFonts w:eastAsia="Times New Roman"/>
              </w:rPr>
            </w:pPr>
            <w:r>
              <w:rPr>
                <w:rFonts w:eastAsia="Times New Roman"/>
                <w:color w:val="000000"/>
                <w:sz w:val="20"/>
                <w:szCs w:val="20"/>
              </w:rPr>
              <w:t>Common stock, $1.00 par value; 500,000,000 shares authorized; issued and outstanding 191,518,970 and 193,511,401 shares at July </w:t>
            </w:r>
            <w:r>
              <w:rPr>
                <w:rFonts w:eastAsia="Times New Roman"/>
                <w:color w:val="000000"/>
                <w:sz w:val="20"/>
                <w:szCs w:val="20"/>
              </w:rPr>
              <w:t>1,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capital</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15,814 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16,248 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3,312 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2,917 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19,319 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jc w:val="center"/>
        <w:rPr>
          <w:rFonts w:eastAsia="Times New Roman"/>
        </w:rPr>
      </w:pPr>
      <w:r>
        <w:rPr>
          <w:rFonts w:eastAsia="Times New Roman"/>
          <w:color w:val="000000"/>
          <w:sz w:val="18"/>
          <w:szCs w:val="18"/>
        </w:rPr>
        <w:t>See accompanying Notes to Condensed Consolidated Financial Statements (Unaudited).</w:t>
      </w:r>
    </w:p>
    <w:p w:rsidR="00000000" w:rsidRDefault="00E16B33">
      <w:pPr>
        <w:ind w:firstLine="360"/>
        <w:jc w:val="center"/>
        <w:divId w:val="1715301667"/>
        <w:rPr>
          <w:rFonts w:eastAsia="Times New Roman"/>
        </w:rPr>
      </w:pPr>
      <w:r>
        <w:rPr>
          <w:rFonts w:eastAsia="Times New Roman"/>
          <w:color w:val="000000"/>
          <w:sz w:val="20"/>
          <w:szCs w:val="20"/>
        </w:rPr>
        <w:t>3</w:t>
      </w:r>
    </w:p>
    <w:p w:rsidR="00000000" w:rsidRDefault="00E16B33">
      <w:pPr>
        <w:rPr>
          <w:rFonts w:eastAsia="Times New Roman"/>
        </w:rPr>
      </w:pPr>
      <w:r>
        <w:rPr>
          <w:rFonts w:eastAsia="Times New Roman"/>
        </w:rPr>
        <w:pict>
          <v:rect id="_x0000_i1030" style="width:0;height:1.5pt" o:hralign="center" o:hrstd="t" o:hr="t" fillcolor="#a0a0a0" stroked="f"/>
        </w:pict>
      </w:r>
    </w:p>
    <w:p w:rsidR="00000000" w:rsidRDefault="00E16B33">
      <w:pPr>
        <w:ind w:firstLine="360"/>
        <w:divId w:val="1027565412"/>
        <w:rPr>
          <w:rFonts w:eastAsia="Times New Roman"/>
        </w:rPr>
      </w:pPr>
    </w:p>
    <w:p w:rsidR="00000000" w:rsidRDefault="00E16B33">
      <w:pPr>
        <w:jc w:val="center"/>
        <w:divId w:val="1682856276"/>
        <w:rPr>
          <w:rFonts w:eastAsia="Times New Roman"/>
        </w:rPr>
      </w:pPr>
      <w:r>
        <w:rPr>
          <w:rFonts w:eastAsia="Times New Roman"/>
          <w:b/>
          <w:bCs/>
          <w:color w:val="000000"/>
          <w:sz w:val="20"/>
          <w:szCs w:val="20"/>
        </w:rPr>
        <w:t>L3HARRIS TECHNOLOGIES, INC. AND SUBSIDIARIES</w:t>
      </w:r>
    </w:p>
    <w:p w:rsidR="00000000" w:rsidRDefault="00E16B33">
      <w:pPr>
        <w:jc w:val="center"/>
        <w:rPr>
          <w:rFonts w:eastAsia="Times New Roman"/>
        </w:rPr>
      </w:pPr>
      <w:r>
        <w:rPr>
          <w:rFonts w:eastAsia="Times New Roman"/>
          <w:b/>
          <w:bCs/>
          <w:color w:val="000000"/>
          <w:sz w:val="20"/>
          <w:szCs w:val="20"/>
        </w:rPr>
        <w:t xml:space="preserve">CONDENSED CONSOLIDATED STATEMENT OF CASH FLOWS </w:t>
      </w:r>
    </w:p>
    <w:p w:rsidR="00000000" w:rsidRDefault="00E16B33">
      <w:pPr>
        <w:ind w:firstLine="360"/>
        <w:jc w:val="center"/>
        <w:divId w:val="257831231"/>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673"/>
        <w:gridCol w:w="40"/>
        <w:gridCol w:w="121"/>
        <w:gridCol w:w="1040"/>
        <w:gridCol w:w="36"/>
        <w:gridCol w:w="36"/>
        <w:gridCol w:w="36"/>
        <w:gridCol w:w="36"/>
        <w:gridCol w:w="120"/>
        <w:gridCol w:w="1041"/>
        <w:gridCol w:w="36"/>
        <w:gridCol w:w="36"/>
      </w:tblGrid>
      <w:tr w:rsidR="00000000">
        <w:trPr>
          <w:divId w:val="257831231"/>
          <w:jc w:val="center"/>
        </w:trPr>
        <w:tc>
          <w:tcPr>
            <w:tcW w:w="50" w:type="pct"/>
            <w:vAlign w:val="center"/>
            <w:hideMark/>
          </w:tcPr>
          <w:p w:rsidR="00000000" w:rsidRDefault="00E16B33">
            <w:pPr>
              <w:ind w:firstLine="360"/>
              <w:jc w:val="center"/>
              <w:rPr>
                <w:rFonts w:eastAsia="Times New Roman"/>
              </w:rPr>
            </w:pPr>
          </w:p>
        </w:tc>
        <w:tc>
          <w:tcPr>
            <w:tcW w:w="347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r>
      <w:tr w:rsidR="00000000">
        <w:trPr>
          <w:divId w:val="257831231"/>
          <w:jc w:val="center"/>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r>
      <w:tr w:rsidR="00000000">
        <w:trPr>
          <w:divId w:val="257831231"/>
          <w:trHeight w:val="60"/>
          <w:jc w:val="center"/>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CCEE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879 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CCEE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Gain on sale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Gain on sale of asset group</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6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CCEE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38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Additions to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Proceeds from sale of property, plant and equipment,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Proceeds from sales of businesses, net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Proceeds from sale of asset group</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Cash used for equity investments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Net cash (used in)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(729)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(1,550)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7831231"/>
          <w:jc w:val="center"/>
        </w:trPr>
        <w:tc>
          <w:tcPr>
            <w:tcW w:w="0" w:type="auto"/>
            <w:gridSpan w:val="3"/>
            <w:shd w:val="clear" w:color="auto" w:fill="FFFF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Tax withholding payments associated with vested share-based awards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14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Other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b/>
                <w:bCs/>
                <w:color w:val="000000"/>
                <w:sz w:val="20"/>
                <w:szCs w:val="20"/>
              </w:rPr>
              <w:t>Net (decrease)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(521)</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753 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CCEE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b/>
                <w:bCs/>
                <w:color w:val="000000"/>
                <w:sz w:val="20"/>
                <w:szCs w:val="20"/>
              </w:rPr>
              <w:t>Cash and cash equivalents, beginning of period</w:t>
            </w: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r w:rsidR="00000000">
        <w:trPr>
          <w:divId w:val="257831231"/>
          <w:jc w:val="center"/>
        </w:trPr>
        <w:tc>
          <w:tcPr>
            <w:tcW w:w="0" w:type="auto"/>
            <w:gridSpan w:val="3"/>
            <w:shd w:val="clear" w:color="auto" w:fill="FFFFFF"/>
            <w:tcMar>
              <w:top w:w="30" w:type="dxa"/>
              <w:left w:w="20" w:type="dxa"/>
              <w:bottom w:w="30" w:type="dxa"/>
              <w:right w:w="20" w:type="dxa"/>
            </w:tcMar>
            <w:vAlign w:val="center"/>
            <w:hideMark/>
          </w:tcPr>
          <w:p w:rsidR="00000000" w:rsidRDefault="00E16B33">
            <w:pPr>
              <w:spacing w:after="100"/>
              <w:rPr>
                <w:rFonts w:eastAsia="Times New Roman"/>
              </w:rPr>
            </w:pPr>
            <w:r>
              <w:rPr>
                <w:rFonts w:eastAsia="Times New Roman"/>
                <w:b/>
                <w:bCs/>
                <w:color w:val="000000"/>
                <w:sz w:val="20"/>
                <w:szCs w:val="20"/>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E16B33">
            <w:pPr>
              <w:spacing w:after="100"/>
              <w:jc w:val="right"/>
              <w:rPr>
                <w:rFonts w:eastAsia="Times New Roman"/>
              </w:rPr>
            </w:pPr>
            <w:r>
              <w:rPr>
                <w:rFonts w:eastAsia="Times New Roman"/>
                <w:color w:val="000000"/>
                <w:sz w:val="20"/>
                <w:szCs w:val="20"/>
              </w:rPr>
              <w:t>2,029 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r>
    </w:tbl>
    <w:p w:rsidR="00000000" w:rsidRDefault="00E16B33">
      <w:pPr>
        <w:ind w:firstLine="360"/>
        <w:jc w:val="center"/>
        <w:divId w:val="1686396425"/>
        <w:rPr>
          <w:rFonts w:eastAsia="Times New Roman"/>
        </w:rPr>
      </w:pPr>
      <w:r>
        <w:rPr>
          <w:rFonts w:eastAsia="Times New Roman"/>
          <w:color w:val="000000"/>
          <w:sz w:val="18"/>
          <w:szCs w:val="18"/>
        </w:rPr>
        <w:t>See accompanying Notes to Condensed Consolidated Financial Statements (Unaudited).</w:t>
      </w:r>
    </w:p>
    <w:p w:rsidR="00000000" w:rsidRDefault="00E16B33">
      <w:pPr>
        <w:ind w:firstLine="360"/>
        <w:jc w:val="center"/>
        <w:divId w:val="687148102"/>
        <w:rPr>
          <w:rFonts w:eastAsia="Times New Roman"/>
        </w:rPr>
      </w:pPr>
      <w:r>
        <w:rPr>
          <w:rFonts w:eastAsia="Times New Roman"/>
          <w:color w:val="000000"/>
          <w:sz w:val="20"/>
          <w:szCs w:val="20"/>
        </w:rPr>
        <w:t>4</w:t>
      </w:r>
    </w:p>
    <w:p w:rsidR="00000000" w:rsidRDefault="00E16B33">
      <w:pPr>
        <w:rPr>
          <w:rFonts w:eastAsia="Times New Roman"/>
        </w:rPr>
      </w:pPr>
      <w:r>
        <w:rPr>
          <w:rFonts w:eastAsia="Times New Roman"/>
        </w:rPr>
        <w:pict>
          <v:rect id="_x0000_i1031" style="width:0;height:1.5pt" o:hralign="center" o:hrstd="t" o:hr="t" fillcolor="#a0a0a0" stroked="f"/>
        </w:pict>
      </w:r>
    </w:p>
    <w:p w:rsidR="00000000" w:rsidRDefault="00E16B33">
      <w:pPr>
        <w:ind w:firstLine="360"/>
        <w:divId w:val="1823618564"/>
        <w:rPr>
          <w:rFonts w:eastAsia="Times New Roman"/>
        </w:rPr>
      </w:pPr>
    </w:p>
    <w:p w:rsidR="00000000" w:rsidRDefault="00E16B33">
      <w:pPr>
        <w:jc w:val="center"/>
        <w:divId w:val="183057103"/>
        <w:rPr>
          <w:rFonts w:eastAsia="Times New Roman"/>
        </w:rPr>
      </w:pPr>
      <w:r>
        <w:rPr>
          <w:rFonts w:eastAsia="Times New Roman"/>
          <w:b/>
          <w:bCs/>
          <w:color w:val="000000"/>
          <w:sz w:val="20"/>
          <w:szCs w:val="20"/>
        </w:rPr>
        <w:t>L3HARRIS TECHNOLOGIES, INC. AND SUBSIDIARIES</w:t>
      </w:r>
    </w:p>
    <w:p w:rsidR="00000000" w:rsidRDefault="00E16B33">
      <w:pPr>
        <w:jc w:val="center"/>
        <w:rPr>
          <w:rFonts w:eastAsia="Times New Roman"/>
        </w:rPr>
      </w:pPr>
      <w:r>
        <w:rPr>
          <w:rFonts w:eastAsia="Times New Roman"/>
          <w:b/>
          <w:bCs/>
          <w:color w:val="000000"/>
          <w:sz w:val="20"/>
          <w:szCs w:val="20"/>
        </w:rPr>
        <w:t>CONDENSED CONSOLIDATED STATEMENT OF EQUITY</w:t>
      </w:r>
    </w:p>
    <w:p w:rsidR="00000000" w:rsidRDefault="00E16B33">
      <w:pPr>
        <w:ind w:firstLine="360"/>
        <w:jc w:val="center"/>
        <w:divId w:val="1086805300"/>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682"/>
        <w:gridCol w:w="38"/>
        <w:gridCol w:w="121"/>
        <w:gridCol w:w="591"/>
        <w:gridCol w:w="36"/>
        <w:gridCol w:w="36"/>
        <w:gridCol w:w="36"/>
        <w:gridCol w:w="36"/>
        <w:gridCol w:w="120"/>
        <w:gridCol w:w="600"/>
        <w:gridCol w:w="36"/>
        <w:gridCol w:w="36"/>
        <w:gridCol w:w="36"/>
        <w:gridCol w:w="36"/>
        <w:gridCol w:w="121"/>
        <w:gridCol w:w="583"/>
        <w:gridCol w:w="36"/>
        <w:gridCol w:w="36"/>
        <w:gridCol w:w="36"/>
        <w:gridCol w:w="36"/>
        <w:gridCol w:w="121"/>
        <w:gridCol w:w="1000"/>
        <w:gridCol w:w="36"/>
        <w:gridCol w:w="36"/>
        <w:gridCol w:w="36"/>
        <w:gridCol w:w="36"/>
        <w:gridCol w:w="121"/>
        <w:gridCol w:w="693"/>
        <w:gridCol w:w="36"/>
        <w:gridCol w:w="36"/>
        <w:gridCol w:w="36"/>
        <w:gridCol w:w="36"/>
        <w:gridCol w:w="120"/>
        <w:gridCol w:w="600"/>
        <w:gridCol w:w="36"/>
      </w:tblGrid>
      <w:tr w:rsidR="00000000">
        <w:trPr>
          <w:divId w:val="802695220"/>
        </w:trPr>
        <w:tc>
          <w:tcPr>
            <w:tcW w:w="50" w:type="pct"/>
            <w:vAlign w:val="center"/>
            <w:hideMark/>
          </w:tcPr>
          <w:p w:rsidR="00000000" w:rsidRDefault="00E16B33">
            <w:pPr>
              <w:ind w:firstLine="360"/>
              <w:jc w:val="center"/>
              <w:rPr>
                <w:rFonts w:eastAsia="Times New Roman"/>
              </w:rPr>
            </w:pPr>
          </w:p>
        </w:tc>
        <w:tc>
          <w:tcPr>
            <w:tcW w:w="192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0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0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0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0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2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0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802695220"/>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April 1, 2022</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16,089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3,128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(150)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19,365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hanging="120"/>
              <w:divId w:val="1410883987"/>
              <w:rPr>
                <w:rFonts w:eastAsia="Times New Roman"/>
              </w:rPr>
            </w:pPr>
            <w:r>
              <w:rPr>
                <w:rFonts w:eastAsia="Times New Roman"/>
                <w:color w:val="000000"/>
                <w:sz w:val="20"/>
                <w:szCs w:val="20"/>
              </w:rPr>
              <w:t>Cash dividends ($1.12 per share)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w:t>
            </w: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July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15,814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3,312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19,190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Height w:val="100"/>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April 2, 2021</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18,487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2,529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(854)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20,482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(850)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hanging="120"/>
              <w:divId w:val="1959094316"/>
              <w:rPr>
                <w:rFonts w:eastAsia="Times New Roman"/>
              </w:rPr>
            </w:pPr>
            <w:r>
              <w:rPr>
                <w:rFonts w:eastAsia="Times New Roman"/>
                <w:color w:val="000000"/>
                <w:sz w:val="20"/>
                <w:szCs w:val="20"/>
              </w:rPr>
              <w:t>Cash dividends ($1.02 per share)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July 2,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17,863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2,633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19,976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Height w:val="100"/>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16,248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2,917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 xml:space="preserve">Net income </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(611)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(729)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hanging="120"/>
              <w:divId w:val="81922894"/>
              <w:rPr>
                <w:rFonts w:eastAsia="Times New Roman"/>
              </w:rPr>
            </w:pPr>
            <w:r>
              <w:rPr>
                <w:rFonts w:eastAsia="Times New Roman"/>
                <w:color w:val="000000"/>
                <w:sz w:val="20"/>
                <w:szCs w:val="20"/>
              </w:rPr>
              <w:t>Cash dividends ($2.24 per share)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w:t>
            </w:r>
            <w:r>
              <w:rPr>
                <w:rFonts w:eastAsia="Times New Roman"/>
                <w:color w:val="000000"/>
                <w:sz w:val="20"/>
                <w:szCs w:val="20"/>
              </w:rPr>
              <w:t>435)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July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15,814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3,312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19,190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Height w:val="100"/>
        </w:trPr>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19,008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20,841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879 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(1,364)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(1,550)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hanging="120"/>
              <w:divId w:val="940450646"/>
              <w:rPr>
                <w:rFonts w:eastAsia="Times New Roman"/>
              </w:rPr>
            </w:pPr>
            <w:r>
              <w:rPr>
                <w:rFonts w:eastAsia="Times New Roman"/>
                <w:color w:val="000000"/>
                <w:sz w:val="20"/>
                <w:szCs w:val="20"/>
              </w:rPr>
              <w:t>Cash dividends ($2.04 per share)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w:t>
            </w:r>
            <w:r>
              <w:rPr>
                <w:rFonts w:eastAsia="Times New Roman"/>
                <w:color w:val="000000"/>
                <w:sz w:val="20"/>
                <w:szCs w:val="20"/>
              </w:rPr>
              <w:t>416)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02695220"/>
        </w:trPr>
        <w:tc>
          <w:tcPr>
            <w:tcW w:w="0" w:type="auto"/>
            <w:gridSpan w:val="3"/>
            <w:shd w:val="clear" w:color="auto" w:fill="FFFFFF"/>
            <w:tcMar>
              <w:top w:w="30" w:type="dxa"/>
              <w:left w:w="283" w:type="dxa"/>
              <w:bottom w:w="30" w:type="dxa"/>
              <w:right w:w="20" w:type="dxa"/>
            </w:tcMar>
            <w:vAlign w:val="bottom"/>
            <w:hideMark/>
          </w:tcPr>
          <w:p w:rsidR="00000000" w:rsidRDefault="00E16B33">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80269522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July 2,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17,863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2,633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19,976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jc w:val="center"/>
        <w:divId w:val="2046175635"/>
        <w:rPr>
          <w:rFonts w:eastAsia="Times New Roman"/>
        </w:rPr>
      </w:pPr>
      <w:r>
        <w:rPr>
          <w:rFonts w:eastAsia="Times New Roman"/>
          <w:color w:val="000000"/>
          <w:sz w:val="18"/>
          <w:szCs w:val="18"/>
        </w:rPr>
        <w:t>See accompanying Notes to Condensed Consolidated Financial Statements (Unaudited).</w:t>
      </w:r>
    </w:p>
    <w:p w:rsidR="00000000" w:rsidRDefault="00E16B33">
      <w:pPr>
        <w:ind w:firstLine="360"/>
        <w:jc w:val="center"/>
        <w:divId w:val="2123718094"/>
        <w:rPr>
          <w:rFonts w:eastAsia="Times New Roman"/>
        </w:rPr>
      </w:pPr>
      <w:r>
        <w:rPr>
          <w:rFonts w:eastAsia="Times New Roman"/>
          <w:color w:val="000000"/>
          <w:sz w:val="20"/>
          <w:szCs w:val="20"/>
        </w:rPr>
        <w:t>5</w:t>
      </w:r>
    </w:p>
    <w:p w:rsidR="00000000" w:rsidRDefault="00E16B33">
      <w:pPr>
        <w:rPr>
          <w:rFonts w:eastAsia="Times New Roman"/>
        </w:rPr>
      </w:pPr>
      <w:r>
        <w:rPr>
          <w:rFonts w:eastAsia="Times New Roman"/>
        </w:rPr>
        <w:pict>
          <v:rect id="_x0000_i1032" style="width:0;height:1.5pt" o:hralign="center" o:hrstd="t" o:hr="t" fillcolor="#a0a0a0" stroked="f"/>
        </w:pict>
      </w:r>
    </w:p>
    <w:p w:rsidR="00000000" w:rsidRDefault="00E16B33">
      <w:pPr>
        <w:ind w:firstLine="360"/>
        <w:divId w:val="1845053140"/>
        <w:rPr>
          <w:rFonts w:eastAsia="Times New Roman"/>
        </w:rPr>
      </w:pPr>
    </w:p>
    <w:p w:rsidR="00000000" w:rsidRDefault="00E16B33">
      <w:pPr>
        <w:jc w:val="center"/>
        <w:divId w:val="1758290189"/>
        <w:rPr>
          <w:rFonts w:eastAsia="Times New Roman"/>
        </w:rPr>
      </w:pPr>
      <w:r>
        <w:rPr>
          <w:rFonts w:eastAsia="Times New Roman"/>
          <w:b/>
          <w:bCs/>
          <w:color w:val="000000"/>
          <w:sz w:val="20"/>
          <w:szCs w:val="20"/>
        </w:rPr>
        <w:t>NOTES TO CONDENSED CONSOLIDATED FINANCIAL STATEMENTS</w:t>
      </w:r>
    </w:p>
    <w:p w:rsidR="00000000" w:rsidRDefault="00E16B33">
      <w:pPr>
        <w:divId w:val="1562251239"/>
        <w:rPr>
          <w:rFonts w:eastAsia="Times New Roman"/>
        </w:rPr>
      </w:pPr>
      <w:r>
        <w:rPr>
          <w:rFonts w:eastAsia="Times New Roman"/>
          <w:b/>
          <w:bCs/>
          <w:color w:val="000000"/>
          <w:sz w:val="20"/>
          <w:szCs w:val="20"/>
        </w:rPr>
        <w:t>NOTE A — SIGNIFICANT ACCOUNTING POLICIES AND RE</w:t>
      </w:r>
      <w:r>
        <w:rPr>
          <w:rFonts w:eastAsia="Times New Roman"/>
          <w:b/>
          <w:bCs/>
          <w:color w:val="000000"/>
          <w:sz w:val="20"/>
          <w:szCs w:val="20"/>
        </w:rPr>
        <w:t>CENT ACCOUNTING STANDARDS</w:t>
      </w:r>
      <w:r>
        <w:rPr>
          <w:rFonts w:eastAsia="Times New Roman"/>
          <w:b/>
          <w:bCs/>
          <w:i/>
          <w:iCs/>
          <w:color w:val="000000"/>
          <w:sz w:val="20"/>
          <w:szCs w:val="20"/>
        </w:rPr>
        <w:t xml:space="preserve"> </w:t>
      </w:r>
    </w:p>
    <w:p w:rsidR="00000000" w:rsidRDefault="00E16B33">
      <w:pPr>
        <w:divId w:val="619527854"/>
        <w:rPr>
          <w:rFonts w:eastAsia="Times New Roman"/>
        </w:rPr>
      </w:pPr>
      <w:r>
        <w:rPr>
          <w:rFonts w:eastAsia="Times New Roman"/>
          <w:b/>
          <w:bCs/>
          <w:color w:val="000000"/>
          <w:sz w:val="20"/>
          <w:szCs w:val="20"/>
        </w:rPr>
        <w:t>Basis of Presentation</w:t>
      </w:r>
    </w:p>
    <w:p w:rsidR="00000000" w:rsidRDefault="00E16B33">
      <w:pPr>
        <w:ind w:firstLine="360"/>
        <w:divId w:val="1078595827"/>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in these Notes to Condensed Consolidated Financial Statements (Unaudited) (these “Notes”</w:t>
      </w:r>
      <w:r>
        <w:rPr>
          <w:rFonts w:eastAsia="Times New Roman"/>
          <w:color w:val="000000"/>
          <w:sz w:val="20"/>
          <w:szCs w:val="20"/>
        </w:rPr>
        <w:t>), the terms “L3Harris,” “Company,” “we,” “our” and “us” refer to L3Harris Technologies, Inc. and its consolidated subsidiaries. Intracompany transactions and accounts have been eliminated in consolidation. The accompanying Condensed Consolidated Financial</w:t>
      </w:r>
      <w:r>
        <w:rPr>
          <w:rFonts w:eastAsia="Times New Roman"/>
          <w:color w:val="000000"/>
          <w:sz w:val="20"/>
          <w:szCs w:val="20"/>
        </w:rPr>
        <w:t xml:space="preserve"> Statements (Unaudited) have been prepared by L3Harris in accordance with U.S. generally accepted accounting principles (“GAAP”) for interim financial information and with the rules and regulations of the Securities and Exchange Commission (“SEC”). Accordi</w:t>
      </w:r>
      <w:r>
        <w:rPr>
          <w:rFonts w:eastAsia="Times New Roman"/>
          <w:color w:val="000000"/>
          <w:sz w:val="20"/>
          <w:szCs w:val="20"/>
        </w:rPr>
        <w:t xml:space="preserve">ngly, such interim financial statements do not include all information and footnotes necessary for a complete presentation of financial condition, results of operations, cash flows and equity in conformity with GAAP for annual financial statements. In the </w:t>
      </w:r>
      <w:r>
        <w:rPr>
          <w:rFonts w:eastAsia="Times New Roman"/>
          <w:color w:val="000000"/>
          <w:sz w:val="20"/>
          <w:szCs w:val="20"/>
        </w:rPr>
        <w:t xml:space="preserve">opinion of management, such interim financial statements reflect all adjustments (including normal recurring adjustments) considered necessary for a fair presentation of our financial condition, results of operations, cash flows and equity for the periods </w:t>
      </w:r>
      <w:r>
        <w:rPr>
          <w:rFonts w:eastAsia="Times New Roman"/>
          <w:color w:val="000000"/>
          <w:sz w:val="20"/>
          <w:szCs w:val="20"/>
        </w:rPr>
        <w:t>presented therein. The results for the quarter and two quarters ended July 1, 2022 are not necessarily indicative of the results that may be expected for the full fiscal year or any subsequent period. The balance sheet at December 31, 2021 has been derived</w:t>
      </w:r>
      <w:r>
        <w:rPr>
          <w:rFonts w:eastAsia="Times New Roman"/>
          <w:color w:val="000000"/>
          <w:sz w:val="20"/>
          <w:szCs w:val="20"/>
        </w:rPr>
        <w:t xml:space="preserve"> from our audited financial statements, but does not include all of the information and footnotes required by GAAP for annual financial statements. We provide complete, audited financial statements in our Annual Report on Form 10-K, which includes informat</w:t>
      </w:r>
      <w:r>
        <w:rPr>
          <w:rFonts w:eastAsia="Times New Roman"/>
          <w:color w:val="000000"/>
          <w:sz w:val="20"/>
          <w:szCs w:val="20"/>
        </w:rPr>
        <w:t>ion and footnotes required by the rules and regulations of the SEC. The information included in this Quarterly Report on Form 10-Q (this “Report”) should be read in conjunction with the Management’s Discussion and Analysis of Financial Condition and Result</w:t>
      </w:r>
      <w:r>
        <w:rPr>
          <w:rFonts w:eastAsia="Times New Roman"/>
          <w:color w:val="000000"/>
          <w:sz w:val="20"/>
          <w:szCs w:val="20"/>
        </w:rPr>
        <w:t xml:space="preserve">s of Operations and the Consolidated Financial Statements and accompanying Notes to Consolidated Financial Statements included in our Annual Report on Form 10-K for the fiscal year ended December 31, 2021 (our “Fiscal 2021 Form 10-K”). </w:t>
      </w:r>
    </w:p>
    <w:p w:rsidR="00000000" w:rsidRDefault="00E16B33">
      <w:pPr>
        <w:ind w:firstLine="360"/>
        <w:divId w:val="1352951487"/>
        <w:rPr>
          <w:rFonts w:eastAsia="Times New Roman"/>
        </w:rPr>
      </w:pPr>
      <w:r>
        <w:rPr>
          <w:rFonts w:eastAsia="Times New Roman"/>
          <w:b/>
          <w:bCs/>
          <w:i/>
          <w:iCs/>
          <w:color w:val="000000"/>
          <w:sz w:val="20"/>
          <w:szCs w:val="20"/>
        </w:rPr>
        <w:t>Segment reorganizat</w:t>
      </w:r>
      <w:r>
        <w:rPr>
          <w:rFonts w:eastAsia="Times New Roman"/>
          <w:b/>
          <w:bCs/>
          <w:i/>
          <w:iCs/>
          <w:color w:val="000000"/>
          <w:sz w:val="20"/>
          <w:szCs w:val="20"/>
        </w:rPr>
        <w:t>ion and change in accounting policy:</w:t>
      </w:r>
      <w:r>
        <w:rPr>
          <w:rFonts w:eastAsia="Times New Roman"/>
          <w:color w:val="000000"/>
          <w:sz w:val="20"/>
          <w:szCs w:val="20"/>
        </w:rPr>
        <w:t xml:space="preserve"> We implemented a new organizational structure effective January 1, 2022, resulting in changes to our operating segments, which are also our reportable segments and are referred to as our business segments. The new struc</w:t>
      </w:r>
      <w:r>
        <w:rPr>
          <w:rFonts w:eastAsia="Times New Roman"/>
          <w:color w:val="000000"/>
          <w:sz w:val="20"/>
          <w:szCs w:val="20"/>
        </w:rPr>
        <w:t>ture streamlined our business segments from four to three business segments. Our former Aviation Systems segment was eliminated as a business segment.</w:t>
      </w:r>
    </w:p>
    <w:p w:rsidR="00000000" w:rsidRDefault="00E16B33">
      <w:pPr>
        <w:ind w:firstLine="360"/>
        <w:divId w:val="1699357908"/>
        <w:rPr>
          <w:rFonts w:eastAsia="Times New Roman"/>
        </w:rPr>
      </w:pPr>
      <w:r>
        <w:rPr>
          <w:rFonts w:eastAsia="Times New Roman"/>
          <w:color w:val="000000"/>
          <w:sz w:val="20"/>
          <w:szCs w:val="20"/>
        </w:rPr>
        <w:t>We updated our business segment reporting and accounting policies for pension and other postretirement be</w:t>
      </w:r>
      <w:r>
        <w:rPr>
          <w:rFonts w:eastAsia="Times New Roman"/>
          <w:color w:val="000000"/>
          <w:sz w:val="20"/>
          <w:szCs w:val="20"/>
        </w:rPr>
        <w:t>nefits plan (“OPEB”) income or expense to better align our presentation of business segment information with our industry peers. Our business segment operating results include pension and OPEB cost under U.S. Government Cost Accounting Standards (“CAS”), a</w:t>
      </w:r>
      <w:r>
        <w:rPr>
          <w:rFonts w:eastAsia="Times New Roman"/>
          <w:color w:val="000000"/>
          <w:sz w:val="20"/>
          <w:szCs w:val="20"/>
        </w:rPr>
        <w:t>s CAS pension and OPEB cost is allocable to and allowable under contracts with the U.S. Government. We no longer assign or allocate Financial Accounting Standards (“FAS”) pension and OPEB income or expense to our business segments. GAAP requires pension an</w:t>
      </w:r>
      <w:r>
        <w:rPr>
          <w:rFonts w:eastAsia="Times New Roman"/>
          <w:color w:val="000000"/>
          <w:sz w:val="20"/>
          <w:szCs w:val="20"/>
        </w:rPr>
        <w:t>d OPEB income or expense to be recognized on a FAS basis. Therefore, we present a “FAS/CAS operating adjustment” outside of business segment results, representing the difference between the service cost component of FAS pension and OPEB income or expense a</w:t>
      </w:r>
      <w:r>
        <w:rPr>
          <w:rFonts w:eastAsia="Times New Roman"/>
          <w:color w:val="000000"/>
          <w:sz w:val="20"/>
          <w:szCs w:val="20"/>
        </w:rPr>
        <w:t xml:space="preserve">nd total CAS pension and OPEB cost or expense. Non-service cost components of FAS pension and OPEB income or expense are included as a component of non-operating income or expense. </w:t>
      </w:r>
    </w:p>
    <w:p w:rsidR="00000000" w:rsidRDefault="00E16B33">
      <w:pPr>
        <w:ind w:firstLine="360"/>
        <w:divId w:val="1913000488"/>
        <w:rPr>
          <w:rFonts w:eastAsia="Times New Roman"/>
        </w:rPr>
      </w:pPr>
      <w:r>
        <w:rPr>
          <w:rFonts w:eastAsia="Times New Roman"/>
          <w:color w:val="000000"/>
          <w:sz w:val="20"/>
          <w:szCs w:val="20"/>
        </w:rPr>
        <w:t>The historical results, discussion and presentation of our business segmen</w:t>
      </w:r>
      <w:r>
        <w:rPr>
          <w:rFonts w:eastAsia="Times New Roman"/>
          <w:color w:val="000000"/>
          <w:sz w:val="20"/>
          <w:szCs w:val="20"/>
        </w:rPr>
        <w:t>ts as set forth in the accompanying Condensed Consolidated Financial Statements (Unaudited) and these Notes reflect the impact of these changes for all periods presented in order to present segment information on a comparable basis. There is no impact on o</w:t>
      </w:r>
      <w:r>
        <w:rPr>
          <w:rFonts w:eastAsia="Times New Roman"/>
          <w:color w:val="000000"/>
          <w:sz w:val="20"/>
          <w:szCs w:val="20"/>
        </w:rPr>
        <w:t xml:space="preserve">ur previously reported consolidated statements of income, balance sheets, statements of cash flows or statements of equity resulting from these changes. See </w:t>
      </w:r>
      <w:r>
        <w:rPr>
          <w:rFonts w:eastAsia="Times New Roman"/>
          <w:i/>
          <w:iCs/>
          <w:color w:val="000000"/>
          <w:sz w:val="20"/>
          <w:szCs w:val="20"/>
        </w:rPr>
        <w:t>Note R — Business Segment Information</w:t>
      </w:r>
      <w:r>
        <w:rPr>
          <w:rFonts w:eastAsia="Times New Roman"/>
          <w:color w:val="000000"/>
          <w:sz w:val="20"/>
          <w:szCs w:val="20"/>
        </w:rPr>
        <w:t xml:space="preserve"> in these Notes for further information regarding our new segm</w:t>
      </w:r>
      <w:r>
        <w:rPr>
          <w:rFonts w:eastAsia="Times New Roman"/>
          <w:color w:val="000000"/>
          <w:sz w:val="20"/>
          <w:szCs w:val="20"/>
        </w:rPr>
        <w:t>ent structure and pension presentation effective in fiscal 2022.</w:t>
      </w:r>
    </w:p>
    <w:p w:rsidR="00000000" w:rsidRDefault="00E16B33">
      <w:pPr>
        <w:divId w:val="472865988"/>
        <w:rPr>
          <w:rFonts w:eastAsia="Times New Roman"/>
        </w:rPr>
      </w:pPr>
      <w:r>
        <w:rPr>
          <w:rFonts w:eastAsia="Times New Roman"/>
          <w:b/>
          <w:bCs/>
          <w:color w:val="000000"/>
          <w:sz w:val="20"/>
          <w:szCs w:val="20"/>
        </w:rPr>
        <w:t>Supplemental Cash Flow Information</w:t>
      </w:r>
    </w:p>
    <w:p w:rsidR="00000000" w:rsidRDefault="00E16B33">
      <w:pPr>
        <w:ind w:firstLine="360"/>
        <w:divId w:val="1824392006"/>
        <w:rPr>
          <w:rFonts w:eastAsia="Times New Roman"/>
        </w:rPr>
      </w:pPr>
      <w:r>
        <w:rPr>
          <w:rFonts w:eastAsia="Times New Roman"/>
          <w:color w:val="000000"/>
          <w:sz w:val="20"/>
          <w:szCs w:val="20"/>
        </w:rPr>
        <w:t>Non-cash investing and financing activities during the two quarters ended July 2, 2021 included a $120 million right-of-use asset we obtained in exchange fo</w:t>
      </w:r>
      <w:r>
        <w:rPr>
          <w:rFonts w:eastAsia="Times New Roman"/>
          <w:color w:val="000000"/>
          <w:sz w:val="20"/>
          <w:szCs w:val="20"/>
        </w:rPr>
        <w:t xml:space="preserve">r a corresponding financing lease liability. These non-cash investing and financing activities are excluded from the “Additions to property, plant and equipment” and “Net proceeds from borrowings” line items in our Condensed Consolidated Statement of Cash </w:t>
      </w:r>
      <w:r>
        <w:rPr>
          <w:rFonts w:eastAsia="Times New Roman"/>
          <w:color w:val="000000"/>
          <w:sz w:val="20"/>
          <w:szCs w:val="20"/>
        </w:rPr>
        <w:t>Flows (Unaudited). Right-of-use assets for finance leases are included in the “Property, plant and equipment, net” line item and the corresponding finance lease liabilities are included in the “Current portion of long-term debt, net” and “Long-term debt, n</w:t>
      </w:r>
      <w:r>
        <w:rPr>
          <w:rFonts w:eastAsia="Times New Roman"/>
          <w:color w:val="000000"/>
          <w:sz w:val="20"/>
          <w:szCs w:val="20"/>
        </w:rPr>
        <w:t>et” line items in our Condensed Consolidated Balance Sheet (Unaudited).</w:t>
      </w:r>
    </w:p>
    <w:p w:rsidR="00000000" w:rsidRDefault="00E16B33">
      <w:pPr>
        <w:divId w:val="269630343"/>
        <w:rPr>
          <w:rFonts w:eastAsia="Times New Roman"/>
        </w:rPr>
      </w:pPr>
      <w:r>
        <w:rPr>
          <w:rFonts w:eastAsia="Times New Roman"/>
          <w:b/>
          <w:bCs/>
          <w:color w:val="000000"/>
          <w:sz w:val="20"/>
          <w:szCs w:val="20"/>
        </w:rPr>
        <w:t>Use of Estimates</w:t>
      </w:r>
    </w:p>
    <w:p w:rsidR="00000000" w:rsidRDefault="00E16B33">
      <w:pPr>
        <w:ind w:firstLine="360"/>
        <w:divId w:val="833760898"/>
        <w:rPr>
          <w:rFonts w:eastAsia="Times New Roman"/>
        </w:rPr>
      </w:pPr>
      <w:r>
        <w:rPr>
          <w:rFonts w:eastAsia="Times New Roman"/>
          <w:color w:val="000000"/>
          <w:sz w:val="20"/>
          <w:szCs w:val="20"/>
        </w:rPr>
        <w:t>The preparation of financial statements in accordance with GAAP requires us to make estimates and assumptions that affect the amounts reported in the accompanying Condensed Consolidated Financial Statements (Unaudited) and these Notes and related disclosur</w:t>
      </w:r>
      <w:r>
        <w:rPr>
          <w:rFonts w:eastAsia="Times New Roman"/>
          <w:color w:val="000000"/>
          <w:sz w:val="20"/>
          <w:szCs w:val="20"/>
        </w:rPr>
        <w:t>es. These estimates and assumptions are based on experience and other information available prior to issuance of the accompanying Condensed Consolidated Financial Statements (Unaudited) and these Notes. Materially different results can occur as circumstanc</w:t>
      </w:r>
      <w:r>
        <w:rPr>
          <w:rFonts w:eastAsia="Times New Roman"/>
          <w:color w:val="000000"/>
          <w:sz w:val="20"/>
          <w:szCs w:val="20"/>
        </w:rPr>
        <w:t xml:space="preserve">es change and additional information becomes known. </w:t>
      </w:r>
    </w:p>
    <w:p w:rsidR="00000000" w:rsidRDefault="00E16B33">
      <w:pPr>
        <w:ind w:firstLine="360"/>
        <w:jc w:val="center"/>
        <w:divId w:val="1035302861"/>
        <w:rPr>
          <w:rFonts w:eastAsia="Times New Roman"/>
        </w:rPr>
      </w:pPr>
      <w:r>
        <w:rPr>
          <w:rFonts w:eastAsia="Times New Roman"/>
          <w:color w:val="000000"/>
          <w:sz w:val="20"/>
          <w:szCs w:val="20"/>
        </w:rPr>
        <w:t>6</w:t>
      </w:r>
    </w:p>
    <w:p w:rsidR="00000000" w:rsidRDefault="00E16B33">
      <w:pPr>
        <w:rPr>
          <w:rFonts w:eastAsia="Times New Roman"/>
        </w:rPr>
      </w:pPr>
      <w:r>
        <w:rPr>
          <w:rFonts w:eastAsia="Times New Roman"/>
        </w:rPr>
        <w:pict>
          <v:rect id="_x0000_i1033" style="width:0;height:1.5pt" o:hralign="center" o:hrstd="t" o:hr="t" fillcolor="#a0a0a0" stroked="f"/>
        </w:pict>
      </w:r>
    </w:p>
    <w:p w:rsidR="00000000" w:rsidRDefault="00E16B33">
      <w:pPr>
        <w:ind w:firstLine="360"/>
        <w:divId w:val="1118178464"/>
        <w:rPr>
          <w:rFonts w:eastAsia="Times New Roman"/>
        </w:rPr>
      </w:pPr>
    </w:p>
    <w:p w:rsidR="00000000" w:rsidRDefault="00E16B33">
      <w:pPr>
        <w:divId w:val="1207794049"/>
        <w:rPr>
          <w:rFonts w:eastAsia="Times New Roman"/>
        </w:rPr>
      </w:pPr>
      <w:r>
        <w:rPr>
          <w:rFonts w:eastAsia="Times New Roman"/>
          <w:b/>
          <w:bCs/>
          <w:color w:val="000000"/>
          <w:sz w:val="20"/>
          <w:szCs w:val="20"/>
        </w:rPr>
        <w:t>Significant Accounting Policies Update</w:t>
      </w:r>
    </w:p>
    <w:p w:rsidR="00000000" w:rsidRDefault="00E16B33">
      <w:pPr>
        <w:ind w:firstLine="360"/>
        <w:divId w:val="1983461494"/>
        <w:rPr>
          <w:rFonts w:eastAsia="Times New Roman"/>
        </w:rPr>
      </w:pPr>
      <w:r>
        <w:rPr>
          <w:rFonts w:eastAsia="Times New Roman"/>
          <w:color w:val="000000"/>
          <w:sz w:val="20"/>
          <w:szCs w:val="20"/>
        </w:rPr>
        <w:t>There have been no material changes to our significant accounting policies described in our Fiscal 2021 Form 10-K.</w:t>
      </w:r>
    </w:p>
    <w:p w:rsidR="00000000" w:rsidRDefault="00E16B33">
      <w:pPr>
        <w:divId w:val="235745864"/>
        <w:rPr>
          <w:rFonts w:eastAsia="Times New Roman"/>
        </w:rPr>
      </w:pPr>
      <w:r>
        <w:rPr>
          <w:rFonts w:eastAsia="Times New Roman"/>
          <w:b/>
          <w:bCs/>
          <w:color w:val="000000"/>
          <w:sz w:val="20"/>
          <w:szCs w:val="20"/>
        </w:rPr>
        <w:t xml:space="preserve">NOTE B— </w:t>
      </w:r>
      <w:r>
        <w:rPr>
          <w:rFonts w:eastAsia="Times New Roman"/>
          <w:b/>
          <w:bCs/>
          <w:color w:val="000000"/>
          <w:sz w:val="20"/>
          <w:szCs w:val="20"/>
        </w:rPr>
        <w:t xml:space="preserve">BUSINESS DIVESTITURES AND ASSET SALES </w:t>
      </w:r>
    </w:p>
    <w:p w:rsidR="00000000" w:rsidRDefault="00E16B33">
      <w:pPr>
        <w:divId w:val="172960566"/>
        <w:rPr>
          <w:rFonts w:eastAsia="Times New Roman"/>
        </w:rPr>
      </w:pPr>
      <w:r>
        <w:rPr>
          <w:rFonts w:eastAsia="Times New Roman"/>
          <w:b/>
          <w:bCs/>
          <w:color w:val="000000"/>
          <w:sz w:val="20"/>
          <w:szCs w:val="20"/>
        </w:rPr>
        <w:t>Completed Divestitures and Asset Sales — Two Quarters ended July 1, 2022</w:t>
      </w:r>
    </w:p>
    <w:p w:rsidR="00000000" w:rsidRDefault="00E16B33">
      <w:pPr>
        <w:ind w:firstLine="360"/>
        <w:divId w:val="1502349775"/>
        <w:rPr>
          <w:rFonts w:eastAsia="Times New Roman"/>
        </w:rPr>
      </w:pPr>
      <w:r>
        <w:rPr>
          <w:rFonts w:eastAsia="Times New Roman"/>
          <w:color w:val="000000"/>
          <w:sz w:val="20"/>
          <w:szCs w:val="20"/>
        </w:rPr>
        <w:t>During the two quarters ended July 1, 2022, we completed one business divestiture and one asset sale from our Integrated Mission Systems busines</w:t>
      </w:r>
      <w:r>
        <w:rPr>
          <w:rFonts w:eastAsia="Times New Roman"/>
          <w:color w:val="000000"/>
          <w:sz w:val="20"/>
          <w:szCs w:val="20"/>
        </w:rPr>
        <w:t>s segment for combined net cash proceeds of $20 million and recognized a pre-tax gain of $8 million associated with the asset sale included in the “Engineering, selling and administrative expenses” line of our Condensed Consolidated Statement of Income for</w:t>
      </w:r>
      <w:r>
        <w:rPr>
          <w:rFonts w:eastAsia="Times New Roman"/>
          <w:color w:val="000000"/>
          <w:sz w:val="20"/>
          <w:szCs w:val="20"/>
        </w:rPr>
        <w:t xml:space="preserve"> the quarter and two quarters ended July 1, 2022. </w:t>
      </w:r>
    </w:p>
    <w:p w:rsidR="00000000" w:rsidRDefault="00E16B33">
      <w:pPr>
        <w:divId w:val="1628000302"/>
        <w:rPr>
          <w:rFonts w:eastAsia="Times New Roman"/>
        </w:rPr>
      </w:pPr>
      <w:r>
        <w:rPr>
          <w:rFonts w:eastAsia="Times New Roman"/>
          <w:b/>
          <w:bCs/>
          <w:color w:val="000000"/>
          <w:sz w:val="20"/>
          <w:szCs w:val="20"/>
        </w:rPr>
        <w:t>Completed Divestitures and Asset Sales — Two Quarters ended July 2, 2021</w:t>
      </w:r>
    </w:p>
    <w:p w:rsidR="00000000" w:rsidRDefault="00E16B33">
      <w:pPr>
        <w:ind w:firstLine="360"/>
        <w:divId w:val="472529723"/>
        <w:rPr>
          <w:rFonts w:eastAsia="Times New Roman"/>
        </w:rPr>
      </w:pPr>
      <w:r>
        <w:rPr>
          <w:rFonts w:eastAsia="Times New Roman"/>
          <w:color w:val="000000"/>
          <w:sz w:val="20"/>
          <w:szCs w:val="20"/>
        </w:rPr>
        <w:t>The following table presents information regarding business divestitures and asset sales completed during the two quarters ended Jul</w:t>
      </w:r>
      <w:r>
        <w:rPr>
          <w:rFonts w:eastAsia="Times New Roman"/>
          <w:color w:val="000000"/>
          <w:sz w:val="20"/>
          <w:szCs w:val="20"/>
        </w:rPr>
        <w:t>y 2,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2702"/>
        <w:gridCol w:w="37"/>
        <w:gridCol w:w="38"/>
        <w:gridCol w:w="2251"/>
        <w:gridCol w:w="37"/>
        <w:gridCol w:w="36"/>
        <w:gridCol w:w="36"/>
        <w:gridCol w:w="36"/>
        <w:gridCol w:w="52"/>
        <w:gridCol w:w="1126"/>
        <w:gridCol w:w="36"/>
        <w:gridCol w:w="36"/>
        <w:gridCol w:w="36"/>
        <w:gridCol w:w="36"/>
        <w:gridCol w:w="120"/>
        <w:gridCol w:w="668"/>
        <w:gridCol w:w="36"/>
        <w:gridCol w:w="36"/>
        <w:gridCol w:w="36"/>
        <w:gridCol w:w="36"/>
        <w:gridCol w:w="121"/>
        <w:gridCol w:w="684"/>
        <w:gridCol w:w="36"/>
      </w:tblGrid>
      <w:tr w:rsidR="00000000">
        <w:trPr>
          <w:divId w:val="194579477"/>
        </w:trPr>
        <w:tc>
          <w:tcPr>
            <w:tcW w:w="50" w:type="pct"/>
            <w:vAlign w:val="center"/>
            <w:hideMark/>
          </w:tcPr>
          <w:p w:rsidR="00000000" w:rsidRDefault="00E16B33">
            <w:pPr>
              <w:ind w:firstLine="360"/>
              <w:rPr>
                <w:rFonts w:eastAsia="Times New Roman"/>
              </w:rPr>
            </w:pPr>
          </w:p>
        </w:tc>
        <w:tc>
          <w:tcPr>
            <w:tcW w:w="1661"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38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72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3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3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Business Segment Prior to Divestiture / Asset Sal</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Date of Divestiture / Asset Sale</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Sale Price</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Net Cash Proceed</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r>
      <w:tr w:rsidR="00000000">
        <w:trPr>
          <w:divId w:val="19457947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1787701706"/>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20"/>
                <w:szCs w:val="20"/>
              </w:rPr>
              <w:t>July 2, 2021</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4579477"/>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divId w:val="1158768284"/>
              <w:rPr>
                <w:rFonts w:eastAsia="Times New Roman"/>
              </w:rPr>
            </w:pPr>
            <w:r>
              <w:rPr>
                <w:rFonts w:eastAsia="Times New Roman"/>
                <w:color w:val="000000"/>
                <w:sz w:val="20"/>
                <w:szCs w:val="20"/>
              </w:rPr>
              <w:t>Military training busines</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20"/>
                <w:szCs w:val="20"/>
              </w:rPr>
              <w:t>July 2, 2021</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1,050 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1,074 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457947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658383233"/>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color w:val="000000"/>
                <w:sz w:val="20"/>
                <w:szCs w:val="20"/>
              </w:rPr>
              <w:t>July 2, 202</w:t>
            </w:r>
            <w:r>
              <w:rPr>
                <w:rFonts w:eastAsia="Times New Roman"/>
                <w:color w:val="000000"/>
                <w:sz w:val="20"/>
                <w:szCs w:val="20"/>
              </w:rPr>
              <w:t>1</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4579477"/>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4579477"/>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9457947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295725944"/>
        <w:rPr>
          <w:rFonts w:eastAsia="Times New Roman"/>
        </w:rPr>
      </w:pPr>
      <w:r>
        <w:rPr>
          <w:rFonts w:eastAsia="Times New Roman"/>
          <w:color w:val="000000"/>
          <w:sz w:val="16"/>
          <w:szCs w:val="16"/>
        </w:rPr>
        <w:t>_______________</w:t>
      </w:r>
    </w:p>
    <w:p w:rsidR="00000000" w:rsidRDefault="00E16B33">
      <w:pPr>
        <w:ind w:hanging="360"/>
        <w:divId w:val="33384729"/>
        <w:rPr>
          <w:rFonts w:eastAsia="Times New Roman"/>
        </w:rPr>
      </w:pPr>
      <w:r>
        <w:rPr>
          <w:rFonts w:eastAsia="Times New Roman"/>
          <w:color w:val="000000"/>
          <w:sz w:val="16"/>
          <w:szCs w:val="16"/>
        </w:rPr>
        <w:t>(1)</w:t>
      </w:r>
      <w:r>
        <w:rPr>
          <w:rFonts w:eastAsia="Times New Roman"/>
          <w:color w:val="000000"/>
          <w:sz w:val="16"/>
          <w:szCs w:val="16"/>
        </w:rPr>
        <w:t>Business segment in which the operating results of each divested business were reported through the date of divestiture.</w:t>
      </w:r>
    </w:p>
    <w:p w:rsidR="00000000" w:rsidRDefault="00E16B33">
      <w:pPr>
        <w:ind w:hanging="360"/>
        <w:divId w:val="2066489660"/>
        <w:rPr>
          <w:rFonts w:eastAsia="Times New Roman"/>
        </w:rPr>
      </w:pPr>
      <w:r>
        <w:rPr>
          <w:rFonts w:eastAsia="Times New Roman"/>
          <w:color w:val="000000"/>
          <w:sz w:val="16"/>
          <w:szCs w:val="16"/>
        </w:rPr>
        <w:t>(2)Net cash proceeds after selling costs and purchase price adjustments.</w:t>
      </w:r>
    </w:p>
    <w:p w:rsidR="00000000" w:rsidRDefault="00E16B33">
      <w:pPr>
        <w:ind w:hanging="360"/>
        <w:divId w:val="298073118"/>
        <w:rPr>
          <w:rFonts w:eastAsia="Times New Roman"/>
        </w:rPr>
      </w:pPr>
      <w:r>
        <w:rPr>
          <w:rFonts w:eastAsia="Times New Roman"/>
          <w:color w:val="000000"/>
          <w:sz w:val="16"/>
          <w:szCs w:val="16"/>
        </w:rPr>
        <w:t xml:space="preserve">(3)The Combat Propulsion Systems and related businesses (“CPS </w:t>
      </w:r>
      <w:r>
        <w:rPr>
          <w:rFonts w:eastAsia="Times New Roman"/>
          <w:color w:val="000000"/>
          <w:sz w:val="16"/>
          <w:szCs w:val="16"/>
        </w:rPr>
        <w:t xml:space="preserve">business”) engineered, designed and manufactured engines, transmissions, suspensions and turret drive systems for tracked and wheeled combat vehicle systems. </w:t>
      </w:r>
    </w:p>
    <w:p w:rsidR="00000000" w:rsidRDefault="00E16B33">
      <w:pPr>
        <w:ind w:hanging="360"/>
        <w:divId w:val="1606963011"/>
        <w:rPr>
          <w:rFonts w:eastAsia="Times New Roman"/>
        </w:rPr>
      </w:pPr>
      <w:r>
        <w:rPr>
          <w:rFonts w:eastAsia="Times New Roman"/>
          <w:color w:val="000000"/>
          <w:sz w:val="16"/>
          <w:szCs w:val="16"/>
        </w:rPr>
        <w:t>(4)The military training business provided flight simulation solutions and training services to t</w:t>
      </w:r>
      <w:r>
        <w:rPr>
          <w:rFonts w:eastAsia="Times New Roman"/>
          <w:color w:val="000000"/>
          <w:sz w:val="16"/>
          <w:szCs w:val="16"/>
        </w:rPr>
        <w:t xml:space="preserve">he U.S. Department of Defense and foreign military agencies. </w:t>
      </w:r>
    </w:p>
    <w:p w:rsidR="00000000" w:rsidRDefault="00E16B33">
      <w:pPr>
        <w:ind w:hanging="360"/>
        <w:divId w:val="1267348122"/>
        <w:rPr>
          <w:rFonts w:eastAsia="Times New Roman"/>
        </w:rPr>
      </w:pPr>
      <w:r>
        <w:rPr>
          <w:rFonts w:eastAsia="Times New Roman"/>
          <w:color w:val="000000"/>
          <w:sz w:val="16"/>
          <w:szCs w:val="16"/>
        </w:rPr>
        <w:t xml:space="preserve">(5)The Voice Switch Enterprise disposal group (“VSE disposal group”) provided voice over internet protocol systems for air traffic management. </w:t>
      </w:r>
    </w:p>
    <w:p w:rsidR="00000000" w:rsidRDefault="00E16B33">
      <w:pPr>
        <w:ind w:hanging="360"/>
        <w:divId w:val="1640454825"/>
        <w:rPr>
          <w:rFonts w:eastAsia="Times New Roman"/>
        </w:rPr>
      </w:pPr>
      <w:r>
        <w:rPr>
          <w:rFonts w:eastAsia="Times New Roman"/>
          <w:color w:val="000000"/>
          <w:sz w:val="16"/>
          <w:szCs w:val="16"/>
        </w:rPr>
        <w:t>(6)The sale of the VSE disposal group was partiall</w:t>
      </w:r>
      <w:r>
        <w:rPr>
          <w:rFonts w:eastAsia="Times New Roman"/>
          <w:color w:val="000000"/>
          <w:sz w:val="16"/>
          <w:szCs w:val="16"/>
        </w:rPr>
        <w:t>y closed on July 2, 2021, with the remainder divested on July 30, 2021.</w:t>
      </w:r>
    </w:p>
    <w:p w:rsidR="00000000" w:rsidRDefault="00E16B33">
      <w:pPr>
        <w:ind w:hanging="360"/>
        <w:divId w:val="641888045"/>
        <w:rPr>
          <w:rFonts w:eastAsia="Times New Roman"/>
        </w:rPr>
      </w:pPr>
      <w:r>
        <w:rPr>
          <w:rFonts w:eastAsia="Times New Roman"/>
          <w:color w:val="000000"/>
          <w:sz w:val="16"/>
          <w:szCs w:val="16"/>
        </w:rPr>
        <w:t>(7)Formerly our Aviation Systems segment.</w:t>
      </w:r>
    </w:p>
    <w:p w:rsidR="00000000" w:rsidRDefault="00E16B33">
      <w:pPr>
        <w:ind w:firstLine="360"/>
        <w:divId w:val="183788995"/>
        <w:rPr>
          <w:rFonts w:eastAsia="Times New Roman"/>
        </w:rPr>
      </w:pPr>
      <w:r>
        <w:rPr>
          <w:rFonts w:eastAsia="Times New Roman"/>
          <w:b/>
          <w:bCs/>
          <w:i/>
          <w:iCs/>
          <w:color w:val="000000"/>
          <w:sz w:val="20"/>
          <w:szCs w:val="20"/>
        </w:rPr>
        <w:t xml:space="preserve">Income Before Income Taxes Attributable to Businesses Divested: </w:t>
      </w:r>
      <w:r>
        <w:rPr>
          <w:rFonts w:eastAsia="Times New Roman"/>
          <w:color w:val="000000"/>
          <w:sz w:val="20"/>
          <w:szCs w:val="20"/>
        </w:rPr>
        <w:t>The following table presents the amount of significant income before income taxes attributable to businesses divested in our Condensed Consolidated Statement of Income (Unaudited):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221"/>
        <w:gridCol w:w="37"/>
        <w:gridCol w:w="36"/>
        <w:gridCol w:w="36"/>
        <w:gridCol w:w="121"/>
        <w:gridCol w:w="951"/>
        <w:gridCol w:w="36"/>
        <w:gridCol w:w="36"/>
        <w:gridCol w:w="36"/>
        <w:gridCol w:w="37"/>
        <w:gridCol w:w="37"/>
        <w:gridCol w:w="37"/>
        <w:gridCol w:w="120"/>
        <w:gridCol w:w="951"/>
        <w:gridCol w:w="36"/>
        <w:gridCol w:w="36"/>
        <w:gridCol w:w="36"/>
        <w:gridCol w:w="36"/>
        <w:gridCol w:w="36"/>
        <w:gridCol w:w="36"/>
        <w:gridCol w:w="36"/>
        <w:gridCol w:w="36"/>
        <w:gridCol w:w="36"/>
        <w:gridCol w:w="36"/>
        <w:gridCol w:w="36"/>
        <w:gridCol w:w="36"/>
        <w:gridCol w:w="36"/>
        <w:gridCol w:w="36"/>
        <w:gridCol w:w="36"/>
        <w:gridCol w:w="36"/>
      </w:tblGrid>
      <w:tr w:rsidR="00000000">
        <w:trPr>
          <w:divId w:val="183788995"/>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935014942"/>
              <w:rPr>
                <w:rFonts w:eastAsia="Times New Roman"/>
              </w:rPr>
            </w:pPr>
            <w:r>
              <w:rPr>
                <w:rFonts w:eastAsia="Times New Roman"/>
                <w:color w:val="000000"/>
                <w:sz w:val="20"/>
                <w:szCs w:val="20"/>
              </w:rPr>
              <w:t>Electron Devices busines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divId w:val="982276515"/>
              <w:rPr>
                <w:rFonts w:eastAsia="Times New Roman"/>
              </w:rPr>
            </w:pPr>
            <w:r>
              <w:rPr>
                <w:rFonts w:eastAsia="Times New Roman"/>
                <w:color w:val="000000"/>
                <w:sz w:val="20"/>
                <w:szCs w:val="20"/>
              </w:rPr>
              <w:t>CPS business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Military training business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83788995"/>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302345246"/>
        <w:rPr>
          <w:rFonts w:eastAsia="Times New Roman"/>
        </w:rPr>
      </w:pPr>
      <w:r>
        <w:rPr>
          <w:rFonts w:eastAsia="Times New Roman"/>
          <w:color w:val="000000"/>
          <w:sz w:val="16"/>
          <w:szCs w:val="16"/>
        </w:rPr>
        <w:t>_______________</w:t>
      </w:r>
    </w:p>
    <w:p w:rsidR="00000000" w:rsidRDefault="00E16B33">
      <w:pPr>
        <w:ind w:hanging="360"/>
        <w:divId w:val="1822504613"/>
        <w:rPr>
          <w:rFonts w:eastAsia="Times New Roman"/>
        </w:rPr>
      </w:pPr>
      <w:r>
        <w:rPr>
          <w:rFonts w:eastAsia="Times New Roman"/>
          <w:color w:val="000000"/>
          <w:sz w:val="16"/>
          <w:szCs w:val="16"/>
        </w:rPr>
        <w:t>(1)The Electron Devices and Narda Microwave-West divisions (“Electron Devices business”) manufactured microwave devices for ground-based, airborne and satellite communications and radar. We entered into a definitive agreement to sell th</w:t>
      </w:r>
      <w:r>
        <w:rPr>
          <w:rFonts w:eastAsia="Times New Roman"/>
          <w:color w:val="000000"/>
          <w:sz w:val="16"/>
          <w:szCs w:val="16"/>
        </w:rPr>
        <w:t>e Electron Devices business on July 2, 2021. The sale of the Electron Devices business was closed on October 1, 2021.</w:t>
      </w:r>
    </w:p>
    <w:p w:rsidR="00000000" w:rsidRDefault="00E16B33">
      <w:pPr>
        <w:ind w:firstLine="360"/>
        <w:divId w:val="251857750"/>
        <w:rPr>
          <w:rFonts w:eastAsia="Times New Roman"/>
        </w:rPr>
      </w:pPr>
      <w:r>
        <w:rPr>
          <w:rFonts w:eastAsia="Times New Roman"/>
          <w:b/>
          <w:bCs/>
          <w:i/>
          <w:iCs/>
          <w:color w:val="000000"/>
          <w:sz w:val="20"/>
          <w:szCs w:val="20"/>
        </w:rPr>
        <w:t xml:space="preserve">Business Divestiture-Related Gains, net: </w:t>
      </w:r>
      <w:r>
        <w:rPr>
          <w:rFonts w:eastAsia="Times New Roman"/>
          <w:color w:val="000000"/>
          <w:sz w:val="20"/>
          <w:szCs w:val="20"/>
        </w:rPr>
        <w:t>The “Business divestiture-related gains, net” line item in our Condensed Consolidated Statement o</w:t>
      </w:r>
      <w:r>
        <w:rPr>
          <w:rFonts w:eastAsia="Times New Roman"/>
          <w:color w:val="000000"/>
          <w:sz w:val="20"/>
          <w:szCs w:val="20"/>
        </w:rPr>
        <w:t xml:space="preserve">f Income (Unaudited) is comprised of the following pre-tax gains associated with businesses divested.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5109"/>
        <w:gridCol w:w="38"/>
        <w:gridCol w:w="36"/>
        <w:gridCol w:w="36"/>
        <w:gridCol w:w="121"/>
        <w:gridCol w:w="929"/>
        <w:gridCol w:w="36"/>
        <w:gridCol w:w="36"/>
        <w:gridCol w:w="36"/>
        <w:gridCol w:w="36"/>
        <w:gridCol w:w="661"/>
        <w:gridCol w:w="36"/>
        <w:gridCol w:w="36"/>
        <w:gridCol w:w="36"/>
        <w:gridCol w:w="120"/>
        <w:gridCol w:w="929"/>
        <w:gridCol w:w="36"/>
      </w:tblGrid>
      <w:tr w:rsidR="00000000">
        <w:trPr>
          <w:divId w:val="251857750"/>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4"/>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divId w:val="251857750"/>
          <w:trHeight w:val="6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VSE disposal group</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251857750"/>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divId w:val="1781490630"/>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251857750"/>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Military training business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251857750"/>
        </w:trPr>
        <w:tc>
          <w:tcPr>
            <w:tcW w:w="0" w:type="auto"/>
            <w:gridSpan w:val="3"/>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251857750"/>
        </w:trPr>
        <w:tc>
          <w:tcPr>
            <w:tcW w:w="0" w:type="auto"/>
            <w:gridSpan w:val="3"/>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51857750"/>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 xml:space="preserve">Total business divestiture-related gains, net </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divId w:val="251857750"/>
        <w:rPr>
          <w:rFonts w:eastAsia="Times New Roman"/>
        </w:rPr>
      </w:pPr>
      <w:r>
        <w:rPr>
          <w:rFonts w:eastAsia="Times New Roman"/>
          <w:color w:val="000000"/>
          <w:sz w:val="16"/>
          <w:szCs w:val="16"/>
        </w:rPr>
        <w:t>_______________</w:t>
      </w:r>
    </w:p>
    <w:p w:rsidR="00000000" w:rsidRDefault="00E16B33">
      <w:pPr>
        <w:ind w:hanging="360"/>
        <w:divId w:val="1988514695"/>
        <w:rPr>
          <w:rFonts w:eastAsia="Times New Roman"/>
        </w:rPr>
      </w:pPr>
      <w:r>
        <w:rPr>
          <w:rFonts w:eastAsia="Times New Roman"/>
          <w:color w:val="000000"/>
          <w:sz w:val="16"/>
          <w:szCs w:val="16"/>
        </w:rPr>
        <w:t>(1)During the quarter ended April 2, 2021, upon classifying the CPS business as held for sale, we recorded a non-cash impairment charge of $62 million, which is included in the “Impairment of goodwill and other assets” line item</w:t>
      </w:r>
      <w:r>
        <w:rPr>
          <w:rFonts w:eastAsia="Times New Roman"/>
          <w:color w:val="000000"/>
          <w:sz w:val="16"/>
          <w:szCs w:val="16"/>
        </w:rPr>
        <w:t xml:space="preserve"> in our Condensed Consolidated Statement of Income (Unaudited) for the two quarters ended July 2, 2021. See </w:t>
      </w:r>
      <w:r>
        <w:rPr>
          <w:rFonts w:eastAsia="Times New Roman"/>
          <w:i/>
          <w:iCs/>
          <w:color w:val="000000"/>
          <w:sz w:val="16"/>
          <w:szCs w:val="16"/>
        </w:rPr>
        <w:t>Note I — Goodwill and Other Intangible Assets</w:t>
      </w:r>
      <w:r>
        <w:rPr>
          <w:rFonts w:eastAsia="Times New Roman"/>
          <w:color w:val="000000"/>
          <w:sz w:val="16"/>
          <w:szCs w:val="16"/>
        </w:rPr>
        <w:t xml:space="preserve"> in these Notes for additional information.</w:t>
      </w:r>
    </w:p>
    <w:p w:rsidR="00000000" w:rsidRDefault="00E16B33">
      <w:pPr>
        <w:ind w:firstLine="360"/>
        <w:jc w:val="center"/>
        <w:divId w:val="2097087826"/>
        <w:rPr>
          <w:rFonts w:eastAsia="Times New Roman"/>
        </w:rPr>
      </w:pPr>
      <w:r>
        <w:rPr>
          <w:rFonts w:eastAsia="Times New Roman"/>
          <w:color w:val="000000"/>
          <w:sz w:val="20"/>
          <w:szCs w:val="20"/>
        </w:rPr>
        <w:t>7</w:t>
      </w:r>
    </w:p>
    <w:p w:rsidR="00000000" w:rsidRDefault="00E16B33">
      <w:pPr>
        <w:rPr>
          <w:rFonts w:eastAsia="Times New Roman"/>
        </w:rPr>
      </w:pPr>
      <w:r>
        <w:rPr>
          <w:rFonts w:eastAsia="Times New Roman"/>
        </w:rPr>
        <w:pict>
          <v:rect id="_x0000_i1034" style="width:0;height:1.5pt" o:hralign="center" o:hrstd="t" o:hr="t" fillcolor="#a0a0a0" stroked="f"/>
        </w:pict>
      </w:r>
    </w:p>
    <w:p w:rsidR="00000000" w:rsidRDefault="00E16B33">
      <w:pPr>
        <w:ind w:firstLine="360"/>
        <w:divId w:val="1845513619"/>
        <w:rPr>
          <w:rFonts w:eastAsia="Times New Roman"/>
        </w:rPr>
      </w:pPr>
    </w:p>
    <w:p w:rsidR="00000000" w:rsidRDefault="00E16B33">
      <w:pPr>
        <w:divId w:val="50080888"/>
        <w:rPr>
          <w:rFonts w:eastAsia="Times New Roman"/>
        </w:rPr>
      </w:pPr>
      <w:r>
        <w:rPr>
          <w:rFonts w:eastAsia="Times New Roman"/>
          <w:b/>
          <w:bCs/>
          <w:color w:val="000000"/>
          <w:sz w:val="20"/>
          <w:szCs w:val="20"/>
        </w:rPr>
        <w:t>Fair Value of Busi</w:t>
      </w:r>
      <w:r>
        <w:rPr>
          <w:rFonts w:eastAsia="Times New Roman"/>
          <w:b/>
          <w:bCs/>
          <w:color w:val="000000"/>
          <w:sz w:val="20"/>
          <w:szCs w:val="20"/>
        </w:rPr>
        <w:t>nesses and Goodwill Allocation</w:t>
      </w:r>
    </w:p>
    <w:p w:rsidR="00000000" w:rsidRDefault="00E16B33">
      <w:pPr>
        <w:ind w:firstLine="360"/>
        <w:divId w:val="523326456"/>
        <w:rPr>
          <w:rFonts w:eastAsia="Times New Roman"/>
        </w:rPr>
      </w:pPr>
      <w:r>
        <w:rPr>
          <w:rFonts w:eastAsia="Times New Roman"/>
          <w:color w:val="000000"/>
          <w:sz w:val="20"/>
          <w:szCs w:val="20"/>
        </w:rPr>
        <w:t xml:space="preserve">See </w:t>
      </w:r>
      <w:r>
        <w:rPr>
          <w:rFonts w:eastAsia="Times New Roman"/>
          <w:i/>
          <w:iCs/>
          <w:color w:val="000000"/>
          <w:sz w:val="20"/>
          <w:szCs w:val="20"/>
        </w:rPr>
        <w:t>Note I — Goodwill and Other Intangible Assets</w:t>
      </w:r>
      <w:r>
        <w:rPr>
          <w:rFonts w:eastAsia="Times New Roman"/>
          <w:color w:val="000000"/>
          <w:sz w:val="20"/>
          <w:szCs w:val="20"/>
        </w:rPr>
        <w:t xml:space="preserve"> </w:t>
      </w:r>
      <w:r>
        <w:rPr>
          <w:rFonts w:eastAsia="Times New Roman"/>
          <w:color w:val="000000"/>
          <w:sz w:val="20"/>
          <w:szCs w:val="20"/>
        </w:rPr>
        <w:t>in these Notes for additional information regarding the impairment of goodwill related to business divestitures.</w:t>
      </w:r>
    </w:p>
    <w:p w:rsidR="00000000" w:rsidRDefault="00E16B33">
      <w:pPr>
        <w:divId w:val="2104377276"/>
        <w:rPr>
          <w:rFonts w:eastAsia="Times New Roman"/>
        </w:rPr>
      </w:pPr>
      <w:r>
        <w:rPr>
          <w:rFonts w:eastAsia="Times New Roman"/>
          <w:b/>
          <w:bCs/>
          <w:color w:val="000000"/>
          <w:sz w:val="20"/>
          <w:szCs w:val="20"/>
        </w:rPr>
        <w:t>NOTE C— STOCK OPTIONS AND OTHER SHARE-BASED COMPENSATION</w:t>
      </w:r>
      <w:r>
        <w:rPr>
          <w:rFonts w:eastAsia="Times New Roman"/>
          <w:b/>
          <w:bCs/>
          <w:i/>
          <w:iCs/>
          <w:color w:val="000000"/>
          <w:sz w:val="20"/>
          <w:szCs w:val="20"/>
        </w:rPr>
        <w:t xml:space="preserve"> </w:t>
      </w:r>
    </w:p>
    <w:p w:rsidR="00000000" w:rsidRDefault="00E16B33">
      <w:pPr>
        <w:ind w:firstLine="360"/>
        <w:divId w:val="769400215"/>
        <w:rPr>
          <w:rFonts w:eastAsia="Times New Roman"/>
        </w:rPr>
      </w:pPr>
      <w:r>
        <w:rPr>
          <w:rFonts w:eastAsia="Times New Roman"/>
          <w:color w:val="000000"/>
          <w:sz w:val="20"/>
          <w:szCs w:val="20"/>
        </w:rPr>
        <w:t>At July 1, 2022, we had stock options and other share-based compensation awards outst</w:t>
      </w:r>
      <w:r>
        <w:rPr>
          <w:rFonts w:eastAsia="Times New Roman"/>
          <w:color w:val="000000"/>
          <w:sz w:val="20"/>
          <w:szCs w:val="20"/>
        </w:rPr>
        <w:t>anding under several employee stock incentive plans (“L3Harris SIPs”). The compensation cost related to our share-based awards that was charged against income was $41 million and $69 million for the quarter and two quarters ended July 1, 2022, respectively</w:t>
      </w:r>
      <w:r>
        <w:rPr>
          <w:rFonts w:eastAsia="Times New Roman"/>
          <w:color w:val="000000"/>
          <w:sz w:val="20"/>
          <w:szCs w:val="20"/>
        </w:rPr>
        <w:t>, and $34 million and $67 million for the quarter and two quarters ended and July 2, 2021, respectively. The aggregate number of shares of our common stock issued under L3Harris SIPs, net of shares withheld for tax purposes, was 0.2 million and 0.6 million</w:t>
      </w:r>
      <w:r>
        <w:rPr>
          <w:rFonts w:eastAsia="Times New Roman"/>
          <w:color w:val="000000"/>
          <w:sz w:val="20"/>
          <w:szCs w:val="20"/>
        </w:rPr>
        <w:t xml:space="preserve"> for the quarter and two quarters ended July 1, 2022, respectively, and 0.4 million and 0.5 million for the quarter and two quarters ended July 2, 2021, respectively. </w:t>
      </w:r>
    </w:p>
    <w:p w:rsidR="00000000" w:rsidRDefault="00E16B33">
      <w:pPr>
        <w:ind w:firstLine="360"/>
        <w:divId w:val="1291665138"/>
        <w:rPr>
          <w:rFonts w:eastAsia="Times New Roman"/>
        </w:rPr>
      </w:pPr>
      <w:r>
        <w:rPr>
          <w:rFonts w:eastAsia="Times New Roman"/>
          <w:color w:val="000000"/>
          <w:sz w:val="20"/>
          <w:szCs w:val="20"/>
        </w:rPr>
        <w:t>There were no significant restricted stock units, stock options or performance stock uni</w:t>
      </w:r>
      <w:r>
        <w:rPr>
          <w:rFonts w:eastAsia="Times New Roman"/>
          <w:color w:val="000000"/>
          <w:sz w:val="20"/>
          <w:szCs w:val="20"/>
        </w:rPr>
        <w:t xml:space="preserve">ts granted to participants under L3Harris SIPs during the quarter ended July 1, 2022. Awards granted to participants under L3Harris SIPs during the two quarters ended July 1, 2022 consisted of 0.4 million stock options, 0.2 million performance stock units </w:t>
      </w:r>
      <w:r>
        <w:rPr>
          <w:rFonts w:eastAsia="Times New Roman"/>
          <w:color w:val="000000"/>
          <w:sz w:val="20"/>
          <w:szCs w:val="20"/>
        </w:rPr>
        <w:t>and 0.2 million restricted stock units. During fiscal 2022, the majority of the options and units were granted on February 25, 2022. The fair value as of the grant date of each stock option award was determined using the Black-Scholes-Merton option-pricing</w:t>
      </w:r>
      <w:r>
        <w:rPr>
          <w:rFonts w:eastAsia="Times New Roman"/>
          <w:color w:val="000000"/>
          <w:sz w:val="20"/>
          <w:szCs w:val="20"/>
        </w:rPr>
        <w:t xml:space="preserve"> model and the following assumptions: expected dividend yield of 1.92%; expected volatility of 29.11%; risk-free interest rates averaging 1.86%; and expected term of 5.02 years. The fair value as of the grant date of each restricted stock unit award was ba</w:t>
      </w:r>
      <w:r>
        <w:rPr>
          <w:rFonts w:eastAsia="Times New Roman"/>
          <w:color w:val="000000"/>
          <w:sz w:val="20"/>
          <w:szCs w:val="20"/>
        </w:rPr>
        <w:t>sed on the closing price of our common stock on the grant date. The fair value as of the grant date of each performance stock unit award was determined based on the fair value from a multifactor Monte Carlo valuation model that simulates our stock price an</w:t>
      </w:r>
      <w:r>
        <w:rPr>
          <w:rFonts w:eastAsia="Times New Roman"/>
          <w:color w:val="000000"/>
          <w:sz w:val="20"/>
          <w:szCs w:val="20"/>
        </w:rPr>
        <w:t>d total shareholder return (“TSR”) relative to other companies in the S&amp;P 500, less a discount to reflect the delay in payments of cash dividend-equivalents that are made only upon vesting. The fair value of these awards is amortized to compensation expens</w:t>
      </w:r>
      <w:r>
        <w:rPr>
          <w:rFonts w:eastAsia="Times New Roman"/>
          <w:color w:val="000000"/>
          <w:sz w:val="20"/>
          <w:szCs w:val="20"/>
        </w:rPr>
        <w:t>e over the performance period if achievement of the performance measures is considered probable.</w:t>
      </w:r>
    </w:p>
    <w:p w:rsidR="00000000" w:rsidRDefault="00E16B33">
      <w:pPr>
        <w:ind w:firstLine="360"/>
        <w:divId w:val="1970277211"/>
        <w:rPr>
          <w:rFonts w:eastAsia="Times New Roman"/>
        </w:rPr>
      </w:pPr>
      <w:r>
        <w:rPr>
          <w:rFonts w:eastAsia="Times New Roman"/>
          <w:color w:val="000000"/>
          <w:sz w:val="20"/>
          <w:szCs w:val="20"/>
        </w:rPr>
        <w:t xml:space="preserve">See </w:t>
      </w:r>
      <w:r>
        <w:rPr>
          <w:rFonts w:eastAsia="Times New Roman"/>
          <w:i/>
          <w:iCs/>
          <w:color w:val="000000"/>
          <w:sz w:val="20"/>
          <w:szCs w:val="20"/>
        </w:rPr>
        <w:t>Note 15: Stock Options and Other Share-Based Compensation</w:t>
      </w:r>
      <w:r>
        <w:rPr>
          <w:rFonts w:eastAsia="Times New Roman"/>
          <w:color w:val="000000"/>
          <w:sz w:val="20"/>
          <w:szCs w:val="20"/>
        </w:rPr>
        <w:t xml:space="preserve"> in the Notes to Consolidated Financial Statements in our Fiscal 2021 Form 10-K for additional inf</w:t>
      </w:r>
      <w:r>
        <w:rPr>
          <w:rFonts w:eastAsia="Times New Roman"/>
          <w:color w:val="000000"/>
          <w:sz w:val="20"/>
          <w:szCs w:val="20"/>
        </w:rPr>
        <w:t xml:space="preserve">ormation regarding L3Harris SIPs. </w:t>
      </w:r>
    </w:p>
    <w:p w:rsidR="00000000" w:rsidRDefault="00E16B33">
      <w:pPr>
        <w:divId w:val="608976730"/>
        <w:rPr>
          <w:rFonts w:eastAsia="Times New Roman"/>
        </w:rPr>
      </w:pPr>
      <w:r>
        <w:rPr>
          <w:rFonts w:eastAsia="Times New Roman"/>
          <w:b/>
          <w:bCs/>
          <w:color w:val="000000"/>
          <w:sz w:val="20"/>
          <w:szCs w:val="20"/>
        </w:rPr>
        <w:t>NOTE D— ACCUMULATED OTHER COMPREHENSIVE INCOME (LOSS) (“AOCI”)</w:t>
      </w:r>
      <w:r>
        <w:rPr>
          <w:rFonts w:eastAsia="Times New Roman"/>
          <w:b/>
          <w:bCs/>
          <w:i/>
          <w:iCs/>
          <w:color w:val="000000"/>
          <w:sz w:val="20"/>
          <w:szCs w:val="20"/>
        </w:rPr>
        <w:t xml:space="preserve"> </w:t>
      </w:r>
    </w:p>
    <w:p w:rsidR="00000000" w:rsidRDefault="00E16B33">
      <w:pPr>
        <w:ind w:firstLine="360"/>
        <w:divId w:val="1817602855"/>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831"/>
        <w:gridCol w:w="37"/>
        <w:gridCol w:w="121"/>
        <w:gridCol w:w="916"/>
        <w:gridCol w:w="36"/>
        <w:gridCol w:w="36"/>
        <w:gridCol w:w="36"/>
        <w:gridCol w:w="36"/>
        <w:gridCol w:w="121"/>
        <w:gridCol w:w="916"/>
        <w:gridCol w:w="36"/>
        <w:gridCol w:w="36"/>
        <w:gridCol w:w="36"/>
        <w:gridCol w:w="36"/>
        <w:gridCol w:w="121"/>
        <w:gridCol w:w="964"/>
        <w:gridCol w:w="36"/>
        <w:gridCol w:w="36"/>
        <w:gridCol w:w="36"/>
        <w:gridCol w:w="36"/>
        <w:gridCol w:w="120"/>
        <w:gridCol w:w="652"/>
        <w:gridCol w:w="36"/>
      </w:tblGrid>
      <w:tr w:rsidR="00000000">
        <w:trPr>
          <w:divId w:val="1731533837"/>
        </w:trPr>
        <w:tc>
          <w:tcPr>
            <w:tcW w:w="50" w:type="pct"/>
            <w:vAlign w:val="center"/>
            <w:hideMark/>
          </w:tcPr>
          <w:p w:rsidR="00000000" w:rsidRDefault="00E16B33">
            <w:pPr>
              <w:ind w:firstLine="360"/>
              <w:rPr>
                <w:rFonts w:eastAsia="Times New Roman"/>
              </w:rPr>
            </w:pPr>
          </w:p>
        </w:tc>
        <w:tc>
          <w:tcPr>
            <w:tcW w:w="237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 AOCI</w:t>
            </w:r>
          </w:p>
        </w:tc>
      </w:tr>
      <w:tr w:rsidR="00000000">
        <w:trPr>
          <w:divId w:val="1731533837"/>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shd w:val="clear" w:color="auto" w:fill="FFFFFF"/>
            <w:tcMar>
              <w:top w:w="30" w:type="dxa"/>
              <w:left w:w="335" w:type="dxa"/>
              <w:bottom w:w="30" w:type="dxa"/>
              <w:right w:w="20" w:type="dxa"/>
            </w:tcMar>
            <w:vAlign w:val="bottom"/>
            <w:hideMark/>
          </w:tcPr>
          <w:p w:rsidR="00000000" w:rsidRDefault="00E16B33">
            <w:pPr>
              <w:spacing w:after="100"/>
              <w:ind w:hanging="18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hanging="180"/>
              <w:divId w:val="1290163229"/>
              <w:rPr>
                <w:rFonts w:eastAsia="Times New Roman"/>
              </w:rPr>
            </w:pPr>
            <w:r>
              <w:rPr>
                <w:rFonts w:eastAsia="Times New Roman"/>
                <w:color w:val="000000"/>
                <w:sz w:val="20"/>
                <w:szCs w:val="20"/>
              </w:rPr>
              <w:t>Gains (losses) reclassified to earnings, net of income taxe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shd w:val="clear" w:color="auto" w:fill="FFFFFF"/>
            <w:tcMar>
              <w:top w:w="30" w:type="dxa"/>
              <w:left w:w="200" w:type="dxa"/>
              <w:bottom w:w="30" w:type="dxa"/>
              <w:right w:w="20" w:type="dxa"/>
            </w:tcMar>
            <w:vAlign w:val="bottom"/>
            <w:hideMark/>
          </w:tcPr>
          <w:p w:rsidR="00000000" w:rsidRDefault="00E16B33">
            <w:pPr>
              <w:spacing w:after="100"/>
              <w:ind w:hanging="180"/>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July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Height w:val="28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shd w:val="clear" w:color="auto" w:fill="FFFFFF"/>
            <w:tcMar>
              <w:top w:w="30" w:type="dxa"/>
              <w:left w:w="335" w:type="dxa"/>
              <w:bottom w:w="30" w:type="dxa"/>
              <w:right w:w="20" w:type="dxa"/>
            </w:tcMar>
            <w:vAlign w:val="bottom"/>
            <w:hideMark/>
          </w:tcPr>
          <w:p w:rsidR="00000000" w:rsidRDefault="00E16B33">
            <w:pPr>
              <w:spacing w:after="100"/>
              <w:ind w:hanging="180"/>
              <w:rPr>
                <w:rFonts w:eastAsia="Times New Roman"/>
              </w:rPr>
            </w:pPr>
            <w:r>
              <w:rPr>
                <w:rFonts w:eastAsia="Times New Roman"/>
                <w:color w:val="000000"/>
                <w:sz w:val="20"/>
                <w:szCs w:val="20"/>
              </w:rPr>
              <w:t>Other comprehensive (loss) income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73153383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hanging="180"/>
              <w:divId w:val="1833332145"/>
              <w:rPr>
                <w:rFonts w:eastAsia="Times New Roman"/>
              </w:rPr>
            </w:pPr>
            <w:r>
              <w:rPr>
                <w:rFonts w:eastAsia="Times New Roman"/>
                <w:color w:val="000000"/>
                <w:sz w:val="20"/>
                <w:szCs w:val="20"/>
              </w:rPr>
              <w:t>Losses (gains) reclassified to earnings, net of income taxe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shd w:val="clear" w:color="auto" w:fill="FFFFFF"/>
            <w:tcMar>
              <w:top w:w="30" w:type="dxa"/>
              <w:left w:w="200" w:type="dxa"/>
              <w:bottom w:w="30" w:type="dxa"/>
              <w:right w:w="20" w:type="dxa"/>
            </w:tcMar>
            <w:vAlign w:val="bottom"/>
            <w:hideMark/>
          </w:tcPr>
          <w:p w:rsidR="00000000" w:rsidRDefault="00E16B33">
            <w:pPr>
              <w:spacing w:after="100"/>
              <w:ind w:hanging="18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31533837"/>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Balance at July 2,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(59)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(697)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hanging="360"/>
        <w:divId w:val="732310287"/>
        <w:rPr>
          <w:rFonts w:eastAsia="Times New Roman"/>
        </w:rPr>
      </w:pPr>
      <w:r>
        <w:rPr>
          <w:rFonts w:eastAsia="Times New Roman"/>
          <w:color w:val="000000"/>
          <w:sz w:val="16"/>
          <w:szCs w:val="16"/>
        </w:rPr>
        <w:t>_______________</w:t>
      </w:r>
    </w:p>
    <w:p w:rsidR="00000000" w:rsidRDefault="00E16B33">
      <w:pPr>
        <w:ind w:hanging="360"/>
        <w:divId w:val="1916426985"/>
        <w:rPr>
          <w:rFonts w:eastAsia="Times New Roman"/>
        </w:rPr>
      </w:pPr>
      <w:r>
        <w:rPr>
          <w:rFonts w:eastAsia="Times New Roman"/>
          <w:color w:val="000000"/>
          <w:sz w:val="16"/>
          <w:szCs w:val="16"/>
        </w:rPr>
        <w:t>(1)(Gains) losses reclassified to earnings are included in the “Revenue from product sales and services,” “Business divestiture-related gains, net,” “Int</w:t>
      </w:r>
      <w:r>
        <w:rPr>
          <w:rFonts w:eastAsia="Times New Roman"/>
          <w:color w:val="000000"/>
          <w:sz w:val="16"/>
          <w:szCs w:val="16"/>
        </w:rPr>
        <w:t>erest expense, net” and “Non-operating income</w:t>
      </w:r>
      <w:r>
        <w:rPr>
          <w:rFonts w:eastAsia="Times New Roman"/>
          <w:color w:val="000000"/>
          <w:sz w:val="20"/>
          <w:szCs w:val="20"/>
        </w:rPr>
        <w:t>”</w:t>
      </w:r>
      <w:r>
        <w:rPr>
          <w:rFonts w:eastAsia="Times New Roman"/>
          <w:color w:val="000000"/>
          <w:sz w:val="16"/>
          <w:szCs w:val="16"/>
        </w:rPr>
        <w:t xml:space="preserve"> line items in our Condensed Consolidated Statement of Income (Unaudited).</w:t>
      </w:r>
    </w:p>
    <w:p w:rsidR="00000000" w:rsidRDefault="00E16B33">
      <w:pPr>
        <w:ind w:firstLine="360"/>
        <w:jc w:val="center"/>
        <w:divId w:val="1102336664"/>
        <w:rPr>
          <w:rFonts w:eastAsia="Times New Roman"/>
        </w:rPr>
      </w:pPr>
      <w:r>
        <w:rPr>
          <w:rFonts w:eastAsia="Times New Roman"/>
          <w:color w:val="000000"/>
          <w:sz w:val="20"/>
          <w:szCs w:val="20"/>
        </w:rPr>
        <w:t>8</w:t>
      </w:r>
    </w:p>
    <w:p w:rsidR="00000000" w:rsidRDefault="00E16B33">
      <w:pPr>
        <w:rPr>
          <w:rFonts w:eastAsia="Times New Roman"/>
        </w:rPr>
      </w:pPr>
      <w:r>
        <w:rPr>
          <w:rFonts w:eastAsia="Times New Roman"/>
        </w:rPr>
        <w:pict>
          <v:rect id="_x0000_i1035" style="width:0;height:1.5pt" o:hralign="center" o:hrstd="t" o:hr="t" fillcolor="#a0a0a0" stroked="f"/>
        </w:pict>
      </w:r>
    </w:p>
    <w:p w:rsidR="00000000" w:rsidRDefault="00E16B33">
      <w:pPr>
        <w:ind w:firstLine="360"/>
        <w:divId w:val="764544373"/>
        <w:rPr>
          <w:rFonts w:eastAsia="Times New Roman"/>
        </w:rPr>
      </w:pPr>
    </w:p>
    <w:p w:rsidR="00000000" w:rsidRDefault="00E16B33">
      <w:pPr>
        <w:divId w:val="1499811242"/>
        <w:rPr>
          <w:rFonts w:eastAsia="Times New Roman"/>
        </w:rPr>
      </w:pPr>
      <w:r>
        <w:rPr>
          <w:rFonts w:eastAsia="Times New Roman"/>
          <w:b/>
          <w:bCs/>
          <w:color w:val="000000"/>
          <w:sz w:val="20"/>
          <w:szCs w:val="20"/>
        </w:rPr>
        <w:t>NOTE E— RECEIVABLES, NET</w:t>
      </w:r>
    </w:p>
    <w:p w:rsidR="00000000" w:rsidRDefault="00E16B33">
      <w:pPr>
        <w:ind w:firstLine="360"/>
        <w:divId w:val="135413135"/>
        <w:rPr>
          <w:rFonts w:eastAsia="Times New Roman"/>
        </w:rPr>
      </w:pPr>
      <w:r>
        <w:rPr>
          <w:rFonts w:eastAsia="Times New Roman"/>
          <w:color w:val="000000"/>
          <w:sz w:val="20"/>
          <w:szCs w:val="20"/>
        </w:rPr>
        <w:t>Receivables,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7"/>
        <w:gridCol w:w="120"/>
        <w:gridCol w:w="1047"/>
        <w:gridCol w:w="36"/>
        <w:gridCol w:w="36"/>
        <w:gridCol w:w="36"/>
        <w:gridCol w:w="36"/>
        <w:gridCol w:w="121"/>
        <w:gridCol w:w="1047"/>
        <w:gridCol w:w="36"/>
      </w:tblGrid>
      <w:tr w:rsidR="00000000">
        <w:trPr>
          <w:divId w:val="1860269657"/>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86026965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r>
      <w:tr w:rsidR="00000000">
        <w:trPr>
          <w:divId w:val="1860269657"/>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860269657"/>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1,228 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1,088 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860269657"/>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Less: allowances for collection losses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860269657"/>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divId w:val="1607469935"/>
        <w:rPr>
          <w:rFonts w:eastAsia="Times New Roman"/>
        </w:rPr>
      </w:pPr>
      <w:r>
        <w:rPr>
          <w:rFonts w:eastAsia="Times New Roman"/>
          <w:color w:val="000000"/>
          <w:sz w:val="20"/>
          <w:szCs w:val="20"/>
        </w:rPr>
        <w:t>We have two receivables sale agreements (“RSAs”</w:t>
      </w:r>
      <w:r>
        <w:rPr>
          <w:rFonts w:eastAsia="Times New Roman"/>
          <w:color w:val="000000"/>
          <w:sz w:val="20"/>
          <w:szCs w:val="20"/>
        </w:rPr>
        <w:t>) with two separate third-party financial institutions that permit us to sell, on a non-recourse basis, up to $100 million of outstanding receivables per agreement at any given time. From time to time, we have sold certain customer receivables under the RS</w:t>
      </w:r>
      <w:r>
        <w:rPr>
          <w:rFonts w:eastAsia="Times New Roman"/>
          <w:color w:val="000000"/>
          <w:sz w:val="20"/>
          <w:szCs w:val="20"/>
        </w:rPr>
        <w:t>As, which we continue to service and collect on behalf of the third-party financial institutions and which we account for as sales of receivables with sale proceeds included in net cash provided by operating activities. We did not have outstanding accounts</w:t>
      </w:r>
      <w:r>
        <w:rPr>
          <w:rFonts w:eastAsia="Times New Roman"/>
          <w:color w:val="000000"/>
          <w:sz w:val="20"/>
          <w:szCs w:val="20"/>
        </w:rPr>
        <w:t xml:space="preserve"> receivable sold pursuant to the RSAs at July 1, 2022. Outstanding accounts receivable sold pursuant to the RSAs were $99.9 million at December 31, 2021, with net cash proceeds of $99.8 million.</w:t>
      </w:r>
    </w:p>
    <w:p w:rsidR="00000000" w:rsidRDefault="00E16B33">
      <w:pPr>
        <w:divId w:val="443768970"/>
        <w:rPr>
          <w:rFonts w:eastAsia="Times New Roman"/>
        </w:rPr>
      </w:pPr>
      <w:r>
        <w:rPr>
          <w:rFonts w:eastAsia="Times New Roman"/>
          <w:b/>
          <w:bCs/>
          <w:color w:val="000000"/>
          <w:sz w:val="20"/>
          <w:szCs w:val="20"/>
        </w:rPr>
        <w:t>NOTE F— CONTRACT ASSETS AND CONTRACT LIABILITIES</w:t>
      </w:r>
      <w:r>
        <w:rPr>
          <w:rFonts w:eastAsia="Times New Roman"/>
          <w:b/>
          <w:bCs/>
          <w:i/>
          <w:iCs/>
          <w:color w:val="000000"/>
          <w:sz w:val="20"/>
          <w:szCs w:val="20"/>
        </w:rPr>
        <w:t xml:space="preserve"> </w:t>
      </w:r>
    </w:p>
    <w:p w:rsidR="00000000" w:rsidRDefault="00E16B33">
      <w:pPr>
        <w:ind w:firstLine="360"/>
        <w:divId w:val="652568393"/>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percentage of completion (“POC”) cost-to-cost revenue recognition method. We bill customers as work progr</w:t>
      </w:r>
      <w:r>
        <w:rPr>
          <w:rFonts w:eastAsia="Times New Roman"/>
          <w:color w:val="000000"/>
          <w:sz w:val="20"/>
          <w:szCs w:val="20"/>
        </w:rPr>
        <w:t>esses in accordance with agreed-upon contractual terms, either at periodic intervals, upon achievement of contractual milestones or upon deliveries and, in certain arrangements, the customer may withhold payment of a small portion of the contract price unt</w:t>
      </w:r>
      <w:r>
        <w:rPr>
          <w:rFonts w:eastAsia="Times New Roman"/>
          <w:color w:val="000000"/>
          <w:sz w:val="20"/>
          <w:szCs w:val="20"/>
        </w:rPr>
        <w:t>il contract completion. Contract liabilities include advance payments and billings in excess of revenue recognized, including deferred revenue associated with extended product warranties. Contract assets and liabilities are reported on a contract-by-contra</w:t>
      </w:r>
      <w:r>
        <w:rPr>
          <w:rFonts w:eastAsia="Times New Roman"/>
          <w:color w:val="000000"/>
          <w:sz w:val="20"/>
          <w:szCs w:val="20"/>
        </w:rPr>
        <w:t xml:space="preserve">ct basis at the end of each reporting period. </w:t>
      </w:r>
    </w:p>
    <w:p w:rsidR="00000000" w:rsidRDefault="00E16B33">
      <w:pPr>
        <w:ind w:firstLine="360"/>
        <w:divId w:val="1921404222"/>
        <w:rPr>
          <w:rFonts w:eastAsia="Times New Roman"/>
        </w:rPr>
      </w:pPr>
      <w:r>
        <w:rPr>
          <w:rFonts w:eastAsia="Times New Roman"/>
          <w:color w:val="000000"/>
          <w:sz w:val="20"/>
          <w:szCs w:val="20"/>
        </w:rPr>
        <w:t xml:space="preserve">Contract assets and liabilities in the two quarters ended July 1, 2022 were impacted primarily by the timing of contractual billing milestones. </w:t>
      </w:r>
    </w:p>
    <w:p w:rsidR="00000000" w:rsidRDefault="00E16B33">
      <w:pPr>
        <w:ind w:firstLine="360"/>
        <w:jc w:val="both"/>
        <w:divId w:val="1619725296"/>
        <w:rPr>
          <w:rFonts w:eastAsia="Times New Roman"/>
        </w:rPr>
      </w:pPr>
      <w:r>
        <w:rPr>
          <w:rFonts w:eastAsia="Times New Roman"/>
          <w:color w:val="00000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0"/>
        <w:gridCol w:w="1046"/>
        <w:gridCol w:w="36"/>
        <w:gridCol w:w="36"/>
        <w:gridCol w:w="36"/>
        <w:gridCol w:w="36"/>
        <w:gridCol w:w="121"/>
        <w:gridCol w:w="1047"/>
        <w:gridCol w:w="36"/>
      </w:tblGrid>
      <w:tr w:rsidR="00000000">
        <w:trPr>
          <w:divId w:val="1775589622"/>
        </w:trPr>
        <w:tc>
          <w:tcPr>
            <w:tcW w:w="50" w:type="pct"/>
            <w:vAlign w:val="center"/>
            <w:hideMark/>
          </w:tcPr>
          <w:p w:rsidR="00000000" w:rsidRDefault="00E16B33">
            <w:pPr>
              <w:ind w:firstLine="360"/>
              <w:jc w:val="both"/>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775589622"/>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r>
      <w:tr w:rsidR="00000000">
        <w:trPr>
          <w:divId w:val="1775589622"/>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775589622"/>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75589622"/>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(1,270)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(1,297)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75589622"/>
        </w:trPr>
        <w:tc>
          <w:tcPr>
            <w:tcW w:w="0" w:type="auto"/>
            <w:gridSpan w:val="3"/>
            <w:shd w:val="clear" w:color="auto" w:fill="CCEEFF"/>
            <w:tcMar>
              <w:top w:w="30" w:type="dxa"/>
              <w:left w:w="20" w:type="dxa"/>
              <w:bottom w:w="30" w:type="dxa"/>
              <w:right w:w="20" w:type="dxa"/>
            </w:tcMar>
            <w:hideMark/>
          </w:tcPr>
          <w:p w:rsidR="00000000" w:rsidRDefault="00E16B33">
            <w:pPr>
              <w:spacing w:after="100"/>
              <w:divId w:val="1950241443"/>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775589622"/>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hanging="360"/>
        <w:divId w:val="1713455455"/>
        <w:rPr>
          <w:rFonts w:eastAsia="Times New Roman"/>
        </w:rPr>
      </w:pPr>
      <w:r>
        <w:rPr>
          <w:rFonts w:eastAsia="Times New Roman"/>
          <w:color w:val="000000"/>
          <w:sz w:val="16"/>
          <w:szCs w:val="16"/>
        </w:rPr>
        <w:t>_______________</w:t>
      </w:r>
    </w:p>
    <w:p w:rsidR="00000000" w:rsidRDefault="00E16B33">
      <w:pPr>
        <w:ind w:hanging="360"/>
        <w:divId w:val="71898661"/>
        <w:rPr>
          <w:rFonts w:eastAsia="Times New Roman"/>
        </w:rPr>
      </w:pPr>
      <w:r>
        <w:rPr>
          <w:rFonts w:eastAsia="Times New Roman"/>
          <w:color w:val="000000"/>
          <w:sz w:val="16"/>
          <w:szCs w:val="16"/>
        </w:rPr>
        <w:t xml:space="preserve">(1)The non-current portion of contract liabilities is included as a component of the “Other long-term liabilities” </w:t>
      </w:r>
      <w:r>
        <w:rPr>
          <w:rFonts w:eastAsia="Times New Roman"/>
          <w:color w:val="000000"/>
          <w:sz w:val="16"/>
          <w:szCs w:val="16"/>
        </w:rPr>
        <w:t>line item in our Condensed Consolidated Balance Sheet (Unaudited).</w:t>
      </w:r>
    </w:p>
    <w:p w:rsidR="00000000" w:rsidRDefault="00E16B33">
      <w:pPr>
        <w:ind w:firstLine="360"/>
        <w:jc w:val="both"/>
        <w:divId w:val="268662373"/>
        <w:rPr>
          <w:rFonts w:eastAsia="Times New Roman"/>
        </w:rPr>
      </w:pPr>
      <w:r>
        <w:rPr>
          <w:rFonts w:eastAsia="Times New Roman"/>
          <w:color w:val="00000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63"/>
        <w:gridCol w:w="37"/>
        <w:gridCol w:w="120"/>
        <w:gridCol w:w="1037"/>
        <w:gridCol w:w="36"/>
        <w:gridCol w:w="36"/>
        <w:gridCol w:w="36"/>
        <w:gridCol w:w="36"/>
        <w:gridCol w:w="121"/>
        <w:gridCol w:w="1037"/>
        <w:gridCol w:w="36"/>
        <w:gridCol w:w="36"/>
        <w:gridCol w:w="36"/>
      </w:tblGrid>
      <w:tr w:rsidR="00000000">
        <w:trPr>
          <w:divId w:val="1614819196"/>
        </w:trPr>
        <w:tc>
          <w:tcPr>
            <w:tcW w:w="50" w:type="pct"/>
            <w:vAlign w:val="center"/>
            <w:hideMark/>
          </w:tcPr>
          <w:p w:rsidR="00000000" w:rsidRDefault="00E16B33">
            <w:pPr>
              <w:ind w:firstLine="360"/>
              <w:jc w:val="both"/>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1481919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r>
      <w:tr w:rsidR="00000000">
        <w:trPr>
          <w:divId w:val="1614819196"/>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14819196"/>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4,603 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4,921 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14819196"/>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(1,555)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(1,900)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14819196"/>
        </w:trPr>
        <w:tc>
          <w:tcPr>
            <w:tcW w:w="0" w:type="auto"/>
            <w:gridSpan w:val="3"/>
            <w:shd w:val="clear" w:color="auto" w:fill="CCEE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divId w:val="847521734"/>
        <w:rPr>
          <w:rFonts w:eastAsia="Times New Roman"/>
        </w:rPr>
      </w:pPr>
      <w:r>
        <w:rPr>
          <w:rFonts w:eastAsia="Times New Roman"/>
          <w:color w:val="000000"/>
          <w:sz w:val="20"/>
          <w:szCs w:val="20"/>
        </w:rPr>
        <w:t>Contract liabilities recognized as revenue that were outstanding at the end of the prior fiscal year were $254 million and $771 million for the quarter and two quarters ended July 1, 2022, respectively, and $219 million and $727 million for the quarter and</w:t>
      </w:r>
      <w:r>
        <w:rPr>
          <w:rFonts w:eastAsia="Times New Roman"/>
          <w:color w:val="000000"/>
          <w:sz w:val="20"/>
          <w:szCs w:val="20"/>
        </w:rPr>
        <w:t xml:space="preserve"> two quarters ended July 2, 2021, respectively.</w:t>
      </w:r>
    </w:p>
    <w:p w:rsidR="00000000" w:rsidRDefault="00E16B33">
      <w:pPr>
        <w:ind w:firstLine="360"/>
        <w:jc w:val="center"/>
        <w:divId w:val="1998219031"/>
        <w:rPr>
          <w:rFonts w:eastAsia="Times New Roman"/>
        </w:rPr>
      </w:pPr>
      <w:r>
        <w:rPr>
          <w:rFonts w:eastAsia="Times New Roman"/>
          <w:color w:val="000000"/>
          <w:sz w:val="20"/>
          <w:szCs w:val="20"/>
        </w:rPr>
        <w:t>9</w:t>
      </w:r>
    </w:p>
    <w:p w:rsidR="00000000" w:rsidRDefault="00E16B33">
      <w:pPr>
        <w:rPr>
          <w:rFonts w:eastAsia="Times New Roman"/>
        </w:rPr>
      </w:pPr>
      <w:r>
        <w:rPr>
          <w:rFonts w:eastAsia="Times New Roman"/>
        </w:rPr>
        <w:pict>
          <v:rect id="_x0000_i1036" style="width:0;height:1.5pt" o:hralign="center" o:hrstd="t" o:hr="t" fillcolor="#a0a0a0" stroked="f"/>
        </w:pict>
      </w:r>
    </w:p>
    <w:p w:rsidR="00000000" w:rsidRDefault="00E16B33">
      <w:pPr>
        <w:ind w:firstLine="360"/>
        <w:divId w:val="1448815420"/>
        <w:rPr>
          <w:rFonts w:eastAsia="Times New Roman"/>
        </w:rPr>
      </w:pPr>
    </w:p>
    <w:p w:rsidR="00000000" w:rsidRDefault="00E16B33">
      <w:pPr>
        <w:divId w:val="1355153737"/>
        <w:rPr>
          <w:rFonts w:eastAsia="Times New Roman"/>
        </w:rPr>
      </w:pPr>
      <w:r>
        <w:rPr>
          <w:rFonts w:eastAsia="Times New Roman"/>
          <w:b/>
          <w:bCs/>
          <w:color w:val="000000"/>
          <w:sz w:val="20"/>
          <w:szCs w:val="20"/>
        </w:rPr>
        <w:t>NOTE G— INVENTORIES</w:t>
      </w:r>
      <w:r>
        <w:rPr>
          <w:rFonts w:eastAsia="Times New Roman"/>
          <w:b/>
          <w:bCs/>
          <w:i/>
          <w:iCs/>
          <w:color w:val="000000"/>
          <w:sz w:val="20"/>
          <w:szCs w:val="20"/>
        </w:rPr>
        <w:t xml:space="preserve"> </w:t>
      </w:r>
    </w:p>
    <w:p w:rsidR="00000000" w:rsidRDefault="00E16B33">
      <w:pPr>
        <w:ind w:firstLine="360"/>
        <w:divId w:val="1629045761"/>
        <w:rPr>
          <w:rFonts w:eastAsia="Times New Roman"/>
        </w:rPr>
      </w:pPr>
      <w:r>
        <w:rPr>
          <w:rFonts w:eastAsia="Times New Roman"/>
          <w:color w:val="00000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0"/>
        <w:gridCol w:w="1046"/>
        <w:gridCol w:w="36"/>
        <w:gridCol w:w="36"/>
        <w:gridCol w:w="36"/>
        <w:gridCol w:w="36"/>
        <w:gridCol w:w="121"/>
        <w:gridCol w:w="1047"/>
        <w:gridCol w:w="36"/>
      </w:tblGrid>
      <w:tr w:rsidR="00000000">
        <w:trPr>
          <w:divId w:val="78525449"/>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78525449"/>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r>
      <w:tr w:rsidR="00000000">
        <w:trPr>
          <w:divId w:val="78525449"/>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78525449"/>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78525449"/>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78525449"/>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78525449"/>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divId w:val="1580824970"/>
        <w:rPr>
          <w:rFonts w:eastAsia="Times New Roman"/>
        </w:rPr>
      </w:pPr>
      <w:r>
        <w:rPr>
          <w:rFonts w:eastAsia="Times New Roman"/>
          <w:b/>
          <w:bCs/>
          <w:color w:val="000000"/>
          <w:sz w:val="20"/>
          <w:szCs w:val="20"/>
        </w:rPr>
        <w:t>NOTE H— PROPERTY, PLANT AND EQUIPMENT, NET</w:t>
      </w:r>
      <w:r>
        <w:rPr>
          <w:rFonts w:eastAsia="Times New Roman"/>
          <w:b/>
          <w:bCs/>
          <w:i/>
          <w:iCs/>
          <w:color w:val="000000"/>
          <w:sz w:val="20"/>
          <w:szCs w:val="20"/>
        </w:rPr>
        <w:t xml:space="preserve"> </w:t>
      </w:r>
    </w:p>
    <w:p w:rsidR="00000000" w:rsidRDefault="00E16B33">
      <w:pPr>
        <w:ind w:firstLine="360"/>
        <w:divId w:val="1006251060"/>
        <w:rPr>
          <w:rFonts w:eastAsia="Times New Roman"/>
        </w:rPr>
      </w:pPr>
      <w:r>
        <w:rPr>
          <w:rFonts w:eastAsia="Times New Roman"/>
          <w:color w:val="000000"/>
          <w:sz w:val="20"/>
          <w:szCs w:val="20"/>
        </w:rPr>
        <w:t>Property, plant and equipment,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63"/>
        <w:gridCol w:w="37"/>
        <w:gridCol w:w="120"/>
        <w:gridCol w:w="1037"/>
        <w:gridCol w:w="36"/>
        <w:gridCol w:w="36"/>
        <w:gridCol w:w="36"/>
        <w:gridCol w:w="36"/>
        <w:gridCol w:w="121"/>
        <w:gridCol w:w="1037"/>
        <w:gridCol w:w="36"/>
        <w:gridCol w:w="36"/>
        <w:gridCol w:w="36"/>
      </w:tblGrid>
      <w:tr w:rsidR="00000000">
        <w:trPr>
          <w:divId w:val="1006251060"/>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r>
      <w:tr w:rsidR="00000000">
        <w:trPr>
          <w:divId w:val="1006251060"/>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577 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2,216 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2,177 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(2,079)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(1,967)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006251060"/>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divId w:val="1682856570"/>
        <w:rPr>
          <w:rFonts w:eastAsia="Times New Roman"/>
        </w:rPr>
      </w:pPr>
      <w:r>
        <w:rPr>
          <w:rFonts w:eastAsia="Times New Roman"/>
          <w:color w:val="000000"/>
          <w:sz w:val="20"/>
          <w:szCs w:val="20"/>
        </w:rPr>
        <w:t>Depreciation and amortization expense related to property, plant and equipment was $83 million and $166 million for the quarter and two quarters ended July 1, 2022, respectively, and $80 million and $164 million for the quarter and two quarters ended July </w:t>
      </w:r>
      <w:r>
        <w:rPr>
          <w:rFonts w:eastAsia="Times New Roman"/>
          <w:color w:val="000000"/>
          <w:sz w:val="20"/>
          <w:szCs w:val="20"/>
        </w:rPr>
        <w:t>2, 2021, respectively.</w:t>
      </w:r>
    </w:p>
    <w:p w:rsidR="00000000" w:rsidRDefault="00E16B33">
      <w:pPr>
        <w:ind w:firstLine="360"/>
        <w:divId w:val="263390959"/>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I — Goodwill and Other Intangible Assets</w:t>
      </w:r>
      <w:r>
        <w:rPr>
          <w:rFonts w:eastAsia="Times New Roman"/>
          <w:color w:val="000000"/>
          <w:sz w:val="20"/>
          <w:szCs w:val="20"/>
        </w:rPr>
        <w:t xml:space="preserve"> </w:t>
      </w:r>
      <w:r>
        <w:rPr>
          <w:rFonts w:eastAsia="Times New Roman"/>
          <w:color w:val="000000"/>
          <w:sz w:val="20"/>
          <w:szCs w:val="20"/>
        </w:rPr>
        <w:t>in these Notes, in conjunction with, and in advance of, the tests of goodwill related to our Commercial Training Solutions (“CTS”) reporting unit, we recorded an $82 million non-cash impairment charge for long-lived assets, consisting of $19 million, $56 m</w:t>
      </w:r>
      <w:r>
        <w:rPr>
          <w:rFonts w:eastAsia="Times New Roman"/>
          <w:color w:val="000000"/>
          <w:sz w:val="20"/>
          <w:szCs w:val="20"/>
        </w:rPr>
        <w:t>illion and $7 million of impairment charges for right of use assets, property, plant and equipment and software, respectively, which is included in the “Impairment of goodwill and other assets” line item in our Condensed Consolidated Statement of Income (U</w:t>
      </w:r>
      <w:r>
        <w:rPr>
          <w:rFonts w:eastAsia="Times New Roman"/>
          <w:color w:val="000000"/>
          <w:sz w:val="20"/>
          <w:szCs w:val="20"/>
        </w:rPr>
        <w:t>naudited) for the quarter and two quarters ended July 2, 2021.</w:t>
      </w:r>
    </w:p>
    <w:p w:rsidR="00000000" w:rsidRDefault="00E16B33">
      <w:pPr>
        <w:divId w:val="388967381"/>
        <w:rPr>
          <w:rFonts w:eastAsia="Times New Roman"/>
        </w:rPr>
      </w:pPr>
      <w:r>
        <w:rPr>
          <w:rFonts w:eastAsia="Times New Roman"/>
          <w:b/>
          <w:bCs/>
          <w:color w:val="000000"/>
          <w:sz w:val="20"/>
          <w:szCs w:val="20"/>
        </w:rPr>
        <w:t>NOTE I— GOODWILL AND OTHER INTANGIBLE ASSETS</w:t>
      </w:r>
      <w:r>
        <w:rPr>
          <w:rFonts w:eastAsia="Times New Roman"/>
          <w:b/>
          <w:bCs/>
          <w:i/>
          <w:iCs/>
          <w:color w:val="000000"/>
          <w:sz w:val="20"/>
          <w:szCs w:val="20"/>
        </w:rPr>
        <w:t xml:space="preserve"> </w:t>
      </w:r>
    </w:p>
    <w:p w:rsidR="00000000" w:rsidRDefault="00E16B33">
      <w:pPr>
        <w:ind w:firstLine="360"/>
        <w:divId w:val="125584944"/>
        <w:rPr>
          <w:rFonts w:eastAsia="Times New Roman"/>
        </w:rPr>
      </w:pPr>
      <w:r>
        <w:rPr>
          <w:rFonts w:eastAsia="Times New Roman"/>
          <w:color w:val="000000"/>
          <w:sz w:val="20"/>
          <w:szCs w:val="20"/>
        </w:rPr>
        <w:t>The assignment of goodwill by business segment, and changes in the carrying amount of goodwill by business segment,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902"/>
        <w:gridCol w:w="37"/>
        <w:gridCol w:w="121"/>
        <w:gridCol w:w="763"/>
        <w:gridCol w:w="36"/>
        <w:gridCol w:w="36"/>
        <w:gridCol w:w="36"/>
        <w:gridCol w:w="36"/>
        <w:gridCol w:w="121"/>
        <w:gridCol w:w="823"/>
        <w:gridCol w:w="36"/>
        <w:gridCol w:w="36"/>
        <w:gridCol w:w="36"/>
        <w:gridCol w:w="36"/>
        <w:gridCol w:w="121"/>
        <w:gridCol w:w="1036"/>
        <w:gridCol w:w="36"/>
        <w:gridCol w:w="36"/>
        <w:gridCol w:w="36"/>
        <w:gridCol w:w="36"/>
        <w:gridCol w:w="121"/>
        <w:gridCol w:w="810"/>
        <w:gridCol w:w="36"/>
        <w:gridCol w:w="36"/>
        <w:gridCol w:w="36"/>
        <w:gridCol w:w="36"/>
        <w:gridCol w:w="120"/>
        <w:gridCol w:w="680"/>
        <w:gridCol w:w="36"/>
      </w:tblGrid>
      <w:tr w:rsidR="00000000">
        <w:trPr>
          <w:divId w:val="125584944"/>
        </w:trPr>
        <w:tc>
          <w:tcPr>
            <w:tcW w:w="50" w:type="pct"/>
            <w:vAlign w:val="center"/>
            <w:hideMark/>
          </w:tcPr>
          <w:p w:rsidR="00000000" w:rsidRDefault="00E16B33">
            <w:pPr>
              <w:ind w:firstLine="360"/>
              <w:rPr>
                <w:rFonts w:eastAsia="Times New Roman"/>
              </w:rPr>
            </w:pPr>
          </w:p>
        </w:tc>
        <w:tc>
          <w:tcPr>
            <w:tcW w:w="18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3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3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6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8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Space &amp; Airborne Systems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Aviation System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w:t>
            </w:r>
          </w:p>
        </w:tc>
      </w:tr>
      <w:tr w:rsidR="00000000">
        <w:trPr>
          <w:divId w:val="125584944"/>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Balance at December 31, 2021 - As Reported</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6,485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5,202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2,349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5584944"/>
        </w:trPr>
        <w:tc>
          <w:tcPr>
            <w:tcW w:w="0" w:type="auto"/>
            <w:gridSpan w:val="3"/>
            <w:shd w:val="clear" w:color="auto" w:fill="FFFFFF"/>
            <w:tcMar>
              <w:top w:w="30" w:type="dxa"/>
              <w:left w:w="20" w:type="dxa"/>
              <w:bottom w:w="30" w:type="dxa"/>
              <w:right w:w="20" w:type="dxa"/>
            </w:tcMar>
            <w:hideMark/>
          </w:tcPr>
          <w:p w:rsidR="00000000" w:rsidRDefault="00E16B33">
            <w:pPr>
              <w:spacing w:after="100"/>
              <w:ind w:hanging="270"/>
              <w:divId w:val="323707071"/>
              <w:rPr>
                <w:rFonts w:eastAsia="Times New Roman"/>
              </w:rPr>
            </w:pPr>
            <w:r>
              <w:rPr>
                <w:rFonts w:eastAsia="Times New Roman"/>
                <w:color w:val="000000"/>
                <w:sz w:val="20"/>
                <w:szCs w:val="20"/>
              </w:rPr>
              <w:t>Reallocation of goodwill in segment reorganizatio</w:t>
            </w:r>
            <w:r>
              <w:rPr>
                <w:rFonts w:eastAsia="Times New Roman"/>
                <w:color w:val="000000"/>
                <w:sz w:val="20"/>
                <w:szCs w:val="20"/>
              </w:rPr>
              <w:t>n</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647 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(2,349)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5584944"/>
        </w:trPr>
        <w:tc>
          <w:tcPr>
            <w:tcW w:w="0" w:type="auto"/>
            <w:gridSpan w:val="3"/>
            <w:shd w:val="clear" w:color="auto" w:fill="CCEEFF"/>
            <w:tcMar>
              <w:top w:w="30" w:type="dxa"/>
              <w:left w:w="110" w:type="dxa"/>
              <w:bottom w:w="30" w:type="dxa"/>
              <w:right w:w="20" w:type="dxa"/>
            </w:tcMar>
            <w:hideMark/>
          </w:tcPr>
          <w:p w:rsidR="00000000" w:rsidRDefault="00E16B33">
            <w:pPr>
              <w:spacing w:after="100"/>
              <w:ind w:hanging="90"/>
              <w:rPr>
                <w:rFonts w:eastAsia="Times New Roman"/>
              </w:rPr>
            </w:pPr>
            <w:r>
              <w:rPr>
                <w:rFonts w:eastAsia="Times New Roman"/>
                <w:b/>
                <w:bCs/>
                <w:color w:val="000000"/>
                <w:sz w:val="20"/>
                <w:szCs w:val="20"/>
              </w:rPr>
              <w:t>Balance at December 31, 2021 - After Reallocation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8,187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5,849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5584944"/>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5584944"/>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Balance at July 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8,174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5,816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b/>
                <w:bCs/>
                <w:color w:val="000000"/>
                <w:sz w:val="20"/>
                <w:szCs w:val="20"/>
              </w:rPr>
              <w:t>18,143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5584944"/>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25584944"/>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992103043"/>
        <w:rPr>
          <w:rFonts w:eastAsia="Times New Roman"/>
        </w:rPr>
      </w:pPr>
      <w:r>
        <w:rPr>
          <w:rFonts w:eastAsia="Times New Roman"/>
          <w:color w:val="000000"/>
          <w:sz w:val="16"/>
          <w:szCs w:val="16"/>
        </w:rPr>
        <w:t>_______________</w:t>
      </w:r>
    </w:p>
    <w:p w:rsidR="00000000" w:rsidRDefault="00E16B33">
      <w:pPr>
        <w:ind w:hanging="360"/>
        <w:divId w:val="486016507"/>
        <w:rPr>
          <w:rFonts w:eastAsia="Times New Roman"/>
        </w:rPr>
      </w:pPr>
      <w:r>
        <w:rPr>
          <w:rFonts w:eastAsia="Times New Roman"/>
          <w:color w:val="000000"/>
          <w:sz w:val="16"/>
          <w:szCs w:val="16"/>
        </w:rPr>
        <w:t>(1)As a result of our new organizational structure, effective January 1, 2022, streamlining our operations from four business segments to three business segments, we reallocated goodwill previously held by our former Aviat</w:t>
      </w:r>
      <w:r>
        <w:rPr>
          <w:rFonts w:eastAsia="Times New Roman"/>
          <w:color w:val="000000"/>
          <w:sz w:val="16"/>
          <w:szCs w:val="16"/>
        </w:rPr>
        <w:t xml:space="preserve">ion Systems segment to our remaining business segments as of January 1, 2021, the earliest period presented in these Notes. See additional information below and “Segment Reorganization” in. </w:t>
      </w:r>
      <w:r>
        <w:rPr>
          <w:rFonts w:eastAsia="Times New Roman"/>
          <w:i/>
          <w:iCs/>
          <w:color w:val="000000"/>
          <w:sz w:val="16"/>
          <w:szCs w:val="16"/>
        </w:rPr>
        <w:t>Note A — Significant Accounting Policies and Recent Accounting Sta</w:t>
      </w:r>
      <w:r>
        <w:rPr>
          <w:rFonts w:eastAsia="Times New Roman"/>
          <w:i/>
          <w:iCs/>
          <w:color w:val="000000"/>
          <w:sz w:val="16"/>
          <w:szCs w:val="16"/>
        </w:rPr>
        <w:t>ndards</w:t>
      </w:r>
      <w:r>
        <w:rPr>
          <w:rFonts w:eastAsia="Times New Roman"/>
          <w:color w:val="000000"/>
          <w:sz w:val="16"/>
          <w:szCs w:val="16"/>
        </w:rPr>
        <w:t xml:space="preserve"> in these Notes.</w:t>
      </w:r>
    </w:p>
    <w:p w:rsidR="00000000" w:rsidRDefault="00E16B33">
      <w:pPr>
        <w:divId w:val="91512682"/>
        <w:rPr>
          <w:rFonts w:eastAsia="Times New Roman"/>
        </w:rPr>
      </w:pPr>
      <w:r>
        <w:rPr>
          <w:rFonts w:eastAsia="Times New Roman"/>
          <w:b/>
          <w:bCs/>
          <w:color w:val="000000"/>
          <w:sz w:val="20"/>
          <w:szCs w:val="20"/>
        </w:rPr>
        <w:t>Fair Value of Businesses</w:t>
      </w:r>
    </w:p>
    <w:p w:rsidR="00000000" w:rsidRDefault="00E16B33">
      <w:pPr>
        <w:ind w:firstLine="360"/>
        <w:divId w:val="2061173977"/>
        <w:rPr>
          <w:rFonts w:eastAsia="Times New Roman"/>
        </w:rPr>
      </w:pPr>
      <w:r>
        <w:rPr>
          <w:rFonts w:eastAsia="Times New Roman"/>
          <w:i/>
          <w:iCs/>
          <w:color w:val="000000"/>
          <w:sz w:val="20"/>
          <w:szCs w:val="20"/>
        </w:rPr>
        <w:t xml:space="preserve">Segment reorganization: </w:t>
      </w:r>
      <w:r>
        <w:rPr>
          <w:rFonts w:eastAsia="Times New Roman"/>
          <w:color w:val="000000"/>
          <w:sz w:val="20"/>
          <w:szCs w:val="20"/>
        </w:rPr>
        <w:t>We implemented a new organizational structure effective January 1, 2022, resulting in changes to our operating segments, which are also our reportable segments and are referred to as o</w:t>
      </w:r>
      <w:r>
        <w:rPr>
          <w:rFonts w:eastAsia="Times New Roman"/>
          <w:color w:val="000000"/>
          <w:sz w:val="20"/>
          <w:szCs w:val="20"/>
        </w:rPr>
        <w:t xml:space="preserve">ur business segments. The new structure streamlined our business segments from four to three business segments. As a result of the segment reorganization, we realigned </w:t>
      </w:r>
    </w:p>
    <w:p w:rsidR="00000000" w:rsidRDefault="00E16B33">
      <w:pPr>
        <w:ind w:firstLine="360"/>
        <w:jc w:val="center"/>
        <w:divId w:val="2098743443"/>
        <w:rPr>
          <w:rFonts w:eastAsia="Times New Roman"/>
        </w:rPr>
      </w:pPr>
      <w:r>
        <w:rPr>
          <w:rFonts w:eastAsia="Times New Roman"/>
          <w:color w:val="000000"/>
          <w:sz w:val="20"/>
          <w:szCs w:val="20"/>
        </w:rPr>
        <w:t>10</w:t>
      </w:r>
    </w:p>
    <w:p w:rsidR="00000000" w:rsidRDefault="00E16B33">
      <w:pPr>
        <w:rPr>
          <w:rFonts w:eastAsia="Times New Roman"/>
        </w:rPr>
      </w:pPr>
      <w:r>
        <w:rPr>
          <w:rFonts w:eastAsia="Times New Roman"/>
        </w:rPr>
        <w:pict>
          <v:rect id="_x0000_i1037" style="width:0;height:1.5pt" o:hralign="center" o:hrstd="t" o:hr="t" fillcolor="#a0a0a0" stroked="f"/>
        </w:pict>
      </w:r>
    </w:p>
    <w:p w:rsidR="00000000" w:rsidRDefault="00E16B33">
      <w:pPr>
        <w:ind w:firstLine="360"/>
        <w:divId w:val="1411656408"/>
        <w:rPr>
          <w:rFonts w:eastAsia="Times New Roman"/>
        </w:rPr>
      </w:pPr>
    </w:p>
    <w:p w:rsidR="00000000" w:rsidRDefault="00E16B33">
      <w:pPr>
        <w:divId w:val="2090807654"/>
        <w:rPr>
          <w:rFonts w:eastAsia="Times New Roman"/>
        </w:rPr>
      </w:pPr>
      <w:r>
        <w:rPr>
          <w:rFonts w:eastAsia="Times New Roman"/>
          <w:color w:val="000000"/>
          <w:sz w:val="20"/>
          <w:szCs w:val="20"/>
        </w:rPr>
        <w:t>our reporting units from 11 to 9 reporting units, which are our business segments or one level below the business segment. For our realigned reporting units, immediately before and after our goodwill assignments, we completed an assessment of any potential</w:t>
      </w:r>
      <w:r>
        <w:rPr>
          <w:rFonts w:eastAsia="Times New Roman"/>
          <w:color w:val="000000"/>
          <w:sz w:val="20"/>
          <w:szCs w:val="20"/>
        </w:rPr>
        <w:t xml:space="preserve"> goodwill impairment under our former and new reporting unit structure and determined that no impairment existed. </w:t>
      </w:r>
    </w:p>
    <w:p w:rsidR="00000000" w:rsidRDefault="00E16B33">
      <w:pPr>
        <w:ind w:firstLine="360"/>
        <w:divId w:val="587466219"/>
        <w:rPr>
          <w:rFonts w:eastAsia="Times New Roman"/>
        </w:rPr>
      </w:pPr>
      <w:r>
        <w:rPr>
          <w:rFonts w:eastAsia="Times New Roman"/>
          <w:i/>
          <w:iCs/>
          <w:color w:val="000000"/>
          <w:sz w:val="20"/>
          <w:szCs w:val="20"/>
        </w:rPr>
        <w:t xml:space="preserve">CPS business impairment: </w:t>
      </w:r>
      <w:r>
        <w:rPr>
          <w:rFonts w:eastAsia="Times New Roman"/>
          <w:color w:val="000000"/>
          <w:sz w:val="20"/>
          <w:szCs w:val="20"/>
        </w:rPr>
        <w:t>During the quarter ended April 2, 2021, we determined the criteria to be classified as held for sale were met with r</w:t>
      </w:r>
      <w:r>
        <w:rPr>
          <w:rFonts w:eastAsia="Times New Roman"/>
          <w:color w:val="000000"/>
          <w:sz w:val="20"/>
          <w:szCs w:val="20"/>
        </w:rPr>
        <w:t>espect to the CPS business within our other non-reportable business segment and assigned $174 million of goodwill to the disposal group on a relative fair value basis. In connection with the preparation of our financial statements for the quarter ended Apr</w:t>
      </w:r>
      <w:r>
        <w:rPr>
          <w:rFonts w:eastAsia="Times New Roman"/>
          <w:color w:val="000000"/>
          <w:sz w:val="20"/>
          <w:szCs w:val="20"/>
        </w:rPr>
        <w:t>il 2, 2021, we concluded that goodwill related to the CPS business was impaired and we recorded a non-cash impairment charge of $62 million, which is included in the “Impairment of goodwill and other assets” line item in our Condensed Consolidated Statemen</w:t>
      </w:r>
      <w:r>
        <w:rPr>
          <w:rFonts w:eastAsia="Times New Roman"/>
          <w:color w:val="000000"/>
          <w:sz w:val="20"/>
          <w:szCs w:val="20"/>
        </w:rPr>
        <w:t xml:space="preserve">t of Income (Unaudited). </w:t>
      </w:r>
    </w:p>
    <w:p w:rsidR="00000000" w:rsidRDefault="00E16B33">
      <w:pPr>
        <w:ind w:firstLine="360"/>
        <w:divId w:val="8413610"/>
        <w:rPr>
          <w:rFonts w:eastAsia="Times New Roman"/>
        </w:rPr>
      </w:pPr>
      <w:r>
        <w:rPr>
          <w:rFonts w:eastAsia="Times New Roman"/>
          <w:color w:val="000000"/>
          <w:sz w:val="20"/>
          <w:szCs w:val="20"/>
        </w:rPr>
        <w:t xml:space="preserve">See </w:t>
      </w:r>
      <w:r>
        <w:rPr>
          <w:rFonts w:eastAsia="Times New Roman"/>
          <w:i/>
          <w:iCs/>
          <w:color w:val="000000"/>
          <w:sz w:val="20"/>
          <w:szCs w:val="20"/>
        </w:rPr>
        <w:t>Note 1: Significant Accounting Policies and Recent Accounting Standards</w:t>
      </w:r>
      <w:r>
        <w:rPr>
          <w:rFonts w:eastAsia="Times New Roman"/>
          <w:color w:val="000000"/>
          <w:sz w:val="20"/>
          <w:szCs w:val="20"/>
        </w:rPr>
        <w:t xml:space="preserve"> and </w:t>
      </w:r>
      <w:r>
        <w:rPr>
          <w:rFonts w:eastAsia="Times New Roman"/>
          <w:i/>
          <w:iCs/>
          <w:color w:val="000000"/>
          <w:sz w:val="20"/>
          <w:szCs w:val="20"/>
        </w:rPr>
        <w:t>Note 3: Business Divestitures and Asset Sales</w:t>
      </w:r>
      <w:r>
        <w:rPr>
          <w:rFonts w:eastAsia="Times New Roman"/>
          <w:color w:val="000000"/>
          <w:sz w:val="20"/>
          <w:szCs w:val="20"/>
        </w:rPr>
        <w:t xml:space="preserve"> in the Notes to Consolidated Financial Statements in our Fiscal 2021 Form 10-K for additional informatio</w:t>
      </w:r>
      <w:r>
        <w:rPr>
          <w:rFonts w:eastAsia="Times New Roman"/>
          <w:color w:val="000000"/>
          <w:sz w:val="20"/>
          <w:szCs w:val="20"/>
        </w:rPr>
        <w:t>n regarding the fair value hierarchy and our business divestitures, respectively.</w:t>
      </w:r>
    </w:p>
    <w:p w:rsidR="00000000" w:rsidRDefault="00E16B33">
      <w:pPr>
        <w:ind w:firstLine="360"/>
        <w:divId w:val="1807580349"/>
        <w:rPr>
          <w:rFonts w:eastAsia="Times New Roman"/>
        </w:rPr>
      </w:pPr>
      <w:r>
        <w:rPr>
          <w:rFonts w:eastAsia="Times New Roman"/>
          <w:i/>
          <w:iCs/>
          <w:color w:val="000000"/>
          <w:sz w:val="20"/>
          <w:szCs w:val="20"/>
        </w:rPr>
        <w:t>CTS impairment:</w:t>
      </w:r>
      <w:r>
        <w:rPr>
          <w:rFonts w:eastAsia="Times New Roman"/>
          <w:color w:val="000000"/>
          <w:sz w:val="20"/>
          <w:szCs w:val="20"/>
        </w:rPr>
        <w:t xml:space="preserve"> During the quarter ended July 2, 2021, we adjusted our Aviation Systems segment reporting to better align our businesses and separated the CTS business from o</w:t>
      </w:r>
      <w:r>
        <w:rPr>
          <w:rFonts w:eastAsia="Times New Roman"/>
          <w:color w:val="000000"/>
          <w:sz w:val="20"/>
          <w:szCs w:val="20"/>
        </w:rPr>
        <w:t>ur Commercial Aviation Solutions reporting unit, creating a new reporting unit within the Commercial Aviation Solutions sector of our Aviation Systems segment. Immediately before and after our goodwill assignments, we completed an assessment of any potenti</w:t>
      </w:r>
      <w:r>
        <w:rPr>
          <w:rFonts w:eastAsia="Times New Roman"/>
          <w:color w:val="000000"/>
          <w:sz w:val="20"/>
          <w:szCs w:val="20"/>
        </w:rPr>
        <w:t xml:space="preserve">al goodwill impairment under our former and new reporting unit structure and determined that no impairment existed. </w:t>
      </w:r>
    </w:p>
    <w:p w:rsidR="00000000" w:rsidRDefault="00E16B33">
      <w:pPr>
        <w:ind w:firstLine="360"/>
        <w:divId w:val="434986106"/>
        <w:rPr>
          <w:rFonts w:eastAsia="Times New Roman"/>
        </w:rPr>
      </w:pPr>
      <w:r>
        <w:rPr>
          <w:rFonts w:eastAsia="Times New Roman"/>
          <w:color w:val="000000"/>
          <w:sz w:val="20"/>
          <w:szCs w:val="20"/>
        </w:rPr>
        <w:t>To test for potential impairment of the long-lived assets, including identifiable intangible assets and property, plant and equipment, rela</w:t>
      </w:r>
      <w:r>
        <w:rPr>
          <w:rFonts w:eastAsia="Times New Roman"/>
          <w:color w:val="000000"/>
          <w:sz w:val="20"/>
          <w:szCs w:val="20"/>
        </w:rPr>
        <w:t>ted to CTS, we compared the estimated future cash flows (on an undiscounted basis) to be generated from the use and hypothetical eventual disposition of the asset group to its carrying value and, as a result, we determined the carrying value of the CTS ass</w:t>
      </w:r>
      <w:r>
        <w:rPr>
          <w:rFonts w:eastAsia="Times New Roman"/>
          <w:color w:val="000000"/>
          <w:sz w:val="20"/>
          <w:szCs w:val="20"/>
        </w:rPr>
        <w:t>et group was not recoverable. Next, we prepared an estimate of the fair value of CTS based on a combination of market-based valuation techniques, utilizing quoted market prices and comparable publicly reported transactions and projected discounted cash flo</w:t>
      </w:r>
      <w:r>
        <w:rPr>
          <w:rFonts w:eastAsia="Times New Roman"/>
          <w:color w:val="000000"/>
          <w:sz w:val="20"/>
          <w:szCs w:val="20"/>
        </w:rPr>
        <w:t>ws. We compared the fair value of CTS to our carrying value and recorded a $145 million non-cash charge for the impairment of CTS long-lived assets, including $63 million for impairment of identifiable intangible assets, which is included in the “Impairmen</w:t>
      </w:r>
      <w:r>
        <w:rPr>
          <w:rFonts w:eastAsia="Times New Roman"/>
          <w:color w:val="000000"/>
          <w:sz w:val="20"/>
          <w:szCs w:val="20"/>
        </w:rPr>
        <w:t xml:space="preserve">t of goodwill and other assets” line item in our Condensed Consolidated Statement of Income (Unaudited) for the quarter and two quarters ended July 2, 2021. See </w:t>
      </w:r>
      <w:r>
        <w:rPr>
          <w:rFonts w:eastAsia="Times New Roman"/>
          <w:i/>
          <w:iCs/>
          <w:color w:val="000000"/>
          <w:sz w:val="20"/>
          <w:szCs w:val="20"/>
        </w:rPr>
        <w:t>Note H — Property, Plant and Equipment, net</w:t>
      </w:r>
      <w:r>
        <w:rPr>
          <w:rFonts w:eastAsia="Times New Roman"/>
          <w:color w:val="000000"/>
          <w:sz w:val="20"/>
          <w:szCs w:val="20"/>
        </w:rPr>
        <w:t xml:space="preserve"> in these Notes for additional information.</w:t>
      </w:r>
    </w:p>
    <w:p w:rsidR="00000000" w:rsidRDefault="00E16B33">
      <w:pPr>
        <w:divId w:val="1341471532"/>
        <w:rPr>
          <w:rFonts w:eastAsia="Times New Roman"/>
        </w:rPr>
      </w:pPr>
      <w:r>
        <w:rPr>
          <w:rFonts w:eastAsia="Times New Roman"/>
          <w:b/>
          <w:bCs/>
          <w:color w:val="000000"/>
          <w:sz w:val="20"/>
          <w:szCs w:val="20"/>
        </w:rPr>
        <w:t>NOTE J —</w:t>
      </w:r>
      <w:r>
        <w:rPr>
          <w:rFonts w:eastAsia="Times New Roman"/>
          <w:b/>
          <w:bCs/>
          <w:color w:val="000000"/>
          <w:sz w:val="20"/>
          <w:szCs w:val="20"/>
        </w:rPr>
        <w:t xml:space="preserve"> ACCRUED WARRANTIES</w:t>
      </w:r>
      <w:r>
        <w:rPr>
          <w:rFonts w:eastAsia="Times New Roman"/>
          <w:b/>
          <w:bCs/>
          <w:i/>
          <w:iCs/>
          <w:color w:val="000000"/>
          <w:sz w:val="20"/>
          <w:szCs w:val="20"/>
        </w:rPr>
        <w:t xml:space="preserve"> </w:t>
      </w:r>
    </w:p>
    <w:p w:rsidR="00000000" w:rsidRDefault="00E16B33">
      <w:pPr>
        <w:ind w:firstLine="360"/>
        <w:divId w:val="509101989"/>
        <w:rPr>
          <w:rFonts w:eastAsia="Times New Roman"/>
        </w:rPr>
      </w:pPr>
      <w:r>
        <w:rPr>
          <w:rFonts w:eastAsia="Times New Roman"/>
          <w:color w:val="000000"/>
          <w:sz w:val="20"/>
          <w:szCs w:val="20"/>
        </w:rPr>
        <w:t xml:space="preserve">Our liability for standard product warranties is included as a component of the “Other accrued items” and “Other long-term liabilities” </w:t>
      </w:r>
      <w:r>
        <w:rPr>
          <w:rFonts w:eastAsia="Times New Roman"/>
          <w:color w:val="000000"/>
          <w:sz w:val="20"/>
          <w:szCs w:val="20"/>
        </w:rPr>
        <w:t>line items in our Condensed Consolidated Balance Sheet (Unaudited). Changes in our liability for standard product warranties during the two quarters ended July 1,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6867"/>
        <w:gridCol w:w="38"/>
        <w:gridCol w:w="121"/>
        <w:gridCol w:w="1051"/>
        <w:gridCol w:w="36"/>
        <w:gridCol w:w="36"/>
        <w:gridCol w:w="36"/>
        <w:gridCol w:w="36"/>
        <w:gridCol w:w="36"/>
      </w:tblGrid>
      <w:tr w:rsidR="00000000">
        <w:trPr>
          <w:divId w:val="1639650456"/>
        </w:trPr>
        <w:tc>
          <w:tcPr>
            <w:tcW w:w="50" w:type="pct"/>
            <w:vAlign w:val="center"/>
            <w:hideMark/>
          </w:tcPr>
          <w:p w:rsidR="00000000" w:rsidRDefault="00E16B33">
            <w:pPr>
              <w:ind w:firstLine="360"/>
              <w:rPr>
                <w:rFonts w:eastAsia="Times New Roman"/>
              </w:rPr>
            </w:pPr>
          </w:p>
        </w:tc>
        <w:tc>
          <w:tcPr>
            <w:tcW w:w="422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shd w:val="clear" w:color="auto" w:fill="CCEE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Settlements made during the period</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3965045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Balance at July 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jc w:val="center"/>
        <w:divId w:val="602612601"/>
        <w:rPr>
          <w:rFonts w:eastAsia="Times New Roman"/>
        </w:rPr>
      </w:pPr>
      <w:r>
        <w:rPr>
          <w:rFonts w:eastAsia="Times New Roman"/>
          <w:color w:val="000000"/>
          <w:sz w:val="20"/>
          <w:szCs w:val="20"/>
        </w:rPr>
        <w:t>11</w:t>
      </w:r>
    </w:p>
    <w:p w:rsidR="00000000" w:rsidRDefault="00E16B33">
      <w:pPr>
        <w:rPr>
          <w:rFonts w:eastAsia="Times New Roman"/>
        </w:rPr>
      </w:pPr>
      <w:r>
        <w:rPr>
          <w:rFonts w:eastAsia="Times New Roman"/>
        </w:rPr>
        <w:pict>
          <v:rect id="_x0000_i1038" style="width:0;height:1.5pt" o:hralign="center" o:hrstd="t" o:hr="t" fillcolor="#a0a0a0" stroked="f"/>
        </w:pict>
      </w:r>
    </w:p>
    <w:p w:rsidR="00000000" w:rsidRDefault="00E16B33">
      <w:pPr>
        <w:ind w:firstLine="360"/>
        <w:divId w:val="2113669702"/>
        <w:rPr>
          <w:rFonts w:eastAsia="Times New Roman"/>
        </w:rPr>
      </w:pPr>
    </w:p>
    <w:p w:rsidR="00000000" w:rsidRDefault="00E16B33">
      <w:pPr>
        <w:divId w:val="346030203"/>
        <w:rPr>
          <w:rFonts w:eastAsia="Times New Roman"/>
        </w:rPr>
      </w:pPr>
      <w:r>
        <w:rPr>
          <w:rFonts w:eastAsia="Times New Roman"/>
          <w:b/>
          <w:bCs/>
          <w:color w:val="000000"/>
          <w:sz w:val="20"/>
          <w:szCs w:val="20"/>
        </w:rPr>
        <w:t>NOTE K— POSTRETIREMENT BENEFIT PLANS</w:t>
      </w:r>
      <w:r>
        <w:rPr>
          <w:rFonts w:eastAsia="Times New Roman"/>
          <w:b/>
          <w:bCs/>
          <w:i/>
          <w:iCs/>
          <w:color w:val="000000"/>
          <w:sz w:val="20"/>
          <w:szCs w:val="20"/>
        </w:rPr>
        <w:t xml:space="preserve"> </w:t>
      </w:r>
    </w:p>
    <w:p w:rsidR="00000000" w:rsidRDefault="00E16B33">
      <w:pPr>
        <w:ind w:firstLine="360"/>
        <w:divId w:val="378093161"/>
        <w:rPr>
          <w:rFonts w:eastAsia="Times New Roman"/>
        </w:rPr>
      </w:pPr>
      <w:r>
        <w:rPr>
          <w:rFonts w:eastAsia="Times New Roman"/>
          <w:color w:val="000000"/>
          <w:sz w:val="20"/>
          <w:szCs w:val="20"/>
        </w:rPr>
        <w:t>The following tables provide the components of our net periodic benefit income for our defined benefit plans, including defined benefit pension plans and other postretirement defin</w:t>
      </w:r>
      <w:r>
        <w:rPr>
          <w:rFonts w:eastAsia="Times New Roman"/>
          <w:color w:val="000000"/>
          <w:sz w:val="20"/>
          <w:szCs w:val="20"/>
        </w:rPr>
        <w:t>ed benefit plans:</w:t>
      </w:r>
    </w:p>
    <w:tbl>
      <w:tblPr>
        <w:tblW w:w="5000" w:type="pct"/>
        <w:tblCellMar>
          <w:top w:w="15" w:type="dxa"/>
          <w:left w:w="15" w:type="dxa"/>
          <w:bottom w:w="15" w:type="dxa"/>
          <w:right w:w="15" w:type="dxa"/>
        </w:tblCellMar>
        <w:tblLook w:val="04A0" w:firstRow="1" w:lastRow="0" w:firstColumn="1" w:lastColumn="0" w:noHBand="0" w:noVBand="1"/>
      </w:tblPr>
      <w:tblGrid>
        <w:gridCol w:w="40"/>
        <w:gridCol w:w="3182"/>
        <w:gridCol w:w="39"/>
        <w:gridCol w:w="121"/>
        <w:gridCol w:w="1022"/>
        <w:gridCol w:w="37"/>
        <w:gridCol w:w="36"/>
        <w:gridCol w:w="36"/>
        <w:gridCol w:w="36"/>
        <w:gridCol w:w="121"/>
        <w:gridCol w:w="1023"/>
        <w:gridCol w:w="37"/>
        <w:gridCol w:w="36"/>
        <w:gridCol w:w="36"/>
        <w:gridCol w:w="36"/>
        <w:gridCol w:w="120"/>
        <w:gridCol w:w="1023"/>
        <w:gridCol w:w="36"/>
        <w:gridCol w:w="36"/>
        <w:gridCol w:w="36"/>
        <w:gridCol w:w="36"/>
        <w:gridCol w:w="121"/>
        <w:gridCol w:w="1023"/>
        <w:gridCol w:w="37"/>
      </w:tblGrid>
      <w:tr w:rsidR="00000000">
        <w:trPr>
          <w:divId w:val="378093161"/>
        </w:trPr>
        <w:tc>
          <w:tcPr>
            <w:tcW w:w="50" w:type="pct"/>
            <w:vAlign w:val="center"/>
            <w:hideMark/>
          </w:tcPr>
          <w:p w:rsidR="00000000" w:rsidRDefault="00E16B33">
            <w:pPr>
              <w:ind w:firstLine="360"/>
              <w:rPr>
                <w:rFonts w:eastAsia="Times New Roman"/>
              </w:rPr>
            </w:pPr>
          </w:p>
        </w:tc>
        <w:tc>
          <w:tcPr>
            <w:tcW w:w="198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 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 July 1, 2022</w:t>
            </w:r>
          </w:p>
        </w:tc>
      </w:tr>
      <w:tr w:rsidR="00000000">
        <w:trPr>
          <w:divId w:val="378093161"/>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Other Benefits</w:t>
            </w:r>
          </w:p>
        </w:tc>
      </w:tr>
      <w:tr w:rsidR="00000000">
        <w:trPr>
          <w:divId w:val="378093161"/>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Operating</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Non-operating</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Amortization of net actuarial loss (gain)</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26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Amortization of prior service (credit) cost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Non-service cost periodic benefit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Height w:val="30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 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 July 2, 2021</w:t>
            </w:r>
          </w:p>
        </w:tc>
      </w:tr>
      <w:tr w:rsidR="00000000">
        <w:trPr>
          <w:divId w:val="378093161"/>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Other Benefits</w:t>
            </w:r>
          </w:p>
        </w:tc>
      </w:tr>
      <w:tr w:rsidR="00000000">
        <w:trPr>
          <w:divId w:val="378093161"/>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Operating</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14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Non-operating</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26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378093161"/>
        </w:trPr>
        <w:tc>
          <w:tcPr>
            <w:tcW w:w="0" w:type="auto"/>
            <w:gridSpan w:val="3"/>
            <w:shd w:val="clear" w:color="auto" w:fill="CCEEFF"/>
            <w:tcMar>
              <w:top w:w="30" w:type="dxa"/>
              <w:left w:w="26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Effect of curtailments or settlements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Non-service cost periodic benefit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809316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divId w:val="1410730998"/>
        <w:rPr>
          <w:rFonts w:eastAsia="Times New Roman"/>
        </w:rPr>
      </w:pPr>
      <w:r>
        <w:rPr>
          <w:rFonts w:eastAsia="Times New Roman"/>
          <w:color w:val="000000"/>
          <w:sz w:val="20"/>
          <w:szCs w:val="20"/>
        </w:rPr>
        <w:t>During the quarter ended July 2, 2021, we undertook an initiative to de-risk pension obligations by purchasing a group annuity policy and transferring approximately $169 million of pension plan assets to an insurance compa</w:t>
      </w:r>
      <w:r>
        <w:rPr>
          <w:rFonts w:eastAsia="Times New Roman"/>
          <w:color w:val="000000"/>
          <w:sz w:val="20"/>
          <w:szCs w:val="20"/>
        </w:rPr>
        <w:t>ny thereby reducing our defined benefit obligations by approximately $169 million. As a result of the annuity purchase, we recognized a pre-tax Financial Accounting Standard settlement gain of $3 million in the quarter ended July 2, 2021, which is included</w:t>
      </w:r>
      <w:r>
        <w:rPr>
          <w:rFonts w:eastAsia="Times New Roman"/>
          <w:color w:val="000000"/>
          <w:sz w:val="20"/>
          <w:szCs w:val="20"/>
        </w:rPr>
        <w:t xml:space="preserve"> as a component of the “Non-operating income” line item in our Condensed Consolidated Statement of Income (Unaudited). </w:t>
      </w:r>
    </w:p>
    <w:p w:rsidR="00000000" w:rsidRDefault="00E16B33">
      <w:pPr>
        <w:ind w:firstLine="360"/>
        <w:divId w:val="2021393808"/>
        <w:rPr>
          <w:rFonts w:eastAsia="Times New Roman"/>
        </w:rPr>
      </w:pPr>
      <w:r>
        <w:rPr>
          <w:rFonts w:eastAsia="Times New Roman"/>
          <w:color w:val="000000"/>
          <w:sz w:val="20"/>
          <w:szCs w:val="20"/>
        </w:rPr>
        <w:t>The service cost component of net periodic benefit income is included in the “Cost of product sales and services” and “Engineering, sell</w:t>
      </w:r>
      <w:r>
        <w:rPr>
          <w:rFonts w:eastAsia="Times New Roman"/>
          <w:color w:val="000000"/>
          <w:sz w:val="20"/>
          <w:szCs w:val="20"/>
        </w:rPr>
        <w:t>ing and administrative expenses” line items in our Condensed Consolidated Statement of Income (Unaudited).     The non-service cost components of net periodic benefit income are included in the “Non-operating income” line item in our Condensed Consolidated</w:t>
      </w:r>
      <w:r>
        <w:rPr>
          <w:rFonts w:eastAsia="Times New Roman"/>
          <w:color w:val="000000"/>
          <w:sz w:val="20"/>
          <w:szCs w:val="20"/>
        </w:rPr>
        <w:t xml:space="preserve"> Statement of Income (Unaudited).</w:t>
      </w:r>
    </w:p>
    <w:p w:rsidR="00000000" w:rsidRDefault="00E16B33">
      <w:pPr>
        <w:ind w:firstLine="360"/>
        <w:divId w:val="1687514235"/>
        <w:rPr>
          <w:rFonts w:eastAsia="Times New Roman"/>
        </w:rPr>
      </w:pPr>
      <w:r>
        <w:rPr>
          <w:rFonts w:eastAsia="Times New Roman"/>
          <w:color w:val="000000"/>
          <w:sz w:val="20"/>
          <w:szCs w:val="20"/>
        </w:rPr>
        <w:t>We made no material contributions to our U.S. qualified defined benefit pension plans during the quarter or two quarters ended July 1, 2022 or July 2, 2021. As a result of prior voluntary contributions, we are not required</w:t>
      </w:r>
      <w:r>
        <w:rPr>
          <w:rFonts w:eastAsia="Times New Roman"/>
          <w:color w:val="000000"/>
          <w:sz w:val="20"/>
          <w:szCs w:val="20"/>
        </w:rPr>
        <w:t xml:space="preserve"> to make any contributions to these plans during fiscal 2022 and for several years thereafter.</w:t>
      </w:r>
    </w:p>
    <w:p w:rsidR="00000000" w:rsidRDefault="00E16B33">
      <w:pPr>
        <w:divId w:val="1352296266"/>
        <w:rPr>
          <w:rFonts w:eastAsia="Times New Roman"/>
        </w:rPr>
      </w:pPr>
      <w:r>
        <w:rPr>
          <w:rFonts w:eastAsia="Times New Roman"/>
          <w:b/>
          <w:bCs/>
          <w:color w:val="000000"/>
          <w:sz w:val="20"/>
          <w:szCs w:val="20"/>
        </w:rPr>
        <w:t>NOTE L— EARNINGS PER SHARE</w:t>
      </w:r>
      <w:r>
        <w:rPr>
          <w:rFonts w:eastAsia="Times New Roman"/>
          <w:b/>
          <w:bCs/>
          <w:i/>
          <w:iCs/>
          <w:color w:val="000000"/>
          <w:sz w:val="20"/>
          <w:szCs w:val="20"/>
        </w:rPr>
        <w:t xml:space="preserve"> </w:t>
      </w:r>
    </w:p>
    <w:p w:rsidR="00000000" w:rsidRDefault="00E16B33">
      <w:pPr>
        <w:ind w:firstLine="360"/>
        <w:divId w:val="537813203"/>
        <w:rPr>
          <w:rFonts w:eastAsia="Times New Roman"/>
        </w:rPr>
      </w:pPr>
      <w:r>
        <w:rPr>
          <w:rFonts w:eastAsia="Times New Roman"/>
          <w:color w:val="000000"/>
          <w:sz w:val="20"/>
          <w:szCs w:val="20"/>
        </w:rPr>
        <w:t>Income from continuing operations per common share attributable to L3Harris common shareholders (“EPS”) is computed using the two-cla</w:t>
      </w:r>
      <w:r>
        <w:rPr>
          <w:rFonts w:eastAsia="Times New Roman"/>
          <w:color w:val="000000"/>
          <w:sz w:val="20"/>
          <w:szCs w:val="20"/>
        </w:rPr>
        <w:t>ss method, which is an earnings allocation formula that determines EPS for common stock and any participating securities according to dividends paid and participation rights in undistributed earnings. Under the two-class method, EPS is computed by dividing</w:t>
      </w:r>
      <w:r>
        <w:rPr>
          <w:rFonts w:eastAsia="Times New Roman"/>
          <w:color w:val="000000"/>
          <w:sz w:val="20"/>
          <w:szCs w:val="20"/>
        </w:rPr>
        <w:t xml:space="preserve"> the sum of earnings distributed to L3Harris common shareholders and undistributed earnings allocated to L3Harris common shareholders by the weighted-average number of common shares outstanding for the period. Income from </w:t>
      </w:r>
    </w:p>
    <w:p w:rsidR="00000000" w:rsidRDefault="00E16B33">
      <w:pPr>
        <w:ind w:firstLine="360"/>
        <w:jc w:val="center"/>
        <w:divId w:val="493494271"/>
        <w:rPr>
          <w:rFonts w:eastAsia="Times New Roman"/>
        </w:rPr>
      </w:pPr>
      <w:r>
        <w:rPr>
          <w:rFonts w:eastAsia="Times New Roman"/>
          <w:color w:val="000000"/>
          <w:sz w:val="20"/>
          <w:szCs w:val="20"/>
        </w:rPr>
        <w:t>12</w:t>
      </w:r>
    </w:p>
    <w:p w:rsidR="00000000" w:rsidRDefault="00E16B33">
      <w:pPr>
        <w:rPr>
          <w:rFonts w:eastAsia="Times New Roman"/>
        </w:rPr>
      </w:pPr>
      <w:r>
        <w:rPr>
          <w:rFonts w:eastAsia="Times New Roman"/>
        </w:rPr>
        <w:pict>
          <v:rect id="_x0000_i1039" style="width:0;height:1.5pt" o:hralign="center" o:hrstd="t" o:hr="t" fillcolor="#a0a0a0" stroked="f"/>
        </w:pict>
      </w:r>
    </w:p>
    <w:p w:rsidR="00000000" w:rsidRDefault="00E16B33">
      <w:pPr>
        <w:ind w:firstLine="360"/>
        <w:divId w:val="1082752883"/>
        <w:rPr>
          <w:rFonts w:eastAsia="Times New Roman"/>
        </w:rPr>
      </w:pPr>
    </w:p>
    <w:p w:rsidR="00000000" w:rsidRDefault="00E16B33">
      <w:pPr>
        <w:divId w:val="1842817720"/>
        <w:rPr>
          <w:rFonts w:eastAsia="Times New Roman"/>
        </w:rPr>
      </w:pPr>
      <w:r>
        <w:rPr>
          <w:rFonts w:eastAsia="Times New Roman"/>
          <w:color w:val="000000"/>
          <w:sz w:val="20"/>
          <w:szCs w:val="20"/>
        </w:rPr>
        <w:t>continuing operations per diluted common share attributable to L3Harris common shareholders (“diluted EPS”) is computed using the more dilutive of the two-class method or the treasury stock method. Under the treasury stock method, diluted EPS is co</w:t>
      </w:r>
      <w:r>
        <w:rPr>
          <w:rFonts w:eastAsia="Times New Roman"/>
          <w:color w:val="000000"/>
          <w:sz w:val="20"/>
          <w:szCs w:val="20"/>
        </w:rPr>
        <w:t>mputed by dividing net income attributable to L3Harris common shareholders by the weighted-average number of common shares outstanding for the period. In applying the two-class method, undistributed earnings are allocated to both common shares and particip</w:t>
      </w:r>
      <w:r>
        <w:rPr>
          <w:rFonts w:eastAsia="Times New Roman"/>
          <w:color w:val="000000"/>
          <w:sz w:val="20"/>
          <w:szCs w:val="20"/>
        </w:rPr>
        <w:t>ating securities based on the weighted-average shares outstanding during the period.</w:t>
      </w:r>
    </w:p>
    <w:p w:rsidR="00000000" w:rsidRDefault="00E16B33">
      <w:pPr>
        <w:ind w:firstLine="360"/>
        <w:divId w:val="1902330197"/>
        <w:rPr>
          <w:rFonts w:eastAsia="Times New Roman"/>
        </w:rPr>
      </w:pPr>
      <w:r>
        <w:rPr>
          <w:rFonts w:eastAsia="Times New Roman"/>
          <w:color w:val="000000"/>
          <w:sz w:val="20"/>
          <w:szCs w:val="20"/>
        </w:rPr>
        <w:t>The weighted average number of shares outstanding used to compute EPS and diluted EPS are as follows:</w:t>
      </w:r>
    </w:p>
    <w:tbl>
      <w:tblPr>
        <w:tblW w:w="5000" w:type="pct"/>
        <w:tblCellMar>
          <w:top w:w="15" w:type="dxa"/>
          <w:left w:w="15" w:type="dxa"/>
          <w:bottom w:w="15" w:type="dxa"/>
          <w:right w:w="15" w:type="dxa"/>
        </w:tblCellMar>
        <w:tblLook w:val="04A0" w:firstRow="1" w:lastRow="0" w:firstColumn="1" w:lastColumn="0" w:noHBand="0" w:noVBand="1"/>
      </w:tblPr>
      <w:tblGrid>
        <w:gridCol w:w="50"/>
        <w:gridCol w:w="3886"/>
        <w:gridCol w:w="36"/>
        <w:gridCol w:w="50"/>
        <w:gridCol w:w="914"/>
        <w:gridCol w:w="38"/>
        <w:gridCol w:w="37"/>
        <w:gridCol w:w="36"/>
        <w:gridCol w:w="36"/>
        <w:gridCol w:w="50"/>
        <w:gridCol w:w="914"/>
        <w:gridCol w:w="37"/>
        <w:gridCol w:w="36"/>
        <w:gridCol w:w="36"/>
        <w:gridCol w:w="36"/>
        <w:gridCol w:w="50"/>
        <w:gridCol w:w="914"/>
        <w:gridCol w:w="37"/>
        <w:gridCol w:w="37"/>
        <w:gridCol w:w="37"/>
        <w:gridCol w:w="37"/>
        <w:gridCol w:w="51"/>
        <w:gridCol w:w="915"/>
        <w:gridCol w:w="36"/>
      </w:tblGrid>
      <w:tr w:rsidR="00000000">
        <w:trPr>
          <w:divId w:val="1293098641"/>
        </w:trPr>
        <w:tc>
          <w:tcPr>
            <w:tcW w:w="50" w:type="pct"/>
            <w:vAlign w:val="center"/>
            <w:hideMark/>
          </w:tcPr>
          <w:p w:rsidR="00000000" w:rsidRDefault="00E16B33">
            <w:pPr>
              <w:ind w:firstLine="360"/>
              <w:rPr>
                <w:rFonts w:eastAsia="Times New Roman"/>
              </w:rPr>
            </w:pPr>
          </w:p>
        </w:tc>
        <w:tc>
          <w:tcPr>
            <w:tcW w:w="235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293098641"/>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r>
      <w:tr w:rsidR="00000000">
        <w:trPr>
          <w:divId w:val="1293098641"/>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divId w:val="1293098641"/>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29309864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192.1 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203.6 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192.6 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205.2 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93098641"/>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9309864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divId w:val="995307392"/>
        <w:rPr>
          <w:rFonts w:eastAsia="Times New Roman"/>
        </w:rPr>
      </w:pPr>
      <w:r>
        <w:rPr>
          <w:rFonts w:eastAsia="Times New Roman"/>
          <w:color w:val="000000"/>
          <w:sz w:val="20"/>
          <w:szCs w:val="20"/>
        </w:rPr>
        <w:t>Potential dilutive common shares primarily consist of employee sto</w:t>
      </w:r>
      <w:r>
        <w:rPr>
          <w:rFonts w:eastAsia="Times New Roman"/>
          <w:color w:val="000000"/>
          <w:sz w:val="20"/>
          <w:szCs w:val="20"/>
        </w:rPr>
        <w:t>ck options and restricted and performance unit awards. Diluted EPS excludes the antidilutive impact of 0.4 million and 0.3 million weighted average share-based awards outstanding for the quarter and two quarters ended July 1, 2022, respectively, and 1.7 mi</w:t>
      </w:r>
      <w:r>
        <w:rPr>
          <w:rFonts w:eastAsia="Times New Roman"/>
          <w:color w:val="000000"/>
          <w:sz w:val="20"/>
          <w:szCs w:val="20"/>
        </w:rPr>
        <w:t>llion and 1.6 million weighted average share-based awards outstanding for the quarter and two quarters ended and July 2, 2021, respectively.</w:t>
      </w:r>
    </w:p>
    <w:p w:rsidR="00000000" w:rsidRDefault="00E16B33">
      <w:pPr>
        <w:divId w:val="1387024399"/>
        <w:rPr>
          <w:rFonts w:eastAsia="Times New Roman"/>
        </w:rPr>
      </w:pPr>
      <w:r>
        <w:rPr>
          <w:rFonts w:eastAsia="Times New Roman"/>
          <w:b/>
          <w:bCs/>
          <w:color w:val="000000"/>
          <w:sz w:val="20"/>
          <w:szCs w:val="20"/>
        </w:rPr>
        <w:t>NOTE M— INCOME TAXES</w:t>
      </w:r>
      <w:r>
        <w:rPr>
          <w:rFonts w:eastAsia="Times New Roman"/>
          <w:b/>
          <w:bCs/>
          <w:i/>
          <w:iCs/>
          <w:color w:val="000000"/>
          <w:sz w:val="20"/>
          <w:szCs w:val="20"/>
        </w:rPr>
        <w:t xml:space="preserve"> </w:t>
      </w:r>
    </w:p>
    <w:p w:rsidR="00000000" w:rsidRDefault="00E16B33">
      <w:pPr>
        <w:ind w:firstLine="360"/>
        <w:divId w:val="2116055467"/>
        <w:rPr>
          <w:rFonts w:eastAsia="Times New Roman"/>
        </w:rPr>
      </w:pPr>
      <w:r>
        <w:rPr>
          <w:rFonts w:eastAsia="Times New Roman"/>
          <w:color w:val="000000"/>
          <w:sz w:val="20"/>
          <w:szCs w:val="20"/>
        </w:rPr>
        <w:t>Our effective tax rate (income taxes as a percentage of income from continuing operations bef</w:t>
      </w:r>
      <w:r>
        <w:rPr>
          <w:rFonts w:eastAsia="Times New Roman"/>
          <w:color w:val="000000"/>
          <w:sz w:val="20"/>
          <w:szCs w:val="20"/>
        </w:rPr>
        <w:t>ore income taxes) was 10.5% for the quarter ended July 1, 2022 compared with 29.0% for the quarter ended July 2, 2021. For the quarter ended July 1, 2022, our effective tax rate benefited from the favorable impacts of Research and Development (“R&amp;D”) credi</w:t>
      </w:r>
      <w:r>
        <w:rPr>
          <w:rFonts w:eastAsia="Times New Roman"/>
          <w:color w:val="000000"/>
          <w:sz w:val="20"/>
          <w:szCs w:val="20"/>
        </w:rPr>
        <w:t>ts, incremental foreign-derived intangible income (“FDII”) benefit resulting from the requirement to capitalize and amortize R&amp;D expenses beginning in fiscal 2022 and the resolution of specific audit uncertainties. For the quarter ended July 2, 2021, our e</w:t>
      </w:r>
      <w:r>
        <w:rPr>
          <w:rFonts w:eastAsia="Times New Roman"/>
          <w:color w:val="000000"/>
          <w:sz w:val="20"/>
          <w:szCs w:val="20"/>
        </w:rPr>
        <w:t>ffective tax rate was unfavorably impacted by non-deductible goodwill from completed business divestitures, partially offset by the favorable impacts of R&amp;D credits, the resolution of specific audit uncertainties, and excess tax benefits related to equity-</w:t>
      </w:r>
      <w:r>
        <w:rPr>
          <w:rFonts w:eastAsia="Times New Roman"/>
          <w:color w:val="000000"/>
          <w:sz w:val="20"/>
          <w:szCs w:val="20"/>
        </w:rPr>
        <w:t>based compensation.</w:t>
      </w:r>
    </w:p>
    <w:p w:rsidR="00000000" w:rsidRDefault="00E16B33">
      <w:pPr>
        <w:ind w:firstLine="360"/>
        <w:divId w:val="1441415288"/>
        <w:rPr>
          <w:rFonts w:eastAsia="Times New Roman"/>
        </w:rPr>
      </w:pPr>
      <w:r>
        <w:rPr>
          <w:rFonts w:eastAsia="Times New Roman"/>
          <w:color w:val="000000"/>
          <w:sz w:val="20"/>
          <w:szCs w:val="20"/>
        </w:rPr>
        <w:t>Our effective tax rate was 10.9% for the two quarters ended July 1, 2022 compared with 20.6% for the two quarters ended July 2, 2021. Our effective tax rate for the two quarters ended July 1, 2022 was favorably impacted by a reduction i</w:t>
      </w:r>
      <w:r>
        <w:rPr>
          <w:rFonts w:eastAsia="Times New Roman"/>
          <w:color w:val="000000"/>
          <w:sz w:val="20"/>
          <w:szCs w:val="20"/>
        </w:rPr>
        <w:t xml:space="preserve">n the deferred tax liabilities on the outside basis of certain foreign subsidiaries due to an internal restructuring and the items described above in this </w:t>
      </w:r>
      <w:r>
        <w:rPr>
          <w:rFonts w:eastAsia="Times New Roman"/>
          <w:i/>
          <w:iCs/>
          <w:color w:val="000000"/>
          <w:sz w:val="20"/>
          <w:szCs w:val="20"/>
        </w:rPr>
        <w:t>Note M - Income Taxes</w:t>
      </w:r>
      <w:r>
        <w:rPr>
          <w:rFonts w:eastAsia="Times New Roman"/>
          <w:color w:val="000000"/>
          <w:sz w:val="20"/>
          <w:szCs w:val="20"/>
        </w:rPr>
        <w:t>. Our effective tax rate for the two quarters ended July </w:t>
      </w:r>
      <w:r>
        <w:rPr>
          <w:rFonts w:eastAsia="Times New Roman"/>
          <w:color w:val="000000"/>
          <w:sz w:val="20"/>
          <w:szCs w:val="20"/>
        </w:rPr>
        <w:t xml:space="preserve">2, 2021 were impacted by the items described above in this </w:t>
      </w:r>
      <w:r>
        <w:rPr>
          <w:rFonts w:eastAsia="Times New Roman"/>
          <w:i/>
          <w:iCs/>
          <w:color w:val="000000"/>
          <w:sz w:val="20"/>
          <w:szCs w:val="20"/>
        </w:rPr>
        <w:t>Note M - Income Taxes</w:t>
      </w:r>
      <w:r>
        <w:rPr>
          <w:rFonts w:eastAsia="Times New Roman"/>
          <w:color w:val="000000"/>
          <w:sz w:val="20"/>
          <w:szCs w:val="20"/>
        </w:rPr>
        <w:t>.</w:t>
      </w:r>
    </w:p>
    <w:p w:rsidR="00000000" w:rsidRDefault="00E16B33">
      <w:pPr>
        <w:divId w:val="1613627580"/>
        <w:rPr>
          <w:rFonts w:eastAsia="Times New Roman"/>
        </w:rPr>
      </w:pPr>
      <w:r>
        <w:rPr>
          <w:rFonts w:eastAsia="Times New Roman"/>
          <w:b/>
          <w:bCs/>
          <w:color w:val="000000"/>
          <w:sz w:val="20"/>
          <w:szCs w:val="20"/>
        </w:rPr>
        <w:t>NOTE N— FAIR VALUE MEASUREMENTS</w:t>
      </w:r>
    </w:p>
    <w:p w:rsidR="00000000" w:rsidRDefault="00E16B33">
      <w:pPr>
        <w:ind w:firstLine="360"/>
        <w:divId w:val="617755253"/>
        <w:rPr>
          <w:rFonts w:eastAsia="Times New Roman"/>
        </w:rPr>
      </w:pPr>
      <w:r>
        <w:rPr>
          <w:rFonts w:eastAsia="Times New Roman"/>
          <w:color w:val="000000"/>
          <w:sz w:val="20"/>
          <w:szCs w:val="20"/>
        </w:rPr>
        <w:t>Fair value is defined as the price that would be received for an asset or the price that would be paid to transfer a liability in the principa</w:t>
      </w:r>
      <w:r>
        <w:rPr>
          <w:rFonts w:eastAsia="Times New Roman"/>
          <w:color w:val="000000"/>
          <w:sz w:val="20"/>
          <w:szCs w:val="20"/>
        </w:rPr>
        <w:t>l market or most advantageous market in an orderly transaction between market participants at the measurement date. Entities are required to maximize the use of observable inputs and minimize the use of unobservable inputs in measuring fair value, and to u</w:t>
      </w:r>
      <w:r>
        <w:rPr>
          <w:rFonts w:eastAsia="Times New Roman"/>
          <w:color w:val="000000"/>
          <w:sz w:val="20"/>
          <w:szCs w:val="20"/>
        </w:rPr>
        <w:t>tilize a three-level fair value hierarchy that prioritizes the inputs used to measure fair value. The three levels of inputs used to measure fair value are as follows:</w:t>
      </w:r>
    </w:p>
    <w:p w:rsidR="00000000" w:rsidRDefault="00E16B33">
      <w:pPr>
        <w:ind w:hanging="360"/>
        <w:divId w:val="1339891951"/>
        <w:rPr>
          <w:rFonts w:eastAsia="Times New Roman"/>
        </w:rPr>
      </w:pPr>
      <w:r>
        <w:rPr>
          <w:rFonts w:eastAsia="Times New Roman"/>
          <w:color w:val="000000"/>
          <w:sz w:val="20"/>
          <w:szCs w:val="20"/>
        </w:rPr>
        <w:t>•Level 1 — Quoted prices in active markets for identical assets or liabilities.</w:t>
      </w:r>
    </w:p>
    <w:p w:rsidR="00000000" w:rsidRDefault="00E16B33">
      <w:pPr>
        <w:ind w:hanging="360"/>
        <w:divId w:val="276912741"/>
        <w:rPr>
          <w:rFonts w:eastAsia="Times New Roman"/>
        </w:rPr>
      </w:pPr>
      <w:r>
        <w:rPr>
          <w:rFonts w:eastAsia="Times New Roman"/>
          <w:color w:val="000000"/>
          <w:sz w:val="20"/>
          <w:szCs w:val="20"/>
        </w:rPr>
        <w:t>•Level 2</w:t>
      </w:r>
      <w:r>
        <w:rPr>
          <w:rFonts w:eastAsia="Times New Roman"/>
          <w:color w:val="000000"/>
          <w:sz w:val="20"/>
          <w:szCs w:val="20"/>
        </w:rPr>
        <w:t xml:space="preserve"> — Observable inputs other than quoted prices included within Level 1, including quoted prices for similar assets or liabilities in active markets; quoted prices for identical or similar assets or liabilities in markets that are not active; and inputs othe</w:t>
      </w:r>
      <w:r>
        <w:rPr>
          <w:rFonts w:eastAsia="Times New Roman"/>
          <w:color w:val="000000"/>
          <w:sz w:val="20"/>
          <w:szCs w:val="20"/>
        </w:rPr>
        <w:t>r than quoted prices that are observable or are derived principally from, or corroborated by, observable market data by correlation or other means.</w:t>
      </w:r>
    </w:p>
    <w:p w:rsidR="00000000" w:rsidRDefault="00E16B33">
      <w:pPr>
        <w:ind w:hanging="360"/>
        <w:divId w:val="1708678104"/>
        <w:rPr>
          <w:rFonts w:eastAsia="Times New Roman"/>
        </w:rPr>
      </w:pPr>
      <w:r>
        <w:rPr>
          <w:rFonts w:eastAsia="Times New Roman"/>
          <w:color w:val="000000"/>
          <w:sz w:val="20"/>
          <w:szCs w:val="20"/>
        </w:rPr>
        <w:t>•Level 3 — Unobservable inputs that are supported by little or no market activity, are significant to the fa</w:t>
      </w:r>
      <w:r>
        <w:rPr>
          <w:rFonts w:eastAsia="Times New Roman"/>
          <w:color w:val="000000"/>
          <w:sz w:val="20"/>
          <w:szCs w:val="20"/>
        </w:rPr>
        <w:t>ir value of the assets or liabilities, and reflect our own assumptions about the assumptions market participants would use in pricing the asset or liability developed using the best information available in the circumstances.</w:t>
      </w:r>
    </w:p>
    <w:p w:rsidR="00000000" w:rsidRDefault="00E16B33">
      <w:pPr>
        <w:ind w:firstLine="360"/>
        <w:divId w:val="426652682"/>
        <w:rPr>
          <w:rFonts w:eastAsia="Times New Roman"/>
        </w:rPr>
      </w:pPr>
      <w:r>
        <w:rPr>
          <w:rFonts w:eastAsia="Times New Roman"/>
          <w:color w:val="000000"/>
          <w:sz w:val="20"/>
          <w:szCs w:val="20"/>
        </w:rPr>
        <w:t>In certain instances, fair val</w:t>
      </w:r>
      <w:r>
        <w:rPr>
          <w:rFonts w:eastAsia="Times New Roman"/>
          <w:color w:val="000000"/>
          <w:sz w:val="20"/>
          <w:szCs w:val="20"/>
        </w:rPr>
        <w:t>ue is estimated using quoted market prices obtained from external pricing services. In obtaining such data from the external pricing services, we have evaluated the methodologies used to develop the estimate of fair value in order to assess whether such va</w:t>
      </w:r>
      <w:r>
        <w:rPr>
          <w:rFonts w:eastAsia="Times New Roman"/>
          <w:color w:val="000000"/>
          <w:sz w:val="20"/>
          <w:szCs w:val="20"/>
        </w:rPr>
        <w:t>luations are representative of fair value, including net asset value (“NAV”). Additionally, in certain circumstances, the NAV reported by an asset manager may be adjusted when sufficient evidence indicates NAV is not representative of fair value.</w:t>
      </w:r>
    </w:p>
    <w:p w:rsidR="00000000" w:rsidRDefault="00E16B33">
      <w:pPr>
        <w:ind w:firstLine="360"/>
        <w:jc w:val="center"/>
        <w:divId w:val="1831217221"/>
        <w:rPr>
          <w:rFonts w:eastAsia="Times New Roman"/>
        </w:rPr>
      </w:pPr>
      <w:r>
        <w:rPr>
          <w:rFonts w:eastAsia="Times New Roman"/>
          <w:color w:val="000000"/>
          <w:sz w:val="20"/>
          <w:szCs w:val="20"/>
        </w:rPr>
        <w:t>13</w:t>
      </w:r>
    </w:p>
    <w:p w:rsidR="00000000" w:rsidRDefault="00E16B33">
      <w:pPr>
        <w:rPr>
          <w:rFonts w:eastAsia="Times New Roman"/>
        </w:rPr>
      </w:pPr>
      <w:r>
        <w:rPr>
          <w:rFonts w:eastAsia="Times New Roman"/>
        </w:rPr>
        <w:pict>
          <v:rect id="_x0000_i1040" style="width:0;height:1.5pt" o:hralign="center" o:hrstd="t" o:hr="t" fillcolor="#a0a0a0" stroked="f"/>
        </w:pict>
      </w:r>
    </w:p>
    <w:p w:rsidR="00000000" w:rsidRDefault="00E16B33">
      <w:pPr>
        <w:ind w:firstLine="360"/>
        <w:divId w:val="560290551"/>
        <w:rPr>
          <w:rFonts w:eastAsia="Times New Roman"/>
        </w:rPr>
      </w:pPr>
    </w:p>
    <w:p w:rsidR="00000000" w:rsidRDefault="00E16B33">
      <w:pPr>
        <w:ind w:firstLine="360"/>
        <w:divId w:val="931744764"/>
        <w:rPr>
          <w:rFonts w:eastAsia="Times New Roman"/>
        </w:rPr>
      </w:pPr>
      <w:r>
        <w:rPr>
          <w:rFonts w:eastAsia="Times New Roman"/>
          <w:color w:val="000000"/>
          <w:sz w:val="20"/>
          <w:szCs w:val="20"/>
        </w:rPr>
        <w:t>The following table presents assets and liabilities measured at fair value on a recurring basis (at least annually) at July 1,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5"/>
        <w:gridCol w:w="3977"/>
        <w:gridCol w:w="39"/>
        <w:gridCol w:w="120"/>
        <w:gridCol w:w="751"/>
        <w:gridCol w:w="36"/>
        <w:gridCol w:w="36"/>
        <w:gridCol w:w="36"/>
        <w:gridCol w:w="36"/>
        <w:gridCol w:w="121"/>
        <w:gridCol w:w="751"/>
        <w:gridCol w:w="36"/>
        <w:gridCol w:w="36"/>
        <w:gridCol w:w="36"/>
        <w:gridCol w:w="36"/>
        <w:gridCol w:w="120"/>
        <w:gridCol w:w="752"/>
        <w:gridCol w:w="36"/>
        <w:gridCol w:w="36"/>
        <w:gridCol w:w="36"/>
        <w:gridCol w:w="36"/>
        <w:gridCol w:w="121"/>
        <w:gridCol w:w="752"/>
        <w:gridCol w:w="37"/>
        <w:gridCol w:w="36"/>
        <w:gridCol w:w="36"/>
        <w:gridCol w:w="36"/>
        <w:gridCol w:w="36"/>
        <w:gridCol w:w="36"/>
        <w:gridCol w:w="36"/>
        <w:gridCol w:w="36"/>
        <w:gridCol w:w="36"/>
      </w:tblGrid>
      <w:tr w:rsidR="00000000">
        <w:trPr>
          <w:divId w:val="1544561528"/>
        </w:trPr>
        <w:tc>
          <w:tcPr>
            <w:tcW w:w="50" w:type="pct"/>
            <w:vAlign w:val="center"/>
            <w:hideMark/>
          </w:tcPr>
          <w:p w:rsidR="00000000" w:rsidRDefault="00E16B33">
            <w:pPr>
              <w:ind w:firstLine="360"/>
              <w:rPr>
                <w:rFonts w:eastAsia="Times New Roman"/>
              </w:rPr>
            </w:pPr>
          </w:p>
        </w:tc>
        <w:tc>
          <w:tcPr>
            <w:tcW w:w="255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Level 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FFFFFF"/>
            <w:tcMar>
              <w:top w:w="30" w:type="dxa"/>
              <w:left w:w="20" w:type="dxa"/>
              <w:bottom w:w="30" w:type="dxa"/>
              <w:right w:w="20" w:type="dxa"/>
            </w:tcMar>
            <w:hideMark/>
          </w:tcPr>
          <w:p w:rsidR="00000000" w:rsidRDefault="00E16B33">
            <w:pPr>
              <w:spacing w:after="100"/>
              <w:divId w:val="638918332"/>
              <w:rPr>
                <w:rFonts w:eastAsia="Times New Roman"/>
              </w:rPr>
            </w:pPr>
            <w:r>
              <w:rPr>
                <w:rFonts w:eastAsia="Times New Roman"/>
                <w:i/>
                <w:iCs/>
                <w:color w:val="000000"/>
                <w:sz w:val="20"/>
                <w:szCs w:val="20"/>
              </w:rPr>
              <w:t>Deferred compensation plan asset</w:t>
            </w:r>
            <w:r>
              <w:rPr>
                <w:rFonts w:eastAsia="Times New Roman"/>
                <w:i/>
                <w:iCs/>
                <w:color w:val="000000"/>
                <w:sz w:val="20"/>
                <w:szCs w:val="20"/>
              </w:rPr>
              <w:t>s</w:t>
            </w:r>
            <w:r>
              <w:rPr>
                <w:rFonts w:eastAsia="Times New Roman"/>
                <w:i/>
                <w:iCs/>
                <w:color w:val="000000"/>
                <w:sz w:val="13"/>
                <w:szCs w:val="13"/>
              </w:rPr>
              <w:t>(1</w:t>
            </w:r>
            <w:r>
              <w:rPr>
                <w:rFonts w:eastAsia="Times New Roman"/>
                <w:i/>
                <w:i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CCEE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Equity and fixed income securities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CCEEFF"/>
            <w:tcMar>
              <w:top w:w="30" w:type="dxa"/>
              <w:left w:w="6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FFFFFF"/>
            <w:tcMar>
              <w:top w:w="30" w:type="dxa"/>
              <w:left w:w="185"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Height w:val="300"/>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CCEEFF"/>
            <w:tcMar>
              <w:top w:w="30" w:type="dxa"/>
              <w:left w:w="20" w:type="dxa"/>
              <w:bottom w:w="30" w:type="dxa"/>
              <w:right w:w="20" w:type="dxa"/>
            </w:tcMar>
            <w:hideMark/>
          </w:tcPr>
          <w:p w:rsidR="00000000" w:rsidRDefault="00E16B33">
            <w:pPr>
              <w:spacing w:after="100"/>
              <w:divId w:val="537938897"/>
              <w:rPr>
                <w:rFonts w:eastAsia="Times New Roman"/>
              </w:rPr>
            </w:pPr>
            <w:r>
              <w:rPr>
                <w:rFonts w:eastAsia="Times New Roman"/>
                <w:i/>
                <w:iCs/>
                <w:color w:val="000000"/>
                <w:sz w:val="20"/>
                <w:szCs w:val="20"/>
              </w:rPr>
              <w:t>Deferred compensation plan liabilitie</w:t>
            </w:r>
            <w:r>
              <w:rPr>
                <w:rFonts w:eastAsia="Times New Roman"/>
                <w:i/>
                <w:iCs/>
                <w:color w:val="000000"/>
                <w:sz w:val="20"/>
                <w:szCs w:val="20"/>
              </w:rPr>
              <w:t>s</w:t>
            </w:r>
            <w:r>
              <w:rPr>
                <w:rFonts w:eastAsia="Times New Roman"/>
                <w:i/>
                <w:iCs/>
                <w:color w:val="000000"/>
                <w:sz w:val="13"/>
                <w:szCs w:val="13"/>
              </w:rPr>
              <w:t>(2</w:t>
            </w:r>
            <w:r>
              <w:rPr>
                <w:rFonts w:eastAsia="Times New Roman"/>
                <w:i/>
                <w:i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FFFF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CCEEFF"/>
            <w:tcMar>
              <w:top w:w="30" w:type="dxa"/>
              <w:left w:w="38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Investments measured at NAV:</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FFFFFF"/>
            <w:tcMar>
              <w:top w:w="30" w:type="dxa"/>
              <w:left w:w="920" w:type="dxa"/>
              <w:bottom w:w="30" w:type="dxa"/>
              <w:right w:w="20" w:type="dxa"/>
            </w:tcMar>
            <w:hideMark/>
          </w:tcPr>
          <w:p w:rsidR="00000000" w:rsidRDefault="00E16B33">
            <w:pPr>
              <w:spacing w:after="100"/>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44561528"/>
        </w:trPr>
        <w:tc>
          <w:tcPr>
            <w:tcW w:w="0" w:type="auto"/>
            <w:gridSpan w:val="3"/>
            <w:shd w:val="clear" w:color="auto" w:fill="CCEEFF"/>
            <w:tcMar>
              <w:top w:w="30" w:type="dxa"/>
              <w:left w:w="185"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1270628423"/>
        <w:rPr>
          <w:rFonts w:eastAsia="Times New Roman"/>
        </w:rPr>
      </w:pPr>
      <w:r>
        <w:rPr>
          <w:rFonts w:eastAsia="Times New Roman"/>
          <w:color w:val="000000"/>
          <w:sz w:val="16"/>
          <w:szCs w:val="16"/>
        </w:rPr>
        <w:t>_______________</w:t>
      </w:r>
    </w:p>
    <w:p w:rsidR="00000000" w:rsidRDefault="00E16B33">
      <w:pPr>
        <w:ind w:hanging="360"/>
        <w:divId w:val="72817840"/>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 assets” and “Other non-current assets” line items in our Condensed Consolidated Balance Sheet (Unaudit</w:t>
      </w:r>
      <w:r>
        <w:rPr>
          <w:rFonts w:eastAsia="Times New Roman"/>
          <w:color w:val="000000"/>
          <w:sz w:val="16"/>
          <w:szCs w:val="16"/>
        </w:rPr>
        <w:t>ed), and which are measured at fair value.</w:t>
      </w:r>
    </w:p>
    <w:p w:rsidR="00000000" w:rsidRDefault="00E16B33">
      <w:pPr>
        <w:ind w:hanging="360"/>
        <w:divId w:val="545411137"/>
        <w:rPr>
          <w:rFonts w:eastAsia="Times New Roman"/>
        </w:rPr>
      </w:pPr>
      <w:r>
        <w:rPr>
          <w:rFonts w:eastAsia="Times New Roman"/>
          <w:color w:val="000000"/>
          <w:sz w:val="16"/>
          <w:szCs w:val="16"/>
        </w:rPr>
        <w:t xml:space="preserve">(2)Primarily represents obligations to pay benefits under certain non-qualified deferred compensation plans, which we include in the “Compensation and benefits” and “Other long-term liabilities” line items in our </w:t>
      </w:r>
      <w:r>
        <w:rPr>
          <w:rFonts w:eastAsia="Times New Roman"/>
          <w:color w:val="000000"/>
          <w:sz w:val="16"/>
          <w:szCs w:val="16"/>
        </w:rPr>
        <w:t>Condensed Consolidated Balance Sheet (Unaudited). Under these plans, participants designate investment options (including stock and fixed-income funds), which serve as the basis for measurement of the notional value of their accounts.</w:t>
      </w:r>
    </w:p>
    <w:p w:rsidR="00000000" w:rsidRDefault="00E16B33">
      <w:pPr>
        <w:ind w:firstLine="360"/>
        <w:divId w:val="2074696787"/>
        <w:rPr>
          <w:rFonts w:eastAsia="Times New Roman"/>
        </w:rPr>
      </w:pPr>
      <w:r>
        <w:rPr>
          <w:rFonts w:eastAsia="Times New Roman"/>
          <w:color w:val="000000"/>
          <w:sz w:val="20"/>
          <w:szCs w:val="20"/>
        </w:rPr>
        <w:t>The following table p</w:t>
      </w:r>
      <w:r>
        <w:rPr>
          <w:rFonts w:eastAsia="Times New Roman"/>
          <w:color w:val="000000"/>
          <w:sz w:val="20"/>
          <w:szCs w:val="20"/>
        </w:rPr>
        <w:t>resents the carrying amounts and estimated fair values of our significant financial instruments that were not measured at fair value (carrying amounts of other financial instruments not listed in the table below approximate fair value due to the short-term</w:t>
      </w:r>
      <w:r>
        <w:rPr>
          <w:rFonts w:eastAsia="Times New Roman"/>
          <w:color w:val="000000"/>
          <w:sz w:val="20"/>
          <w:szCs w:val="20"/>
        </w:rPr>
        <w:t xml:space="preserve"> nature of those items): </w:t>
      </w:r>
    </w:p>
    <w:tbl>
      <w:tblPr>
        <w:tblW w:w="5000" w:type="pct"/>
        <w:tblCellMar>
          <w:top w:w="15" w:type="dxa"/>
          <w:left w:w="15" w:type="dxa"/>
          <w:bottom w:w="15" w:type="dxa"/>
          <w:right w:w="15" w:type="dxa"/>
        </w:tblCellMar>
        <w:tblLook w:val="04A0" w:firstRow="1" w:lastRow="0" w:firstColumn="1" w:lastColumn="0" w:noHBand="0" w:noVBand="1"/>
      </w:tblPr>
      <w:tblGrid>
        <w:gridCol w:w="38"/>
        <w:gridCol w:w="364"/>
        <w:gridCol w:w="37"/>
        <w:gridCol w:w="37"/>
        <w:gridCol w:w="3479"/>
        <w:gridCol w:w="37"/>
        <w:gridCol w:w="121"/>
        <w:gridCol w:w="769"/>
        <w:gridCol w:w="36"/>
        <w:gridCol w:w="36"/>
        <w:gridCol w:w="36"/>
        <w:gridCol w:w="36"/>
        <w:gridCol w:w="120"/>
        <w:gridCol w:w="769"/>
        <w:gridCol w:w="36"/>
        <w:gridCol w:w="36"/>
        <w:gridCol w:w="36"/>
        <w:gridCol w:w="36"/>
        <w:gridCol w:w="121"/>
        <w:gridCol w:w="769"/>
        <w:gridCol w:w="36"/>
        <w:gridCol w:w="36"/>
        <w:gridCol w:w="36"/>
        <w:gridCol w:w="36"/>
        <w:gridCol w:w="120"/>
        <w:gridCol w:w="769"/>
        <w:gridCol w:w="36"/>
        <w:gridCol w:w="36"/>
        <w:gridCol w:w="36"/>
        <w:gridCol w:w="36"/>
        <w:gridCol w:w="36"/>
        <w:gridCol w:w="36"/>
        <w:gridCol w:w="36"/>
        <w:gridCol w:w="36"/>
        <w:gridCol w:w="36"/>
      </w:tblGrid>
      <w:tr w:rsidR="00000000">
        <w:trPr>
          <w:divId w:val="1589382143"/>
        </w:trPr>
        <w:tc>
          <w:tcPr>
            <w:tcW w:w="50" w:type="pct"/>
            <w:vAlign w:val="center"/>
            <w:hideMark/>
          </w:tcPr>
          <w:p w:rsidR="00000000" w:rsidRDefault="00E16B33">
            <w:pPr>
              <w:ind w:firstLine="360"/>
              <w:rPr>
                <w:rFonts w:eastAsia="Times New Roman"/>
              </w:rPr>
            </w:pPr>
          </w:p>
        </w:tc>
        <w:tc>
          <w:tcPr>
            <w:tcW w:w="28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222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89382143"/>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589382143"/>
        </w:trPr>
        <w:tc>
          <w:tcPr>
            <w:tcW w:w="0" w:type="auto"/>
            <w:gridSpan w:val="6"/>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89382143"/>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89382143"/>
        </w:trPr>
        <w:tc>
          <w:tcPr>
            <w:tcW w:w="0" w:type="auto"/>
            <w:gridSpan w:val="6"/>
            <w:shd w:val="clear" w:color="auto" w:fill="CCEEFF"/>
            <w:tcMar>
              <w:top w:w="30" w:type="dxa"/>
              <w:left w:w="20" w:type="dxa"/>
              <w:bottom w:w="30" w:type="dxa"/>
              <w:right w:w="20" w:type="dxa"/>
            </w:tcMar>
            <w:hideMark/>
          </w:tcPr>
          <w:p w:rsidR="00000000" w:rsidRDefault="00E16B33">
            <w:pPr>
              <w:spacing w:after="100"/>
              <w:divId w:val="266621449"/>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7,044 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6,836 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7,059 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7,701 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1159884425"/>
        <w:rPr>
          <w:rFonts w:eastAsia="Times New Roman"/>
        </w:rPr>
      </w:pPr>
      <w:r>
        <w:rPr>
          <w:rFonts w:eastAsia="Times New Roman"/>
          <w:color w:val="000000"/>
          <w:sz w:val="16"/>
          <w:szCs w:val="16"/>
        </w:rPr>
        <w:t>_______________</w:t>
      </w:r>
    </w:p>
    <w:p w:rsidR="00000000" w:rsidRDefault="00E16B33">
      <w:pPr>
        <w:ind w:hanging="360"/>
        <w:divId w:val="713314160"/>
        <w:rPr>
          <w:rFonts w:eastAsia="Times New Roman"/>
        </w:rPr>
      </w:pPr>
      <w:r>
        <w:rPr>
          <w:rFonts w:eastAsia="Times New Roman"/>
          <w:color w:val="000000"/>
          <w:sz w:val="16"/>
          <w:szCs w:val="16"/>
        </w:rPr>
        <w:t>(1)The fair value was estimated using a market approach based on quoted market prices for our debt traded in the second</w:t>
      </w:r>
      <w:r>
        <w:rPr>
          <w:rFonts w:eastAsia="Times New Roman"/>
          <w:color w:val="000000"/>
          <w:sz w:val="16"/>
          <w:szCs w:val="16"/>
        </w:rPr>
        <w:t>ary market. If our long-term debt in our balance sheet was measured at fair value, it would be categorized in Level 2 of the fair value hierarchy.</w:t>
      </w:r>
    </w:p>
    <w:p w:rsidR="00000000" w:rsidRDefault="00E16B33">
      <w:pPr>
        <w:ind w:firstLine="360"/>
        <w:divId w:val="346253285"/>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I — Goodwill and Other Intangible Assets </w:t>
      </w:r>
      <w:r>
        <w:rPr>
          <w:rFonts w:eastAsia="Times New Roman"/>
          <w:color w:val="000000"/>
          <w:sz w:val="20"/>
          <w:szCs w:val="20"/>
        </w:rPr>
        <w:t xml:space="preserve">in these Notes and </w:t>
      </w:r>
      <w:r>
        <w:rPr>
          <w:rFonts w:eastAsia="Times New Roman"/>
          <w:i/>
          <w:iCs/>
          <w:color w:val="000000"/>
          <w:sz w:val="20"/>
          <w:szCs w:val="20"/>
        </w:rPr>
        <w:t>Note 3: Business Divestitures and Asset Sales</w:t>
      </w:r>
      <w:r>
        <w:rPr>
          <w:rFonts w:eastAsia="Times New Roman"/>
          <w:color w:val="000000"/>
          <w:sz w:val="20"/>
          <w:szCs w:val="20"/>
        </w:rPr>
        <w:t xml:space="preserve"> in the Notes to Consolidated Financial Statements in our Fiscal 2021 Form 10-K for additional information regarding fair value measurements associated with goodwill. </w:t>
      </w:r>
    </w:p>
    <w:p w:rsidR="00000000" w:rsidRDefault="00E16B33">
      <w:pPr>
        <w:divId w:val="1515336697"/>
        <w:rPr>
          <w:rFonts w:eastAsia="Times New Roman"/>
        </w:rPr>
      </w:pPr>
      <w:r>
        <w:rPr>
          <w:rFonts w:eastAsia="Times New Roman"/>
          <w:b/>
          <w:bCs/>
          <w:color w:val="000000"/>
          <w:sz w:val="20"/>
          <w:szCs w:val="20"/>
        </w:rPr>
        <w:t xml:space="preserve">NOTE O— DERIVATIVE INSTRUMENTS AND HEDGING </w:t>
      </w:r>
      <w:r>
        <w:rPr>
          <w:rFonts w:eastAsia="Times New Roman"/>
          <w:b/>
          <w:bCs/>
          <w:color w:val="000000"/>
          <w:sz w:val="20"/>
          <w:szCs w:val="20"/>
        </w:rPr>
        <w:t>ACTIVITIES</w:t>
      </w:r>
      <w:r>
        <w:rPr>
          <w:rFonts w:eastAsia="Times New Roman"/>
          <w:b/>
          <w:bCs/>
          <w:i/>
          <w:iCs/>
          <w:color w:val="000000"/>
          <w:sz w:val="20"/>
          <w:szCs w:val="20"/>
        </w:rPr>
        <w:t xml:space="preserve"> </w:t>
      </w:r>
    </w:p>
    <w:p w:rsidR="00000000" w:rsidRDefault="00E16B33">
      <w:pPr>
        <w:ind w:firstLine="360"/>
        <w:divId w:val="1980836558"/>
        <w:rPr>
          <w:rFonts w:eastAsia="Times New Roman"/>
        </w:rPr>
      </w:pPr>
      <w:r>
        <w:rPr>
          <w:rFonts w:eastAsia="Times New Roman"/>
          <w:color w:val="000000"/>
          <w:sz w:val="20"/>
          <w:szCs w:val="20"/>
        </w:rPr>
        <w:t>In the normal course of business, we are exposed to global market risks, including the effect of changes in foreign currency exchange rates. We use derivative instruments to manage our exposure to such risks and formally document all relationsh</w:t>
      </w:r>
      <w:r>
        <w:rPr>
          <w:rFonts w:eastAsia="Times New Roman"/>
          <w:color w:val="000000"/>
          <w:sz w:val="20"/>
          <w:szCs w:val="20"/>
        </w:rPr>
        <w:t>ips between hedging instruments and hedged items, as well as the risk-management objective and strategy for undertaking hedge transactions. We also may enter into derivative instruments that are not designated as hedges and do not qualify for hedge account</w:t>
      </w:r>
      <w:r>
        <w:rPr>
          <w:rFonts w:eastAsia="Times New Roman"/>
          <w:color w:val="000000"/>
          <w:sz w:val="20"/>
          <w:szCs w:val="20"/>
        </w:rPr>
        <w:t>ing. We recognize all derivatives in our Condensed Consolidated Balance Sheet (Unaudited) at fair value. We do not hold or issue derivatives for speculative trading purposes.</w:t>
      </w:r>
    </w:p>
    <w:p w:rsidR="00000000" w:rsidRDefault="00E16B33">
      <w:pPr>
        <w:divId w:val="1111167731"/>
        <w:rPr>
          <w:rFonts w:eastAsia="Times New Roman"/>
        </w:rPr>
      </w:pPr>
      <w:r>
        <w:rPr>
          <w:rFonts w:eastAsia="Times New Roman"/>
          <w:b/>
          <w:bCs/>
          <w:color w:val="000000"/>
          <w:sz w:val="20"/>
          <w:szCs w:val="20"/>
        </w:rPr>
        <w:t>Exchange Rate Risk — Cash Flow Hedges</w:t>
      </w:r>
    </w:p>
    <w:p w:rsidR="00000000" w:rsidRDefault="00E16B33">
      <w:pPr>
        <w:ind w:firstLine="360"/>
        <w:divId w:val="331759049"/>
        <w:rPr>
          <w:rFonts w:eastAsia="Times New Roman"/>
        </w:rPr>
      </w:pPr>
      <w:r>
        <w:rPr>
          <w:rFonts w:eastAsia="Times New Roman"/>
          <w:color w:val="000000"/>
          <w:sz w:val="20"/>
          <w:szCs w:val="20"/>
        </w:rPr>
        <w:t>To manage our exposure to currency risk and</w:t>
      </w:r>
      <w:r>
        <w:rPr>
          <w:rFonts w:eastAsia="Times New Roman"/>
          <w:color w:val="000000"/>
          <w:sz w:val="20"/>
          <w:szCs w:val="20"/>
        </w:rPr>
        <w:t xml:space="preserve"> market fluctuation risk associated with anticipated cash flows that are probable of occurring in the future, we implement cash flow hedges. More specifically, we use foreign currency forward contracts and options to hedge off-balance sheet future foreign </w:t>
      </w:r>
      <w:r>
        <w:rPr>
          <w:rFonts w:eastAsia="Times New Roman"/>
          <w:color w:val="000000"/>
          <w:sz w:val="20"/>
          <w:szCs w:val="20"/>
        </w:rPr>
        <w:t>currency commitments, including purchase commitments to suppliers, future committed sales to customers and intersegment transactions. These derivatives are used to hedge currency exposures from cash flows anticipated across our business segments. We also h</w:t>
      </w:r>
      <w:r>
        <w:rPr>
          <w:rFonts w:eastAsia="Times New Roman"/>
          <w:color w:val="000000"/>
          <w:sz w:val="20"/>
          <w:szCs w:val="20"/>
        </w:rPr>
        <w:t xml:space="preserve">edge U.S. Dollar payments to suppliers to maintain our anticipated profit margins in our international operations. These derivatives have only nominal intrinsic value at the time of purchase and </w:t>
      </w:r>
    </w:p>
    <w:p w:rsidR="00000000" w:rsidRDefault="00E16B33">
      <w:pPr>
        <w:ind w:firstLine="360"/>
        <w:jc w:val="center"/>
        <w:divId w:val="1481311211"/>
        <w:rPr>
          <w:rFonts w:eastAsia="Times New Roman"/>
        </w:rPr>
      </w:pPr>
      <w:r>
        <w:rPr>
          <w:rFonts w:eastAsia="Times New Roman"/>
          <w:color w:val="000000"/>
          <w:sz w:val="20"/>
          <w:szCs w:val="20"/>
        </w:rPr>
        <w:t>14</w:t>
      </w:r>
    </w:p>
    <w:p w:rsidR="00000000" w:rsidRDefault="00E16B33">
      <w:pPr>
        <w:rPr>
          <w:rFonts w:eastAsia="Times New Roman"/>
        </w:rPr>
      </w:pPr>
      <w:r>
        <w:rPr>
          <w:rFonts w:eastAsia="Times New Roman"/>
        </w:rPr>
        <w:pict>
          <v:rect id="_x0000_i1041" style="width:0;height:1.5pt" o:hralign="center" o:hrstd="t" o:hr="t" fillcolor="#a0a0a0" stroked="f"/>
        </w:pict>
      </w:r>
    </w:p>
    <w:p w:rsidR="00000000" w:rsidRDefault="00E16B33">
      <w:pPr>
        <w:ind w:firstLine="360"/>
        <w:divId w:val="1913000821"/>
        <w:rPr>
          <w:rFonts w:eastAsia="Times New Roman"/>
        </w:rPr>
      </w:pPr>
    </w:p>
    <w:p w:rsidR="00000000" w:rsidRDefault="00E16B33">
      <w:pPr>
        <w:divId w:val="1348016530"/>
        <w:rPr>
          <w:rFonts w:eastAsia="Times New Roman"/>
        </w:rPr>
      </w:pPr>
      <w:r>
        <w:rPr>
          <w:rFonts w:eastAsia="Times New Roman"/>
          <w:color w:val="000000"/>
          <w:sz w:val="20"/>
          <w:szCs w:val="20"/>
        </w:rPr>
        <w:t>have a high degree</w:t>
      </w:r>
      <w:r>
        <w:rPr>
          <w:rFonts w:eastAsia="Times New Roman"/>
          <w:color w:val="000000"/>
          <w:sz w:val="20"/>
          <w:szCs w:val="20"/>
        </w:rPr>
        <w:t xml:space="preserve"> of correlation to the anticipated cash flows they are designated to hedge. Hedge effectiveness is determined by the correlation of the anticipated cash flows from the hedging instruments and the anticipated cash flows from the future foreign currency comm</w:t>
      </w:r>
      <w:r>
        <w:rPr>
          <w:rFonts w:eastAsia="Times New Roman"/>
          <w:color w:val="000000"/>
          <w:sz w:val="20"/>
          <w:szCs w:val="20"/>
        </w:rPr>
        <w:t>itments through the maturity dates of the derivatives used to hedge these cash flows. These financial instruments are marked-to-market using forward prices and fair value quotes with the offset to other comprehensive income (loss). Gains and losses in AOCI</w:t>
      </w:r>
      <w:r>
        <w:rPr>
          <w:rFonts w:eastAsia="Times New Roman"/>
          <w:color w:val="000000"/>
          <w:sz w:val="20"/>
          <w:szCs w:val="20"/>
        </w:rPr>
        <w:t xml:space="preserve"> are reclassified to earnings when the related hedged item is recognized in earnings. The cash flow impact of our derivatives is included in the same category in our Condensed Consolidated Statement of Cash Flows (Unaudited) as the cash flows of the relate</w:t>
      </w:r>
      <w:r>
        <w:rPr>
          <w:rFonts w:eastAsia="Times New Roman"/>
          <w:color w:val="000000"/>
          <w:sz w:val="20"/>
          <w:szCs w:val="20"/>
        </w:rPr>
        <w:t>d hedged items. Notional amounts are used to measure the volume of foreign currency forward contracts and do not represent exposure to foreign currency losses. At July 1, 2022, we had open foreign currency forward contracts with an aggregate notional amoun</w:t>
      </w:r>
      <w:r>
        <w:rPr>
          <w:rFonts w:eastAsia="Times New Roman"/>
          <w:color w:val="000000"/>
          <w:sz w:val="20"/>
          <w:szCs w:val="20"/>
        </w:rPr>
        <w:t>t of $262 million, hedging certain forecasted transactions denominated in Canadian Dollars, U.S. Dollars, British Pounds, Euros and Australian Dollars. At December 31, 2021, we had open foreign currency forward contracts with an aggregate notional amount o</w:t>
      </w:r>
      <w:r>
        <w:rPr>
          <w:rFonts w:eastAsia="Times New Roman"/>
          <w:color w:val="000000"/>
          <w:sz w:val="20"/>
          <w:szCs w:val="20"/>
        </w:rPr>
        <w:t xml:space="preserve">f $328 million, hedging certain forecasted transactions denominated in U.S. Dollars, Canadian Dollars, British Pounds, Euros and Australian Dollars. </w:t>
      </w:r>
    </w:p>
    <w:p w:rsidR="00000000" w:rsidRDefault="00E16B33">
      <w:pPr>
        <w:ind w:firstLine="360"/>
        <w:divId w:val="287127684"/>
        <w:rPr>
          <w:rFonts w:eastAsia="Times New Roman"/>
        </w:rPr>
      </w:pPr>
      <w:r>
        <w:rPr>
          <w:rFonts w:eastAsia="Times New Roman"/>
          <w:color w:val="000000"/>
          <w:sz w:val="20"/>
          <w:szCs w:val="20"/>
        </w:rPr>
        <w:t>At July 1, 2022, our foreign currency forward contracts had maturities through 2025.</w:t>
      </w:r>
    </w:p>
    <w:p w:rsidR="00000000" w:rsidRDefault="00E16B33">
      <w:pPr>
        <w:ind w:firstLine="360"/>
        <w:divId w:val="784155654"/>
        <w:rPr>
          <w:rFonts w:eastAsia="Times New Roman"/>
        </w:rPr>
      </w:pPr>
      <w:r>
        <w:rPr>
          <w:rFonts w:eastAsia="Times New Roman"/>
          <w:color w:val="000000"/>
          <w:sz w:val="20"/>
          <w:szCs w:val="20"/>
        </w:rPr>
        <w:t xml:space="preserve">The following table presents the fair values of our derivatives designated as foreign currency hedging instruments in our Condensed Consolidated Balance Sheet (Unaudited) at July 1, 2022 and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4966"/>
        <w:gridCol w:w="36"/>
        <w:gridCol w:w="36"/>
        <w:gridCol w:w="36"/>
        <w:gridCol w:w="36"/>
        <w:gridCol w:w="121"/>
        <w:gridCol w:w="900"/>
        <w:gridCol w:w="36"/>
        <w:gridCol w:w="36"/>
        <w:gridCol w:w="36"/>
        <w:gridCol w:w="36"/>
        <w:gridCol w:w="121"/>
        <w:gridCol w:w="90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202131437"/>
        </w:trPr>
        <w:tc>
          <w:tcPr>
            <w:tcW w:w="50" w:type="pct"/>
            <w:vAlign w:val="center"/>
            <w:hideMark/>
          </w:tcPr>
          <w:p w:rsidR="00000000" w:rsidRDefault="00E16B33">
            <w:pPr>
              <w:ind w:firstLine="360"/>
              <w:rPr>
                <w:rFonts w:eastAsia="Times New Roman"/>
              </w:rPr>
            </w:pPr>
          </w:p>
        </w:tc>
        <w:tc>
          <w:tcPr>
            <w:tcW w:w="345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02131437"/>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shd w:val="clear" w:color="auto" w:fill="CCEEFF"/>
            <w:tcMar>
              <w:top w:w="30" w:type="dxa"/>
              <w:left w:w="20" w:type="dxa"/>
              <w:bottom w:w="30" w:type="dxa"/>
              <w:right w:w="20" w:type="dxa"/>
            </w:tcMar>
            <w:hideMark/>
          </w:tcPr>
          <w:p w:rsidR="00000000" w:rsidRDefault="00E16B33">
            <w:pPr>
              <w:spacing w:after="100"/>
              <w:divId w:val="915167767"/>
              <w:rPr>
                <w:rFonts w:eastAsia="Times New Roman"/>
              </w:rPr>
            </w:pPr>
            <w:r>
              <w:rPr>
                <w:rFonts w:eastAsia="Times New Roman"/>
                <w:b/>
                <w:bCs/>
                <w:color w:val="000000"/>
                <w:sz w:val="20"/>
                <w:szCs w:val="20"/>
              </w:rPr>
              <w:t>Foreign currency forward contract</w:t>
            </w:r>
            <w:r>
              <w:rPr>
                <w:rFonts w:eastAsia="Times New Roman"/>
                <w:b/>
                <w:bCs/>
                <w:color w:val="000000"/>
                <w:sz w:val="20"/>
                <w:szCs w:val="20"/>
              </w:rPr>
              <w:t>s</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shd w:val="clear" w:color="auto" w:fill="FFFFFF"/>
            <w:tcMar>
              <w:top w:w="30" w:type="dxa"/>
              <w:left w:w="26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shd w:val="clear" w:color="auto" w:fill="CCEEFF"/>
            <w:tcMar>
              <w:top w:w="30" w:type="dxa"/>
              <w:left w:w="26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shd w:val="clear" w:color="auto" w:fill="FFFFFF"/>
            <w:tcMar>
              <w:top w:w="30" w:type="dxa"/>
              <w:left w:w="26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accrued items</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shd w:val="clear" w:color="auto" w:fill="CCEEFF"/>
            <w:tcMar>
              <w:top w:w="30" w:type="dxa"/>
              <w:left w:w="26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02131437"/>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1629503781"/>
        <w:rPr>
          <w:rFonts w:eastAsia="Times New Roman"/>
        </w:rPr>
      </w:pPr>
      <w:r>
        <w:rPr>
          <w:rFonts w:eastAsia="Times New Roman"/>
          <w:color w:val="000000"/>
          <w:sz w:val="16"/>
          <w:szCs w:val="16"/>
        </w:rPr>
        <w:t>_______________</w:t>
      </w:r>
    </w:p>
    <w:p w:rsidR="00000000" w:rsidRDefault="00E16B33">
      <w:pPr>
        <w:ind w:hanging="360"/>
        <w:divId w:val="1107382120"/>
        <w:rPr>
          <w:rFonts w:eastAsia="Times New Roman"/>
        </w:rPr>
      </w:pPr>
      <w:r>
        <w:rPr>
          <w:rFonts w:eastAsia="Times New Roman"/>
          <w:color w:val="000000"/>
          <w:sz w:val="16"/>
          <w:szCs w:val="16"/>
        </w:rPr>
        <w:t xml:space="preserve">(1)See </w:t>
      </w:r>
      <w:r>
        <w:rPr>
          <w:rFonts w:eastAsia="Times New Roman"/>
          <w:i/>
          <w:iCs/>
          <w:color w:val="000000"/>
          <w:sz w:val="16"/>
          <w:szCs w:val="16"/>
        </w:rPr>
        <w:t>Note N — Fair Value Measurements</w:t>
      </w:r>
      <w:r>
        <w:rPr>
          <w:rFonts w:eastAsia="Times New Roman"/>
          <w:color w:val="000000"/>
          <w:sz w:val="16"/>
          <w:szCs w:val="16"/>
        </w:rPr>
        <w:t xml:space="preserve"> in these Notes for a description of the fair value hierarchy related to our foreign currency forward contracts.</w:t>
      </w:r>
    </w:p>
    <w:p w:rsidR="00000000" w:rsidRDefault="00E16B33">
      <w:pPr>
        <w:ind w:firstLine="360"/>
        <w:divId w:val="1477064965"/>
        <w:rPr>
          <w:rFonts w:eastAsia="Times New Roman"/>
        </w:rPr>
      </w:pPr>
      <w:r>
        <w:rPr>
          <w:rFonts w:eastAsia="Times New Roman"/>
          <w:color w:val="000000"/>
          <w:sz w:val="20"/>
          <w:szCs w:val="20"/>
        </w:rPr>
        <w:t>Gains and losses from foreign currency derivatives designated as cash flow hedges are in</w:t>
      </w:r>
      <w:r>
        <w:rPr>
          <w:rFonts w:eastAsia="Times New Roman"/>
          <w:color w:val="000000"/>
          <w:sz w:val="20"/>
          <w:szCs w:val="20"/>
        </w:rPr>
        <w:t>cluded in the line item in our Condensed Consolidated Statement of Income (Unaudited) associated with the hedged transaction, with the exception of the losses resulting from discontinued cash flow hedges, which are included in the “Engineering, selling and</w:t>
      </w:r>
      <w:r>
        <w:rPr>
          <w:rFonts w:eastAsia="Times New Roman"/>
          <w:color w:val="000000"/>
          <w:sz w:val="20"/>
          <w:szCs w:val="20"/>
        </w:rPr>
        <w:t xml:space="preserve"> administrative expenses” line item in our Condensed Consolidated Statement of Income (Unaudited). </w:t>
      </w:r>
    </w:p>
    <w:p w:rsidR="00000000" w:rsidRDefault="00E16B33">
      <w:pPr>
        <w:divId w:val="132986301"/>
        <w:rPr>
          <w:rFonts w:eastAsia="Times New Roman"/>
        </w:rPr>
      </w:pPr>
      <w:r>
        <w:rPr>
          <w:rFonts w:eastAsia="Times New Roman"/>
          <w:b/>
          <w:bCs/>
          <w:color w:val="000000"/>
          <w:sz w:val="20"/>
          <w:szCs w:val="20"/>
        </w:rPr>
        <w:t>NOTE P— CHANGES IN ESTIMATES</w:t>
      </w:r>
    </w:p>
    <w:p w:rsidR="00000000" w:rsidRDefault="00E16B33">
      <w:pPr>
        <w:ind w:firstLine="360"/>
        <w:divId w:val="728918920"/>
        <w:rPr>
          <w:rFonts w:eastAsia="Times New Roman"/>
        </w:rPr>
      </w:pPr>
      <w:r>
        <w:rPr>
          <w:rFonts w:eastAsia="Times New Roman"/>
          <w:color w:val="000000"/>
          <w:sz w:val="20"/>
          <w:szCs w:val="20"/>
        </w:rPr>
        <w:t>Under the POC cost-to-cost method of revenue recognition, a single estimated profit margin is used to recognize profit for each</w:t>
      </w:r>
      <w:r>
        <w:rPr>
          <w:rFonts w:eastAsia="Times New Roman"/>
          <w:color w:val="000000"/>
          <w:sz w:val="20"/>
          <w:szCs w:val="20"/>
        </w:rPr>
        <w:t xml:space="preserve"> performance obligation over its period of performance. Recognition of profit on a contract requires estimates of the total cost at completion and transaction price and the measurement of progress towards completion. Due to the long-term nature of many of </w:t>
      </w:r>
      <w:r>
        <w:rPr>
          <w:rFonts w:eastAsia="Times New Roman"/>
          <w:color w:val="000000"/>
          <w:sz w:val="20"/>
          <w:szCs w:val="20"/>
        </w:rPr>
        <w:t>our contracts, developing the estimated total cost at completion and total transaction price often requires judgment. Factors that must be considered in estimating the cost of the work to be completed include the nature and complexity of the work to be per</w:t>
      </w:r>
      <w:r>
        <w:rPr>
          <w:rFonts w:eastAsia="Times New Roman"/>
          <w:color w:val="000000"/>
          <w:sz w:val="20"/>
          <w:szCs w:val="20"/>
        </w:rPr>
        <w:t>formed, subcontractor performance and the risk and impact of delayed performance. Factors that must be considered in estimating the total transaction price include contractual cost or performance incentives (such as incentive fees, award fees and penalties</w:t>
      </w:r>
      <w:r>
        <w:rPr>
          <w:rFonts w:eastAsia="Times New Roman"/>
          <w:color w:val="000000"/>
          <w:sz w:val="20"/>
          <w:szCs w:val="20"/>
        </w:rPr>
        <w:t>) and other forms of variable consideration as well as our historical experience and our expectation for performance on the contract. These variable amounts generally are awarded upon achievement of certain negotiated performance metrics, program milestone</w:t>
      </w:r>
      <w:r>
        <w:rPr>
          <w:rFonts w:eastAsia="Times New Roman"/>
          <w:color w:val="000000"/>
          <w:sz w:val="20"/>
          <w:szCs w:val="20"/>
        </w:rPr>
        <w:t>s or cost targets and can be based upon customer discretion. We include such estimated amounts in the transaction price to the extent it is probable that a significant reversal of cumulative revenue recognized will not occur when the uncertainty associated</w:t>
      </w:r>
      <w:r>
        <w:rPr>
          <w:rFonts w:eastAsia="Times New Roman"/>
          <w:color w:val="000000"/>
          <w:sz w:val="20"/>
          <w:szCs w:val="20"/>
        </w:rPr>
        <w:t xml:space="preserve"> with the variable consideration is resolved.</w:t>
      </w:r>
    </w:p>
    <w:p w:rsidR="00000000" w:rsidRDefault="00E16B33">
      <w:pPr>
        <w:ind w:firstLine="360"/>
        <w:divId w:val="1474639633"/>
        <w:rPr>
          <w:rFonts w:eastAsia="Times New Roman"/>
        </w:rPr>
      </w:pPr>
      <w:r>
        <w:rPr>
          <w:rFonts w:eastAsia="Times New Roman"/>
          <w:color w:val="000000"/>
          <w:sz w:val="20"/>
          <w:szCs w:val="20"/>
        </w:rPr>
        <w:t>At the outset of each contract, we gauge its complexity and perceived risks and establish an estimated total cost at completion in line with these expectations. After establishing the estimated total cost at co</w:t>
      </w:r>
      <w:r>
        <w:rPr>
          <w:rFonts w:eastAsia="Times New Roman"/>
          <w:color w:val="000000"/>
          <w:sz w:val="20"/>
          <w:szCs w:val="20"/>
        </w:rPr>
        <w:t>mpletion, we follow a standard Estimate at Completion (“EAC”) process in which we review the progress and performance on our ongoing contracts at least quarterly and, in many cases, more frequently. If we successfully retire risks associated with the techn</w:t>
      </w:r>
      <w:r>
        <w:rPr>
          <w:rFonts w:eastAsia="Times New Roman"/>
          <w:color w:val="000000"/>
          <w:sz w:val="20"/>
          <w:szCs w:val="20"/>
        </w:rPr>
        <w:t>ical, schedule and cost aspects of a contract, we may lower our estimated total cost at completion commensurate with the retirement of these risks. Conversely, if we are not successful in retiring these risks, we may increase our estimated total cost at co</w:t>
      </w:r>
      <w:r>
        <w:rPr>
          <w:rFonts w:eastAsia="Times New Roman"/>
          <w:color w:val="000000"/>
          <w:sz w:val="20"/>
          <w:szCs w:val="20"/>
        </w:rPr>
        <w:t xml:space="preserve">mpletion. Additionally, as the contract progresses, our estimates of total transaction price may increase or decrease if, for example, we receive award fees that are higher or lower than expected. When adjustments in estimated total costs at completion or </w:t>
      </w:r>
      <w:r>
        <w:rPr>
          <w:rFonts w:eastAsia="Times New Roman"/>
          <w:color w:val="000000"/>
          <w:sz w:val="20"/>
          <w:szCs w:val="20"/>
        </w:rPr>
        <w:t>in estimated total transaction price are determined, the related impact on operating income is recognized using the cumulative catch-up method, which recognizes in the current period the cumulative effect of such adjustments for all prior periods. Any anti</w:t>
      </w:r>
      <w:r>
        <w:rPr>
          <w:rFonts w:eastAsia="Times New Roman"/>
          <w:color w:val="000000"/>
          <w:sz w:val="20"/>
          <w:szCs w:val="20"/>
        </w:rPr>
        <w:t>cipated losses on these contracts are fully recognized in the period in which the losses become evident.</w:t>
      </w:r>
    </w:p>
    <w:p w:rsidR="00000000" w:rsidRDefault="00E16B33">
      <w:pPr>
        <w:ind w:firstLine="360"/>
        <w:jc w:val="center"/>
        <w:divId w:val="538129541"/>
        <w:rPr>
          <w:rFonts w:eastAsia="Times New Roman"/>
        </w:rPr>
      </w:pPr>
      <w:r>
        <w:rPr>
          <w:rFonts w:eastAsia="Times New Roman"/>
          <w:color w:val="000000"/>
          <w:sz w:val="20"/>
          <w:szCs w:val="20"/>
        </w:rPr>
        <w:t>15</w:t>
      </w:r>
    </w:p>
    <w:p w:rsidR="00000000" w:rsidRDefault="00E16B33">
      <w:pPr>
        <w:rPr>
          <w:rFonts w:eastAsia="Times New Roman"/>
        </w:rPr>
      </w:pPr>
      <w:r>
        <w:rPr>
          <w:rFonts w:eastAsia="Times New Roman"/>
        </w:rPr>
        <w:pict>
          <v:rect id="_x0000_i1042" style="width:0;height:1.5pt" o:hralign="center" o:hrstd="t" o:hr="t" fillcolor="#a0a0a0" stroked="f"/>
        </w:pict>
      </w:r>
    </w:p>
    <w:p w:rsidR="00000000" w:rsidRDefault="00E16B33">
      <w:pPr>
        <w:ind w:firstLine="360"/>
        <w:divId w:val="1529249212"/>
        <w:rPr>
          <w:rFonts w:eastAsia="Times New Roman"/>
        </w:rPr>
      </w:pPr>
    </w:p>
    <w:p w:rsidR="00000000" w:rsidRDefault="00E16B33">
      <w:pPr>
        <w:ind w:firstLine="360"/>
        <w:divId w:val="1031145409"/>
        <w:rPr>
          <w:rFonts w:eastAsia="Times New Roman"/>
        </w:rPr>
      </w:pPr>
      <w:r>
        <w:rPr>
          <w:rFonts w:eastAsia="Times New Roman"/>
          <w:color w:val="000000"/>
          <w:sz w:val="20"/>
          <w:szCs w:val="20"/>
        </w:rPr>
        <w:t>Net EAC adjustments had the following impact to earnings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57"/>
        <w:gridCol w:w="3787"/>
        <w:gridCol w:w="36"/>
        <w:gridCol w:w="121"/>
        <w:gridCol w:w="868"/>
        <w:gridCol w:w="36"/>
        <w:gridCol w:w="36"/>
        <w:gridCol w:w="36"/>
        <w:gridCol w:w="36"/>
        <w:gridCol w:w="121"/>
        <w:gridCol w:w="869"/>
        <w:gridCol w:w="36"/>
        <w:gridCol w:w="36"/>
        <w:gridCol w:w="36"/>
        <w:gridCol w:w="36"/>
        <w:gridCol w:w="121"/>
        <w:gridCol w:w="869"/>
        <w:gridCol w:w="36"/>
        <w:gridCol w:w="36"/>
        <w:gridCol w:w="36"/>
        <w:gridCol w:w="36"/>
        <w:gridCol w:w="120"/>
        <w:gridCol w:w="869"/>
        <w:gridCol w:w="36"/>
      </w:tblGrid>
      <w:tr w:rsidR="00000000">
        <w:trPr>
          <w:divId w:val="1923446271"/>
        </w:trPr>
        <w:tc>
          <w:tcPr>
            <w:tcW w:w="50" w:type="pct"/>
            <w:vAlign w:val="center"/>
            <w:hideMark/>
          </w:tcPr>
          <w:p w:rsidR="00000000" w:rsidRDefault="00E16B33">
            <w:pPr>
              <w:ind w:firstLine="360"/>
              <w:rPr>
                <w:rFonts w:eastAsia="Times New Roman"/>
              </w:rPr>
            </w:pPr>
          </w:p>
        </w:tc>
        <w:tc>
          <w:tcPr>
            <w:tcW w:w="235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923446271"/>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r>
      <w:tr w:rsidR="00000000">
        <w:trPr>
          <w:divId w:val="1923446271"/>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divId w:val="1923446271"/>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923446271"/>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EAC adjustments, before income taxes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23446271"/>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60 </w:t>
            </w:r>
          </w:p>
        </w:tc>
        <w:tc>
          <w:tcPr>
            <w:tcW w:w="0" w:type="auto"/>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122 </w:t>
            </w:r>
          </w:p>
        </w:tc>
        <w:tc>
          <w:tcPr>
            <w:tcW w:w="0" w:type="auto"/>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23446271"/>
        </w:trPr>
        <w:tc>
          <w:tcPr>
            <w:tcW w:w="0" w:type="auto"/>
            <w:gridSpan w:val="3"/>
            <w:shd w:val="clear" w:color="auto" w:fill="CCEEFF"/>
            <w:tcMar>
              <w:top w:w="30" w:type="dxa"/>
              <w:left w:w="20" w:type="dxa"/>
              <w:bottom w:w="30" w:type="dxa"/>
              <w:right w:w="20" w:type="dxa"/>
            </w:tcMar>
            <w:hideMark/>
          </w:tcPr>
          <w:p w:rsidR="00000000" w:rsidRDefault="00E16B33">
            <w:pPr>
              <w:spacing w:after="100"/>
              <w:ind w:hanging="270"/>
              <w:divId w:val="1877691231"/>
              <w:rPr>
                <w:rFonts w:eastAsia="Times New Roman"/>
              </w:rPr>
            </w:pPr>
            <w:r>
              <w:rPr>
                <w:rFonts w:eastAsia="Times New Roman"/>
                <w:color w:val="000000"/>
                <w:sz w:val="20"/>
                <w:szCs w:val="20"/>
              </w:rPr>
              <w:t>Net EAC adjustments, net of income taxes, per diluted share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0.29 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0.23 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0.59 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923446271"/>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firstLine="360"/>
        <w:divId w:val="1506477109"/>
        <w:rPr>
          <w:rFonts w:eastAsia="Times New Roman"/>
        </w:rPr>
      </w:pPr>
      <w:r>
        <w:rPr>
          <w:rFonts w:eastAsia="Times New Roman"/>
          <w:color w:val="000000"/>
          <w:sz w:val="20"/>
          <w:szCs w:val="20"/>
        </w:rPr>
        <w:t>Revenue recognized from performance obligations satisfied in prior p</w:t>
      </w:r>
      <w:r>
        <w:rPr>
          <w:rFonts w:eastAsia="Times New Roman"/>
          <w:color w:val="000000"/>
          <w:sz w:val="20"/>
          <w:szCs w:val="20"/>
        </w:rPr>
        <w:t>eriods was $32 million and $90 million for the quarter and two quarters ended July 1, 2022, respectively, and $107 million and $215 million for the quarter and two quarters ended July 2, 2021, respectively.</w:t>
      </w:r>
    </w:p>
    <w:p w:rsidR="00000000" w:rsidRDefault="00E16B33">
      <w:pPr>
        <w:divId w:val="1643922453"/>
        <w:rPr>
          <w:rFonts w:eastAsia="Times New Roman"/>
        </w:rPr>
      </w:pPr>
      <w:r>
        <w:rPr>
          <w:rFonts w:eastAsia="Times New Roman"/>
          <w:b/>
          <w:bCs/>
          <w:color w:val="000000"/>
          <w:sz w:val="20"/>
          <w:szCs w:val="20"/>
        </w:rPr>
        <w:t xml:space="preserve">NOTE Q— BACKLOG </w:t>
      </w:r>
    </w:p>
    <w:p w:rsidR="00000000" w:rsidRDefault="00E16B33">
      <w:pPr>
        <w:ind w:firstLine="360"/>
        <w:divId w:val="2016763240"/>
        <w:rPr>
          <w:rFonts w:eastAsia="Times New Roman"/>
        </w:rPr>
      </w:pPr>
      <w:r>
        <w:rPr>
          <w:rFonts w:eastAsia="Times New Roman"/>
          <w:color w:val="000000"/>
          <w:sz w:val="20"/>
          <w:szCs w:val="20"/>
        </w:rPr>
        <w:t>Backlog, which is the equivalent</w:t>
      </w:r>
      <w:r>
        <w:rPr>
          <w:rFonts w:eastAsia="Times New Roman"/>
          <w:color w:val="000000"/>
          <w:sz w:val="20"/>
          <w:szCs w:val="20"/>
        </w:rPr>
        <w:t xml:space="preserve"> of our remaining performance obligations, represents the future revenue we expect to recognize as we perform on our current contracts. Backlog comprises both funded backlog (i.e., firm orders for which funding is authorized and appropriated) and unfunded </w:t>
      </w:r>
      <w:r>
        <w:rPr>
          <w:rFonts w:eastAsia="Times New Roman"/>
          <w:color w:val="000000"/>
          <w:sz w:val="20"/>
          <w:szCs w:val="20"/>
        </w:rPr>
        <w:t xml:space="preserve">backlog. Backlog excludes unexercised contract options and potential orders under ordering-type contracts, such as indefinite delivery, indefinite quantity contracts. </w:t>
      </w:r>
    </w:p>
    <w:p w:rsidR="00000000" w:rsidRDefault="00E16B33">
      <w:pPr>
        <w:ind w:firstLine="360"/>
        <w:divId w:val="118571589"/>
        <w:rPr>
          <w:rFonts w:eastAsia="Times New Roman"/>
        </w:rPr>
      </w:pPr>
      <w:r>
        <w:rPr>
          <w:rFonts w:eastAsia="Times New Roman"/>
          <w:color w:val="000000"/>
          <w:sz w:val="20"/>
          <w:szCs w:val="20"/>
        </w:rPr>
        <w:t xml:space="preserve">At July 1, 2022, our ending backlog was $19.9 </w:t>
      </w:r>
      <w:r>
        <w:rPr>
          <w:rFonts w:eastAsia="Times New Roman"/>
          <w:color w:val="000000"/>
          <w:sz w:val="20"/>
          <w:szCs w:val="20"/>
        </w:rPr>
        <w:t>billion. We expect to recognize approximately 39% of the revenue associated with this backlog by the end of 2022 and approximately 68% by the end of 2023, with the remainder to be recognized thereafter. At December 31, 2021, our ending backlog was $21.1 bi</w:t>
      </w:r>
      <w:r>
        <w:rPr>
          <w:rFonts w:eastAsia="Times New Roman"/>
          <w:color w:val="000000"/>
          <w:sz w:val="20"/>
          <w:szCs w:val="20"/>
        </w:rPr>
        <w:t>llion.</w:t>
      </w:r>
    </w:p>
    <w:p w:rsidR="00000000" w:rsidRDefault="00E16B33">
      <w:pPr>
        <w:divId w:val="1632981192"/>
        <w:rPr>
          <w:rFonts w:eastAsia="Times New Roman"/>
        </w:rPr>
      </w:pPr>
      <w:r>
        <w:rPr>
          <w:rFonts w:eastAsia="Times New Roman"/>
          <w:b/>
          <w:bCs/>
          <w:color w:val="000000"/>
          <w:sz w:val="20"/>
          <w:szCs w:val="20"/>
        </w:rPr>
        <w:t xml:space="preserve">NOTE R— BUSINESS SEGMENT INFORMATION </w:t>
      </w:r>
    </w:p>
    <w:p w:rsidR="00000000" w:rsidRDefault="00E16B33">
      <w:pPr>
        <w:ind w:firstLine="360"/>
        <w:divId w:val="369453143"/>
        <w:rPr>
          <w:rFonts w:eastAsia="Times New Roman"/>
        </w:rPr>
      </w:pPr>
      <w:r>
        <w:rPr>
          <w:rFonts w:eastAsia="Times New Roman"/>
          <w:color w:val="000000"/>
          <w:sz w:val="20"/>
          <w:szCs w:val="20"/>
        </w:rPr>
        <w:t>Effective for fiscal 2022, which began January 1, 2022, we report our financial results in the following three reportable segments:</w:t>
      </w:r>
    </w:p>
    <w:p w:rsidR="00000000" w:rsidRDefault="00E16B33">
      <w:pPr>
        <w:ind w:hanging="360"/>
        <w:divId w:val="193076294"/>
        <w:rPr>
          <w:rFonts w:eastAsia="Times New Roman"/>
        </w:rPr>
      </w:pPr>
      <w:r>
        <w:rPr>
          <w:rFonts w:eastAsia="Times New Roman"/>
          <w:color w:val="000000"/>
          <w:sz w:val="20"/>
          <w:szCs w:val="20"/>
        </w:rPr>
        <w:t>•Integrated Mission Systems, including multi-mission intelligence, surveillance</w:t>
      </w:r>
      <w:r>
        <w:rPr>
          <w:rFonts w:eastAsia="Times New Roman"/>
          <w:color w:val="000000"/>
          <w:sz w:val="20"/>
          <w:szCs w:val="20"/>
        </w:rPr>
        <w:t xml:space="preserve"> and reconnaissance (“ISR”) systems; integrated electrical and electronic systems for maritime platforms; advanced electro-optical and infrared (“EO/IR”) solutions; fuzing and ordnance systems; commercial aviation products; and commercial pilot training op</w:t>
      </w:r>
      <w:r>
        <w:rPr>
          <w:rFonts w:eastAsia="Times New Roman"/>
          <w:color w:val="000000"/>
          <w:sz w:val="20"/>
          <w:szCs w:val="20"/>
        </w:rPr>
        <w:t>erations;</w:t>
      </w:r>
    </w:p>
    <w:p w:rsidR="00000000" w:rsidRDefault="00E16B33">
      <w:pPr>
        <w:ind w:hanging="360"/>
        <w:divId w:val="1237058983"/>
        <w:rPr>
          <w:rFonts w:eastAsia="Times New Roman"/>
        </w:rPr>
      </w:pPr>
      <w:r>
        <w:rPr>
          <w:rFonts w:eastAsia="Times New Roman"/>
          <w:color w:val="000000"/>
          <w:sz w:val="20"/>
          <w:szCs w:val="20"/>
        </w:rPr>
        <w:t>•Space &amp; Airborne Systems, including space payloads, sensors and full-mission solutions; classified intelligence and cyber; avionics; electronic warfare; and mission networks for air traffic management operations; and</w:t>
      </w:r>
    </w:p>
    <w:p w:rsidR="00000000" w:rsidRDefault="00E16B33">
      <w:pPr>
        <w:ind w:hanging="360"/>
        <w:divId w:val="1326782887"/>
        <w:rPr>
          <w:rFonts w:eastAsia="Times New Roman"/>
        </w:rPr>
      </w:pPr>
      <w:r>
        <w:rPr>
          <w:rFonts w:eastAsia="Times New Roman"/>
          <w:color w:val="000000"/>
          <w:sz w:val="20"/>
          <w:szCs w:val="20"/>
        </w:rPr>
        <w:t>•Communication Systems, incl</w:t>
      </w:r>
      <w:r>
        <w:rPr>
          <w:rFonts w:eastAsia="Times New Roman"/>
          <w:color w:val="000000"/>
          <w:sz w:val="20"/>
          <w:szCs w:val="20"/>
        </w:rPr>
        <w:t xml:space="preserve">uding tactical communications with global communications solutions; broadband communications; integrated vision solutions; and public safety radios, system applications and equipment. </w:t>
      </w:r>
    </w:p>
    <w:p w:rsidR="00000000" w:rsidRDefault="00E16B33">
      <w:pPr>
        <w:ind w:firstLine="360"/>
        <w:divId w:val="538132066"/>
        <w:rPr>
          <w:rFonts w:eastAsia="Times New Roman"/>
        </w:rPr>
      </w:pPr>
      <w:r>
        <w:rPr>
          <w:rFonts w:eastAsia="Times New Roman"/>
          <w:color w:val="000000"/>
          <w:sz w:val="20"/>
          <w:szCs w:val="20"/>
        </w:rPr>
        <w:t xml:space="preserve">We structure our operations primarily around the products, systems and </w:t>
      </w:r>
      <w:r>
        <w:rPr>
          <w:rFonts w:eastAsia="Times New Roman"/>
          <w:color w:val="000000"/>
          <w:sz w:val="20"/>
          <w:szCs w:val="20"/>
        </w:rPr>
        <w:t>services we sell and the markets we serve. Effective January 1, 2022, we have streamlined our business segments from four business segments to three business segments. As a result of the segment reorganization, the Aviation Systems segment was eliminated a</w:t>
      </w:r>
      <w:r>
        <w:rPr>
          <w:rFonts w:eastAsia="Times New Roman"/>
          <w:color w:val="000000"/>
          <w:sz w:val="20"/>
          <w:szCs w:val="20"/>
        </w:rPr>
        <w:t>s a business segment. As part of our new business segment structure, the ongoing operations that had been part of our former Aviation Systems segment were integrated into the remaining segments. Fuzing and ordnance systems, commercial aviation products and</w:t>
      </w:r>
      <w:r>
        <w:rPr>
          <w:rFonts w:eastAsia="Times New Roman"/>
          <w:color w:val="000000"/>
          <w:sz w:val="20"/>
          <w:szCs w:val="20"/>
        </w:rPr>
        <w:t xml:space="preserve"> commercial pilot training operations were moved into our Integrated Mission Systems segment; and mission networks for air traffic management operations was moved into our Space &amp; Airborne Systems segment.</w:t>
      </w:r>
    </w:p>
    <w:p w:rsidR="00000000" w:rsidRDefault="00E16B33">
      <w:pPr>
        <w:ind w:firstLine="360"/>
        <w:divId w:val="1545362968"/>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 and Asset Sales</w:t>
      </w:r>
      <w:r>
        <w:rPr>
          <w:rFonts w:eastAsia="Times New Roman"/>
          <w:color w:val="000000"/>
          <w:sz w:val="20"/>
          <w:szCs w:val="20"/>
        </w:rPr>
        <w:t xml:space="preserve"> in these Notes for information relating to businesses divested and asset sales during the quarter and two quarters ended July 1, 2022 and July 2, 2021.</w:t>
      </w:r>
    </w:p>
    <w:p w:rsidR="00000000" w:rsidRDefault="00E16B33">
      <w:pPr>
        <w:ind w:firstLine="360"/>
        <w:divId w:val="1737513849"/>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w:t>
      </w:r>
      <w:r>
        <w:rPr>
          <w:rFonts w:eastAsia="Times New Roman"/>
          <w:i/>
          <w:iCs/>
          <w:color w:val="000000"/>
          <w:sz w:val="20"/>
          <w:szCs w:val="20"/>
        </w:rPr>
        <w:t>t Accounting Policies”</w:t>
      </w:r>
      <w:r>
        <w:rPr>
          <w:rFonts w:eastAsia="Times New Roman"/>
          <w:color w:val="000000"/>
          <w:sz w:val="20"/>
          <w:szCs w:val="20"/>
        </w:rPr>
        <w:t xml:space="preserve"> in the Notes to Consolidated Financial Statements in our Fiscal 2021 Form 10-K. We evaluate each business segment’s performance based on its operating income or loss, which we define as profit or loss from operations before income ta</w:t>
      </w:r>
      <w:r>
        <w:rPr>
          <w:rFonts w:eastAsia="Times New Roman"/>
          <w:color w:val="000000"/>
          <w:sz w:val="20"/>
          <w:szCs w:val="20"/>
        </w:rPr>
        <w:t>xes, including CAS pension cost and excluding interest income and expense, royalties and related intellectual property expenses, equity method investment income or loss and gains or losses from securities and other investments. Intersegment sales are gener</w:t>
      </w:r>
      <w:r>
        <w:rPr>
          <w:rFonts w:eastAsia="Times New Roman"/>
          <w:color w:val="000000"/>
          <w:sz w:val="20"/>
          <w:szCs w:val="20"/>
        </w:rPr>
        <w:t>ally transferred at cost to the buying segment, and the sourcing segment recognizes a profit that is eliminated. The “Corporate eliminations” line item in the table below represents the elimination of intersegment sales. Corporate expenses are primarily al</w:t>
      </w:r>
      <w:r>
        <w:rPr>
          <w:rFonts w:eastAsia="Times New Roman"/>
          <w:color w:val="000000"/>
          <w:sz w:val="20"/>
          <w:szCs w:val="20"/>
        </w:rPr>
        <w:t>located to our business segments using an allocation methodology prescribed by U.S. Government regulations for government contractors. The unallocated items in the table below represent the portion of corporate expenses not allocated to our business segmen</w:t>
      </w:r>
      <w:r>
        <w:rPr>
          <w:rFonts w:eastAsia="Times New Roman"/>
          <w:color w:val="000000"/>
          <w:sz w:val="20"/>
          <w:szCs w:val="20"/>
        </w:rPr>
        <w:t>ts and elimination of intersegment profits.</w:t>
      </w:r>
    </w:p>
    <w:p w:rsidR="00000000" w:rsidRDefault="00E16B33">
      <w:pPr>
        <w:ind w:firstLine="360"/>
        <w:divId w:val="1721787003"/>
        <w:rPr>
          <w:rFonts w:eastAsia="Times New Roman"/>
        </w:rPr>
      </w:pPr>
      <w:r>
        <w:rPr>
          <w:rFonts w:eastAsia="Times New Roman"/>
          <w:color w:val="000000"/>
          <w:sz w:val="20"/>
          <w:szCs w:val="20"/>
        </w:rPr>
        <w:t>In accordance with CAS, we allocate a portion of pension and other postretirement benefit plan costs to our U.S. Government contracts. However, our consolidated financial statements require pension and other post</w:t>
      </w:r>
      <w:r>
        <w:rPr>
          <w:rFonts w:eastAsia="Times New Roman"/>
          <w:color w:val="000000"/>
          <w:sz w:val="20"/>
          <w:szCs w:val="20"/>
        </w:rPr>
        <w:t>retirement benefit plan income or expense be calculated in accordance with FAS requirements under GAAP. The “FAS/CAS operating adjustment” line item in the table below represents the difference between the service cost component of FAS pension and OPEB exp</w:t>
      </w:r>
      <w:r>
        <w:rPr>
          <w:rFonts w:eastAsia="Times New Roman"/>
          <w:color w:val="000000"/>
          <w:sz w:val="20"/>
          <w:szCs w:val="20"/>
        </w:rPr>
        <w:t xml:space="preserve">ense and total CAS </w:t>
      </w:r>
    </w:p>
    <w:p w:rsidR="00000000" w:rsidRDefault="00E16B33">
      <w:pPr>
        <w:divId w:val="652683305"/>
        <w:rPr>
          <w:rFonts w:eastAsia="Times New Roman"/>
        </w:rPr>
      </w:pPr>
      <w:r>
        <w:rPr>
          <w:rFonts w:eastAsia="Times New Roman"/>
          <w:color w:val="000000"/>
          <w:sz w:val="20"/>
          <w:szCs w:val="20"/>
        </w:rPr>
        <w:t xml:space="preserve">pension and OPEB cost. The net non-service cost components of FAS pension and OPEB income are included as an income component in the “Non-operating income” line item in our Condensed Consolidated Statement of Income (Unaudited). See </w:t>
      </w:r>
      <w:r>
        <w:rPr>
          <w:rFonts w:eastAsia="Times New Roman"/>
          <w:i/>
          <w:iCs/>
          <w:color w:val="000000"/>
          <w:sz w:val="20"/>
          <w:szCs w:val="20"/>
        </w:rPr>
        <w:t>Not</w:t>
      </w:r>
      <w:r>
        <w:rPr>
          <w:rFonts w:eastAsia="Times New Roman"/>
          <w:i/>
          <w:iCs/>
          <w:color w:val="000000"/>
          <w:sz w:val="20"/>
          <w:szCs w:val="20"/>
        </w:rPr>
        <w:t>e K — Postretirement Benefit Plans</w:t>
      </w:r>
      <w:r>
        <w:rPr>
          <w:rFonts w:eastAsia="Times New Roman"/>
          <w:color w:val="000000"/>
          <w:sz w:val="20"/>
          <w:szCs w:val="20"/>
        </w:rPr>
        <w:t xml:space="preserve"> for more information on the composition of non-service components of FAS pension and OPEB income and expense.</w:t>
      </w:r>
    </w:p>
    <w:p w:rsidR="00000000" w:rsidRDefault="00E16B33">
      <w:pPr>
        <w:ind w:firstLine="360"/>
        <w:divId w:val="504514923"/>
        <w:rPr>
          <w:rFonts w:eastAsia="Times New Roman"/>
        </w:rPr>
      </w:pPr>
      <w:r>
        <w:rPr>
          <w:rFonts w:eastAsia="Times New Roman"/>
          <w:color w:val="000000"/>
          <w:sz w:val="20"/>
          <w:szCs w:val="20"/>
        </w:rPr>
        <w:t>Segment revenue, segment operating income and a reconciliation of segment operating income to total income from</w:t>
      </w:r>
      <w:r>
        <w:rPr>
          <w:rFonts w:eastAsia="Times New Roman"/>
          <w:color w:val="000000"/>
          <w:sz w:val="20"/>
          <w:szCs w:val="20"/>
        </w:rPr>
        <w:t xml:space="preserve">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40"/>
        <w:gridCol w:w="38"/>
        <w:gridCol w:w="120"/>
        <w:gridCol w:w="785"/>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trPr>
          <w:divId w:val="504514923"/>
        </w:trPr>
        <w:tc>
          <w:tcPr>
            <w:tcW w:w="50" w:type="pct"/>
            <w:vAlign w:val="center"/>
            <w:hideMark/>
          </w:tcPr>
          <w:p w:rsidR="00000000" w:rsidRDefault="00E16B33">
            <w:pPr>
              <w:ind w:firstLine="360"/>
              <w:rPr>
                <w:rFonts w:eastAsia="Times New Roman"/>
              </w:rPr>
            </w:pPr>
          </w:p>
        </w:tc>
        <w:tc>
          <w:tcPr>
            <w:tcW w:w="255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504514923"/>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r>
      <w:tr w:rsidR="00000000">
        <w:trPr>
          <w:divId w:val="504514923"/>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divId w:val="504514923"/>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504514923"/>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504514923"/>
        </w:trPr>
        <w:tc>
          <w:tcPr>
            <w:tcW w:w="0" w:type="auto"/>
            <w:gridSpan w:val="3"/>
            <w:shd w:val="clear" w:color="auto" w:fill="FFFF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1,673 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3,394 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2,239 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Height w:val="24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504514923"/>
        </w:trPr>
        <w:tc>
          <w:tcPr>
            <w:tcW w:w="0" w:type="auto"/>
            <w:gridSpan w:val="24"/>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Income from Continuing Operations before Income Taxes</w:t>
            </w:r>
          </w:p>
        </w:tc>
      </w:tr>
      <w:tr w:rsidR="00000000">
        <w:trPr>
          <w:divId w:val="504514923"/>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Segment Operating Income:</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504514923"/>
        </w:trPr>
        <w:tc>
          <w:tcPr>
            <w:tcW w:w="0" w:type="auto"/>
            <w:gridSpan w:val="3"/>
            <w:shd w:val="clear" w:color="auto" w:fill="CCEE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Unallocated Items: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504514923"/>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780608277"/>
              <w:rPr>
                <w:rFonts w:eastAsia="Times New Roman"/>
              </w:rPr>
            </w:pPr>
            <w:r>
              <w:rPr>
                <w:rFonts w:eastAsia="Times New Roman"/>
                <w:color w:val="000000"/>
                <w:sz w:val="20"/>
                <w:szCs w:val="20"/>
              </w:rPr>
              <w:t>Unallocated corporate department income (expense),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 w:type="dxa"/>
              <w:bottom w:w="30" w:type="dxa"/>
              <w:right w:w="20" w:type="dxa"/>
            </w:tcMar>
            <w:hideMark/>
          </w:tcPr>
          <w:p w:rsidR="00000000" w:rsidRDefault="00E16B33">
            <w:pPr>
              <w:spacing w:after="100"/>
              <w:ind w:hanging="180"/>
              <w:divId w:val="160892980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565189040"/>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divId w:val="198976925"/>
              <w:rPr>
                <w:rFonts w:eastAsia="Times New Roman"/>
              </w:rPr>
            </w:pPr>
            <w:r>
              <w:rPr>
                <w:rFonts w:eastAsia="Times New Roman"/>
                <w:color w:val="00000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divestiture-related expenses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 w:type="dxa"/>
              <w:bottom w:w="30" w:type="dxa"/>
              <w:right w:w="20" w:type="dxa"/>
            </w:tcMar>
            <w:hideMark/>
          </w:tcPr>
          <w:p w:rsidR="00000000" w:rsidRDefault="00E16B33">
            <w:pPr>
              <w:spacing w:after="100"/>
              <w:divId w:val="388577208"/>
              <w:rPr>
                <w:rFonts w:eastAsia="Times New Roman"/>
              </w:rPr>
            </w:pPr>
            <w:r>
              <w:rPr>
                <w:rFonts w:eastAsia="Times New Roman"/>
                <w:color w:val="000000"/>
                <w:sz w:val="20"/>
                <w:szCs w:val="20"/>
              </w:rPr>
              <w:t>FAS/CAS operating adjustmen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0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CCEEFF"/>
            <w:tcMar>
              <w:top w:w="30" w:type="dxa"/>
              <w:left w:w="20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504514923"/>
        </w:trPr>
        <w:tc>
          <w:tcPr>
            <w:tcW w:w="0" w:type="auto"/>
            <w:gridSpan w:val="3"/>
            <w:shd w:val="clear" w:color="auto" w:fill="FFFFFF"/>
            <w:tcMar>
              <w:top w:w="30" w:type="dxa"/>
              <w:left w:w="290" w:type="dxa"/>
              <w:bottom w:w="30" w:type="dxa"/>
              <w:right w:w="20" w:type="dxa"/>
            </w:tcMar>
            <w:hideMark/>
          </w:tcPr>
          <w:p w:rsidR="00000000" w:rsidRDefault="00E16B33">
            <w:pPr>
              <w:spacing w:after="100"/>
              <w:ind w:hanging="270"/>
              <w:rPr>
                <w:rFonts w:eastAsia="Times New Roman"/>
              </w:rPr>
            </w:pPr>
            <w:r>
              <w:rPr>
                <w:rFonts w:eastAsia="Times New Roman"/>
                <w:color w:val="000000"/>
                <w:sz w:val="20"/>
                <w:szCs w:val="20"/>
              </w:rPr>
              <w:t>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hanging="360"/>
        <w:divId w:val="829642823"/>
        <w:rPr>
          <w:rFonts w:eastAsia="Times New Roman"/>
        </w:rPr>
      </w:pPr>
      <w:r>
        <w:rPr>
          <w:rFonts w:eastAsia="Times New Roman"/>
          <w:color w:val="000000"/>
          <w:sz w:val="16"/>
          <w:szCs w:val="16"/>
        </w:rPr>
        <w:t>_______________</w:t>
      </w:r>
    </w:p>
    <w:p w:rsidR="00000000" w:rsidRDefault="00E16B33">
      <w:pPr>
        <w:ind w:hanging="360"/>
        <w:divId w:val="939609606"/>
        <w:rPr>
          <w:rFonts w:eastAsia="Times New Roman"/>
        </w:rPr>
      </w:pPr>
      <w:r>
        <w:rPr>
          <w:rFonts w:eastAsia="Times New Roman"/>
          <w:color w:val="000000"/>
          <w:sz w:val="16"/>
          <w:szCs w:val="16"/>
        </w:rPr>
        <w:t xml:space="preserve">(1)For the </w:t>
      </w:r>
      <w:r>
        <w:rPr>
          <w:rFonts w:eastAsia="Times New Roman"/>
          <w:color w:val="000000"/>
          <w:sz w:val="16"/>
          <w:szCs w:val="16"/>
        </w:rPr>
        <w:t>quarter and two quarters ended July 1, 2022, includes $10 million of income from our deferred compensation plans and $7 million of income from sale of intellectual property. For the quarter ended July 2, 2021 includes $8 million of loss related to our defe</w:t>
      </w:r>
      <w:r>
        <w:rPr>
          <w:rFonts w:eastAsia="Times New Roman"/>
          <w:color w:val="000000"/>
          <w:sz w:val="16"/>
          <w:szCs w:val="16"/>
        </w:rPr>
        <w:t>rred compensation plans. For the two quarters ended July 2, 2021, includes a $15 million accrual for a value added tax obligation and $8 million of loss related to our deferred compensation plans.</w:t>
      </w:r>
    </w:p>
    <w:p w:rsidR="00000000" w:rsidRDefault="00E16B33">
      <w:pPr>
        <w:ind w:hanging="360"/>
        <w:divId w:val="1463619636"/>
        <w:rPr>
          <w:rFonts w:eastAsia="Times New Roman"/>
        </w:rPr>
      </w:pPr>
      <w:r>
        <w:rPr>
          <w:rFonts w:eastAsia="Times New Roman"/>
          <w:color w:val="000000"/>
          <w:sz w:val="16"/>
          <w:szCs w:val="16"/>
        </w:rPr>
        <w:t xml:space="preserve">(2)Includes amortization of identifiable intangible assets </w:t>
      </w:r>
      <w:r>
        <w:rPr>
          <w:rFonts w:eastAsia="Times New Roman"/>
          <w:color w:val="000000"/>
          <w:sz w:val="16"/>
          <w:szCs w:val="16"/>
        </w:rPr>
        <w:t xml:space="preserve">acquired as a result of the all-stock merger between Harris Corporation and L3 Technologies, Inc. (the “L3Harris Merger”) and the acquisition of Exelis Inc. (“Exelis”). Because the L3Harris Merger and the acquisition of Exelis benefited the entire Company </w:t>
      </w:r>
      <w:r>
        <w:rPr>
          <w:rFonts w:eastAsia="Times New Roman"/>
          <w:color w:val="000000"/>
          <w:sz w:val="16"/>
          <w:szCs w:val="16"/>
        </w:rPr>
        <w:t>as opposed to any individual segment, the amortization of identifiable intangible assets acquired was not allocated to any segment.</w:t>
      </w:r>
    </w:p>
    <w:p w:rsidR="00000000" w:rsidRDefault="00E16B33">
      <w:pPr>
        <w:ind w:hanging="360"/>
        <w:divId w:val="812789739"/>
        <w:rPr>
          <w:rFonts w:eastAsia="Times New Roman"/>
        </w:rPr>
      </w:pPr>
      <w:r>
        <w:rPr>
          <w:rFonts w:eastAsia="Times New Roman"/>
          <w:color w:val="000000"/>
          <w:sz w:val="16"/>
          <w:szCs w:val="16"/>
        </w:rPr>
        <w:t>(3)Represents the difference between the service cost component of FAS pension and OPEB income and total CAS pension and OPE</w:t>
      </w:r>
      <w:r>
        <w:rPr>
          <w:rFonts w:eastAsia="Times New Roman"/>
          <w:color w:val="000000"/>
          <w:sz w:val="16"/>
          <w:szCs w:val="16"/>
        </w:rPr>
        <w:t>B cost and replaces the “Pension adjustment” line item previously presented, which included the non-service components of FAS pension and OPEB income. See Net FAS/CAS operating adjustment table below.</w:t>
      </w:r>
    </w:p>
    <w:p w:rsidR="00000000" w:rsidRDefault="00E16B33">
      <w:pPr>
        <w:ind w:hanging="360"/>
        <w:divId w:val="1874029509"/>
        <w:rPr>
          <w:rFonts w:eastAsia="Times New Roman"/>
        </w:rPr>
      </w:pPr>
    </w:p>
    <w:p w:rsidR="00000000" w:rsidRDefault="00E16B33">
      <w:pPr>
        <w:ind w:firstLine="360"/>
        <w:divId w:val="1517187325"/>
        <w:rPr>
          <w:rFonts w:eastAsia="Times New Roman"/>
        </w:rPr>
      </w:pPr>
      <w:r>
        <w:rPr>
          <w:rFonts w:eastAsia="Times New Roman"/>
          <w:color w:val="000000"/>
          <w:sz w:val="20"/>
          <w:szCs w:val="20"/>
        </w:rPr>
        <w:t>The table below is a reconciliation of the FAS/CAS op</w:t>
      </w:r>
      <w:r>
        <w:rPr>
          <w:rFonts w:eastAsia="Times New Roman"/>
          <w:color w:val="000000"/>
          <w:sz w:val="20"/>
          <w:szCs w:val="20"/>
        </w:rPr>
        <w:t>erating adjustment: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4143"/>
        <w:gridCol w:w="37"/>
        <w:gridCol w:w="120"/>
        <w:gridCol w:w="785"/>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trPr>
          <w:divId w:val="1517187325"/>
        </w:trPr>
        <w:tc>
          <w:tcPr>
            <w:tcW w:w="50" w:type="pct"/>
            <w:vAlign w:val="center"/>
            <w:hideMark/>
          </w:tcPr>
          <w:p w:rsidR="00000000" w:rsidRDefault="00E16B33">
            <w:pPr>
              <w:ind w:firstLine="360"/>
              <w:rPr>
                <w:rFonts w:eastAsia="Times New Roman"/>
              </w:rPr>
            </w:pPr>
          </w:p>
        </w:tc>
        <w:tc>
          <w:tcPr>
            <w:tcW w:w="255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51718732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517187325"/>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r>
      <w:tr w:rsidR="00000000">
        <w:trPr>
          <w:divId w:val="151718732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divId w:val="1517187325"/>
          <w:trHeight w:val="10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517187325"/>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FAS pension service cost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517187325"/>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Less: CAS pension cost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517187325"/>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FAS/CAS operating adjustment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517187325"/>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Non-service FAS pension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517187325"/>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1718732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17187325"/>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137382537"/>
              <w:rPr>
                <w:rFonts w:eastAsia="Times New Roman"/>
              </w:rPr>
            </w:pPr>
            <w:r>
              <w:rPr>
                <w:rFonts w:eastAsia="Times New Roman"/>
                <w:color w:val="000000"/>
                <w:sz w:val="20"/>
                <w:szCs w:val="20"/>
              </w:rPr>
              <w:t>FAS/CAS pension adjustment,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517187325"/>
        </w:trPr>
        <w:tc>
          <w:tcPr>
            <w:tcW w:w="0" w:type="auto"/>
            <w:gridSpan w:val="3"/>
            <w:vAlign w:val="center"/>
            <w:hideMark/>
          </w:tcPr>
          <w:p w:rsidR="00000000" w:rsidRDefault="00E16B33">
            <w:pPr>
              <w:spacing w:after="100"/>
              <w:jc w:val="right"/>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firstLine="360"/>
        <w:divId w:val="1517187325"/>
        <w:rPr>
          <w:rFonts w:eastAsia="Times New Roman"/>
        </w:rPr>
      </w:pPr>
      <w:r>
        <w:rPr>
          <w:rFonts w:eastAsia="Times New Roman"/>
          <w:color w:val="000000"/>
          <w:sz w:val="16"/>
          <w:szCs w:val="16"/>
        </w:rPr>
        <w:t>_______________</w:t>
      </w:r>
    </w:p>
    <w:p w:rsidR="00000000" w:rsidRDefault="00E16B33">
      <w:pPr>
        <w:ind w:hanging="360"/>
        <w:divId w:val="949313210"/>
        <w:rPr>
          <w:rFonts w:eastAsia="Times New Roman"/>
        </w:rPr>
      </w:pPr>
      <w:r>
        <w:rPr>
          <w:rFonts w:eastAsia="Times New Roman"/>
          <w:color w:val="000000"/>
          <w:sz w:val="16"/>
          <w:szCs w:val="16"/>
        </w:rPr>
        <w:t>(1)</w:t>
      </w:r>
      <w:r>
        <w:rPr>
          <w:rFonts w:eastAsia="Times New Roman"/>
          <w:color w:val="000000"/>
          <w:sz w:val="16"/>
          <w:szCs w:val="16"/>
        </w:rPr>
        <w:t>FAS/CAS pension adjustment, net excludes net settlement and curtailment losses recognized in fiscal 2021.</w:t>
      </w:r>
    </w:p>
    <w:p w:rsidR="00000000" w:rsidRDefault="00E16B33">
      <w:pPr>
        <w:divId w:val="664012544"/>
        <w:rPr>
          <w:rFonts w:eastAsia="Times New Roman"/>
        </w:rPr>
      </w:pPr>
      <w:r>
        <w:rPr>
          <w:rFonts w:eastAsia="Times New Roman"/>
          <w:b/>
          <w:bCs/>
          <w:color w:val="000000"/>
          <w:sz w:val="20"/>
          <w:szCs w:val="20"/>
        </w:rPr>
        <w:t>Disaggregation of Revenue</w:t>
      </w:r>
    </w:p>
    <w:p w:rsidR="00000000" w:rsidRDefault="00E16B33">
      <w:pPr>
        <w:ind w:firstLine="360"/>
        <w:divId w:val="559290011"/>
        <w:rPr>
          <w:rFonts w:eastAsia="Times New Roman"/>
        </w:rPr>
      </w:pPr>
      <w:r>
        <w:rPr>
          <w:rFonts w:eastAsia="Times New Roman"/>
          <w:color w:val="000000"/>
          <w:sz w:val="20"/>
          <w:szCs w:val="20"/>
        </w:rPr>
        <w:t xml:space="preserve">We disaggregate revenue for all three business segments by customer relationship, contract type and geographical region. We </w:t>
      </w:r>
      <w:r>
        <w:rPr>
          <w:rFonts w:eastAsia="Times New Roman"/>
          <w:color w:val="000000"/>
          <w:sz w:val="20"/>
          <w:szCs w:val="20"/>
        </w:rPr>
        <w:t>believe these categories best depict how the nature, amount, timing and uncertainty of revenue and cash flows are affected by economic factors.</w:t>
      </w:r>
    </w:p>
    <w:tbl>
      <w:tblPr>
        <w:tblW w:w="5000" w:type="pct"/>
        <w:tblCellMar>
          <w:top w:w="15" w:type="dxa"/>
          <w:left w:w="15" w:type="dxa"/>
          <w:bottom w:w="15" w:type="dxa"/>
          <w:right w:w="15" w:type="dxa"/>
        </w:tblCellMar>
        <w:tblLook w:val="04A0" w:firstRow="1" w:lastRow="0" w:firstColumn="1" w:lastColumn="0" w:noHBand="0" w:noVBand="1"/>
      </w:tblPr>
      <w:tblGrid>
        <w:gridCol w:w="40"/>
        <w:gridCol w:w="1829"/>
        <w:gridCol w:w="37"/>
        <w:gridCol w:w="121"/>
        <w:gridCol w:w="679"/>
        <w:gridCol w:w="36"/>
        <w:gridCol w:w="36"/>
        <w:gridCol w:w="36"/>
        <w:gridCol w:w="36"/>
        <w:gridCol w:w="121"/>
        <w:gridCol w:w="601"/>
        <w:gridCol w:w="36"/>
        <w:gridCol w:w="36"/>
        <w:gridCol w:w="36"/>
        <w:gridCol w:w="36"/>
        <w:gridCol w:w="121"/>
        <w:gridCol w:w="1035"/>
        <w:gridCol w:w="36"/>
        <w:gridCol w:w="36"/>
        <w:gridCol w:w="36"/>
        <w:gridCol w:w="36"/>
        <w:gridCol w:w="121"/>
        <w:gridCol w:w="679"/>
        <w:gridCol w:w="36"/>
        <w:gridCol w:w="36"/>
        <w:gridCol w:w="36"/>
        <w:gridCol w:w="36"/>
        <w:gridCol w:w="121"/>
        <w:gridCol w:w="601"/>
        <w:gridCol w:w="36"/>
        <w:gridCol w:w="36"/>
        <w:gridCol w:w="36"/>
        <w:gridCol w:w="36"/>
        <w:gridCol w:w="121"/>
        <w:gridCol w:w="1035"/>
        <w:gridCol w:w="36"/>
        <w:gridCol w:w="36"/>
        <w:gridCol w:w="36"/>
        <w:gridCol w:w="36"/>
        <w:gridCol w:w="36"/>
        <w:gridCol w:w="36"/>
        <w:gridCol w:w="36"/>
        <w:gridCol w:w="36"/>
        <w:gridCol w:w="36"/>
      </w:tblGrid>
      <w:tr w:rsidR="00000000">
        <w:trPr>
          <w:divId w:val="704254126"/>
        </w:trPr>
        <w:tc>
          <w:tcPr>
            <w:tcW w:w="50" w:type="pct"/>
            <w:vAlign w:val="center"/>
            <w:hideMark/>
          </w:tcPr>
          <w:p w:rsidR="00000000" w:rsidRDefault="00E16B33">
            <w:pPr>
              <w:ind w:firstLine="360"/>
              <w:rPr>
                <w:rFonts w:eastAsia="Times New Roman"/>
              </w:rPr>
            </w:pPr>
          </w:p>
        </w:tc>
        <w:tc>
          <w:tcPr>
            <w:tcW w:w="156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2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2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Communication Systems</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1,082 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690 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1,185 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921 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577 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1099526138"/>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833 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1,350 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954 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594 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1,223 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1,311 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1,315 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Height w:val="54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Communication Systems</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Height w:val="6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1,872 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1,347 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2,374 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1,151 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590 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1,168 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divId w:val="51857458"/>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2,507 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1,762 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1,631 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1,855 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1,894 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858 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874 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1,110 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2,468 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2,590 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1,256 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2,557 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2,589 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1,618 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897 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961 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704254126"/>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hanging="360"/>
        <w:divId w:val="1729839602"/>
        <w:rPr>
          <w:rFonts w:eastAsia="Times New Roman"/>
        </w:rPr>
      </w:pPr>
      <w:r>
        <w:rPr>
          <w:rFonts w:eastAsia="Times New Roman"/>
          <w:color w:val="000000"/>
          <w:sz w:val="16"/>
          <w:szCs w:val="16"/>
        </w:rPr>
        <w:t>_____________</w:t>
      </w:r>
      <w:r>
        <w:rPr>
          <w:rFonts w:eastAsia="Times New Roman"/>
          <w:color w:val="000000"/>
          <w:sz w:val="16"/>
          <w:szCs w:val="16"/>
        </w:rPr>
        <w:t>__</w:t>
      </w:r>
    </w:p>
    <w:p w:rsidR="00000000" w:rsidRDefault="00E16B33">
      <w:pPr>
        <w:ind w:hanging="360"/>
        <w:divId w:val="2095589244"/>
        <w:rPr>
          <w:rFonts w:eastAsia="Times New Roman"/>
        </w:rPr>
      </w:pPr>
      <w:r>
        <w:rPr>
          <w:rFonts w:eastAsia="Times New Roman"/>
          <w:color w:val="000000"/>
          <w:sz w:val="16"/>
          <w:szCs w:val="16"/>
        </w:rPr>
        <w:t>(1)Includes revenue derived from time-and-materials contracts.</w:t>
      </w:r>
    </w:p>
    <w:p w:rsidR="00000000" w:rsidRDefault="00E16B33">
      <w:pPr>
        <w:ind w:firstLine="360"/>
        <w:divId w:val="1249466598"/>
        <w:rPr>
          <w:rFonts w:eastAsia="Times New Roman"/>
        </w:rPr>
      </w:pPr>
      <w:r>
        <w:rPr>
          <w:rFonts w:eastAsia="Times New Roman"/>
          <w:color w:val="000000"/>
          <w:sz w:val="20"/>
          <w:szCs w:val="20"/>
        </w:rPr>
        <w:t>Total assets by business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0"/>
        <w:gridCol w:w="1047"/>
        <w:gridCol w:w="36"/>
        <w:gridCol w:w="36"/>
        <w:gridCol w:w="36"/>
        <w:gridCol w:w="36"/>
        <w:gridCol w:w="120"/>
        <w:gridCol w:w="1047"/>
        <w:gridCol w:w="36"/>
      </w:tblGrid>
      <w:tr w:rsidR="00000000">
        <w:trPr>
          <w:divId w:val="1219198942"/>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219198942"/>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December 31, 2021</w:t>
            </w:r>
          </w:p>
        </w:tc>
      </w:tr>
      <w:tr w:rsidR="00000000">
        <w:trPr>
          <w:divId w:val="1219198942"/>
          <w:trHeight w:val="60"/>
        </w:trPr>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219198942"/>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219198942"/>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11,761 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11,830 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19198942"/>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8,381 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8,151 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19198942"/>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6,170 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6,035 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19198942"/>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19198942"/>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divId w:val="238642425"/>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7,826 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8,690 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219198942"/>
        </w:trPr>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hanging="360"/>
        <w:divId w:val="194194698"/>
        <w:rPr>
          <w:rFonts w:eastAsia="Times New Roman"/>
        </w:rPr>
      </w:pPr>
      <w:r>
        <w:rPr>
          <w:rFonts w:eastAsia="Times New Roman"/>
          <w:color w:val="000000"/>
          <w:sz w:val="16"/>
          <w:szCs w:val="16"/>
        </w:rPr>
        <w:t>_______________</w:t>
      </w:r>
    </w:p>
    <w:p w:rsidR="00000000" w:rsidRDefault="00E16B33">
      <w:pPr>
        <w:ind w:hanging="360"/>
        <w:divId w:val="1622417694"/>
        <w:rPr>
          <w:rFonts w:eastAsia="Times New Roman"/>
        </w:rPr>
      </w:pPr>
      <w:r>
        <w:rPr>
          <w:rFonts w:eastAsia="Times New Roman"/>
          <w:color w:val="000000"/>
          <w:sz w:val="16"/>
          <w:szCs w:val="16"/>
        </w:rPr>
        <w:t>(1)</w:t>
      </w:r>
      <w:r>
        <w:rPr>
          <w:rFonts w:eastAsia="Times New Roman"/>
          <w:color w:val="000000"/>
          <w:sz w:val="16"/>
          <w:szCs w:val="16"/>
        </w:rPr>
        <w:t xml:space="preserve">Identifiable intangible assets acquired in connection with the L3Harris Merger in the two quarters ended January 3, 2020 and our acquisition of Exelis in fiscal 2015 were recorded as Corporate assets because they benefited the entire Company as opposed to </w:t>
      </w:r>
      <w:r>
        <w:rPr>
          <w:rFonts w:eastAsia="Times New Roman"/>
          <w:color w:val="000000"/>
          <w:sz w:val="16"/>
          <w:szCs w:val="16"/>
        </w:rPr>
        <w:t>any individual segment. Identifiable intangible asset balances recorded as Corporate assets were $6.3 billion and $6.6 billion at July 1, 2022 and December 31, 2021, respectively. Corporate assets also consisted of cash, income taxes receivable, deferred i</w:t>
      </w:r>
      <w:r>
        <w:rPr>
          <w:rFonts w:eastAsia="Times New Roman"/>
          <w:color w:val="000000"/>
          <w:sz w:val="16"/>
          <w:szCs w:val="16"/>
        </w:rPr>
        <w:t xml:space="preserve">ncome taxes, deferred compensation plan investments, buildings and equipment, as well as any assets of discontinued operations and divestitures. </w:t>
      </w:r>
    </w:p>
    <w:p w:rsidR="00000000" w:rsidRDefault="00E16B33">
      <w:pPr>
        <w:divId w:val="281497067"/>
        <w:rPr>
          <w:rFonts w:eastAsia="Times New Roman"/>
        </w:rPr>
      </w:pPr>
      <w:r>
        <w:rPr>
          <w:rFonts w:eastAsia="Times New Roman"/>
          <w:b/>
          <w:bCs/>
          <w:color w:val="000000"/>
          <w:sz w:val="20"/>
          <w:szCs w:val="20"/>
        </w:rPr>
        <w:t>NOTE S— LEGAL PROCEEDINGS AND CONTINGENCIES</w:t>
      </w:r>
      <w:r>
        <w:rPr>
          <w:rFonts w:eastAsia="Times New Roman"/>
          <w:b/>
          <w:bCs/>
          <w:i/>
          <w:iCs/>
          <w:color w:val="000000"/>
          <w:sz w:val="20"/>
          <w:szCs w:val="20"/>
        </w:rPr>
        <w:t xml:space="preserve"> </w:t>
      </w:r>
    </w:p>
    <w:p w:rsidR="00000000" w:rsidRDefault="00E16B33">
      <w:pPr>
        <w:ind w:firstLine="360"/>
        <w:divId w:val="1467892932"/>
        <w:rPr>
          <w:rFonts w:eastAsia="Times New Roman"/>
        </w:rPr>
      </w:pPr>
      <w:r>
        <w:rPr>
          <w:rFonts w:eastAsia="Times New Roman"/>
          <w:color w:val="000000"/>
          <w:sz w:val="20"/>
          <w:szCs w:val="20"/>
        </w:rPr>
        <w:t>From time to time, as a normal incident of the nature and kind of</w:t>
      </w:r>
      <w:r>
        <w:rPr>
          <w:rFonts w:eastAsia="Times New Roman"/>
          <w:color w:val="000000"/>
          <w:sz w:val="20"/>
          <w:szCs w:val="20"/>
        </w:rPr>
        <w:t xml:space="preserve"> businesses in which we are or were engaged, various claims or charges are asserted and litigation or arbitration is commenced by or against us arising from or related to matters, including, but not limited to: product liability; personal injury; patents, </w:t>
      </w:r>
      <w:r>
        <w:rPr>
          <w:rFonts w:eastAsia="Times New Roman"/>
          <w:color w:val="000000"/>
          <w:sz w:val="20"/>
          <w:szCs w:val="20"/>
        </w:rPr>
        <w:t>trademarks, trade secrets or other intellectual property; labor and employee disputes; commercial or contractual disputes; strategic acquisitions or divestitures; the prior sale or use of former products allegedly containing asbestos or other restricted ma</w:t>
      </w:r>
      <w:r>
        <w:rPr>
          <w:rFonts w:eastAsia="Times New Roman"/>
          <w:color w:val="000000"/>
          <w:sz w:val="20"/>
          <w:szCs w:val="20"/>
        </w:rPr>
        <w:t>terials; breach of warranty; environmental matters; or compliance with government procurement or related legal or regulatory requirements. Claimed amounts against us may be substantial, but may not bear any reasonable relationship to the merits of the clai</w:t>
      </w:r>
      <w:r>
        <w:rPr>
          <w:rFonts w:eastAsia="Times New Roman"/>
          <w:color w:val="000000"/>
          <w:sz w:val="20"/>
          <w:szCs w:val="20"/>
        </w:rPr>
        <w:t>m or the extent of any real risk of court or arbitral awards. We record accruals for losses related to those matters against us that we consider to be probable and that can be reasonably estimated. Gain contingencies, if any, are recognized when they are r</w:t>
      </w:r>
      <w:r>
        <w:rPr>
          <w:rFonts w:eastAsia="Times New Roman"/>
          <w:color w:val="000000"/>
          <w:sz w:val="20"/>
          <w:szCs w:val="20"/>
        </w:rPr>
        <w:t>ealized and legal costs generally are expensed when incurred. At July 1, 2022, our accrual for the potential resolution of lawsuits, claims, investigations or proceedings that we consider probable of being decided unfavorably to us was not material. Althou</w:t>
      </w:r>
      <w:r>
        <w:rPr>
          <w:rFonts w:eastAsia="Times New Roman"/>
          <w:color w:val="000000"/>
          <w:sz w:val="20"/>
          <w:szCs w:val="20"/>
        </w:rPr>
        <w:t>gh it is not feasible to predict the outcome of these matters with certainty, it is reasonably possible that some lawsuits, claims, investigations or proceedings may be disposed of or decided unfavorably to us and in excess of the amounts currently accrued</w:t>
      </w:r>
      <w:r>
        <w:rPr>
          <w:rFonts w:eastAsia="Times New Roman"/>
          <w:color w:val="000000"/>
          <w:sz w:val="20"/>
          <w:szCs w:val="20"/>
        </w:rPr>
        <w:t>. Based on available information, in the opinion of management, settlements, arbitration awards and final judgments, if any, that are considered probable of being rendered against us in litigation or arbitration or resulting from claims or investigations i</w:t>
      </w:r>
      <w:r>
        <w:rPr>
          <w:rFonts w:eastAsia="Times New Roman"/>
          <w:color w:val="000000"/>
          <w:sz w:val="20"/>
          <w:szCs w:val="20"/>
        </w:rPr>
        <w:t>n existence at July 1, 2022 are reserved against or would not have a material adverse effect on our financial condition, results of operations, cash flows or equity.</w:t>
      </w:r>
    </w:p>
    <w:p w:rsidR="00000000" w:rsidRDefault="00E16B33">
      <w:pPr>
        <w:divId w:val="1027214500"/>
        <w:rPr>
          <w:rFonts w:eastAsia="Times New Roman"/>
        </w:rPr>
      </w:pPr>
      <w:r>
        <w:rPr>
          <w:rFonts w:eastAsia="Times New Roman"/>
          <w:b/>
          <w:bCs/>
          <w:color w:val="000000"/>
          <w:sz w:val="20"/>
          <w:szCs w:val="20"/>
        </w:rPr>
        <w:t>Environmental Matters</w:t>
      </w:r>
    </w:p>
    <w:p w:rsidR="00000000" w:rsidRDefault="00E16B33">
      <w:pPr>
        <w:ind w:firstLine="360"/>
        <w:divId w:val="2126003701"/>
        <w:rPr>
          <w:rFonts w:eastAsia="Times New Roman"/>
        </w:rPr>
      </w:pPr>
      <w:r>
        <w:rPr>
          <w:rFonts w:eastAsia="Times New Roman"/>
          <w:color w:val="000000"/>
          <w:sz w:val="20"/>
          <w:szCs w:val="20"/>
        </w:rPr>
        <w:t>We are subject to numerous U.S. Federal, state, local and international environmental laws and regulatory requirements and are involved from time to time in investigations or litigation of various potential environmental issues. We or companies we have acq</w:t>
      </w:r>
      <w:r>
        <w:rPr>
          <w:rFonts w:eastAsia="Times New Roman"/>
          <w:color w:val="000000"/>
          <w:sz w:val="20"/>
          <w:szCs w:val="20"/>
        </w:rPr>
        <w:t>uired are responsible, or alleged to be responsible, for environmental investigation and/or remediation of multiple sites. These sites are in various stages of investigation and/or remediation and in some cases our liability is considered de minimis. Notic</w:t>
      </w:r>
      <w:r>
        <w:rPr>
          <w:rFonts w:eastAsia="Times New Roman"/>
          <w:color w:val="000000"/>
          <w:sz w:val="20"/>
          <w:szCs w:val="20"/>
        </w:rPr>
        <w:t>es from the U.S. Environmental Protection Agency (“EPA”) or equivalent state or international environmental agencies allege that several sites formerly or currently owned and/or operated by us or companies we have acquired, and other properties or water su</w:t>
      </w:r>
      <w:r>
        <w:rPr>
          <w:rFonts w:eastAsia="Times New Roman"/>
          <w:color w:val="000000"/>
          <w:sz w:val="20"/>
          <w:szCs w:val="20"/>
        </w:rPr>
        <w:t>pplies that may be or have been impacted from those operations, contain disposed or recycled materials or wastes and require environmental investigation and/or remediation. These sites include instances of being identified as a potentially responsible part</w:t>
      </w:r>
      <w:r>
        <w:rPr>
          <w:rFonts w:eastAsia="Times New Roman"/>
          <w:color w:val="000000"/>
          <w:sz w:val="20"/>
          <w:szCs w:val="20"/>
        </w:rPr>
        <w:t>y under the Comprehensive Environmental Response, Compensation and Liability Act (commonly known as the “Superfund Act”) and/or equivalent state and international laws. For example, in June 2014, the U.S. Department of Justice, Environment and Natural Reso</w:t>
      </w:r>
      <w:r>
        <w:rPr>
          <w:rFonts w:eastAsia="Times New Roman"/>
          <w:color w:val="000000"/>
          <w:sz w:val="20"/>
          <w:szCs w:val="20"/>
        </w:rPr>
        <w:t xml:space="preserve">urces Division, notified several potentially responsible parties, including Exelis, which we acquired in 2015, of potential responsibility for contribution to the environmental investigation and remediation of multiple locations in Alaska. In addition, in </w:t>
      </w:r>
      <w:r>
        <w:rPr>
          <w:rFonts w:eastAsia="Times New Roman"/>
          <w:color w:val="000000"/>
          <w:sz w:val="20"/>
          <w:szCs w:val="20"/>
        </w:rPr>
        <w:t xml:space="preserve">March 2016, the EPA notified over 100 potentially responsible parties, including Exelis, of potential liability for the cost of remediation for the 8.3-mile stretch of the Lower Passaic River in New Jersey, estimated by the EPA to be $1.38 billion. During </w:t>
      </w:r>
      <w:r>
        <w:rPr>
          <w:rFonts w:eastAsia="Times New Roman"/>
          <w:color w:val="000000"/>
          <w:sz w:val="20"/>
          <w:szCs w:val="20"/>
        </w:rPr>
        <w:t>the fourth quarter of fiscal 2021, the EPA further announced an interim plan to remediate sediment in the upper nine miles of the of the Lower Passaic River with an estimated cost of $441 million. The potential responsible parties’ respective allocations f</w:t>
      </w:r>
      <w:r>
        <w:rPr>
          <w:rFonts w:eastAsia="Times New Roman"/>
          <w:color w:val="000000"/>
          <w:sz w:val="20"/>
          <w:szCs w:val="20"/>
        </w:rPr>
        <w:t>or the Lower Passaic River remediation have not been determined. Although it is not feasible to predict the outcome of these environmental claims made against us, based on available information, in the opinion of our management, any payments we may be requ</w:t>
      </w:r>
      <w:r>
        <w:rPr>
          <w:rFonts w:eastAsia="Times New Roman"/>
          <w:color w:val="000000"/>
          <w:sz w:val="20"/>
          <w:szCs w:val="20"/>
        </w:rPr>
        <w:t>ired to make as a result of environmental claims made against us in existence at July 1, 2022 are reserved against, covered by insurance or would not have a material adverse effect on our financial condition, results of operations, cash flows or equity.</w:t>
      </w:r>
    </w:p>
    <w:p w:rsidR="00000000" w:rsidRDefault="00E16B33">
      <w:pPr>
        <w:ind w:firstLine="360"/>
        <w:jc w:val="center"/>
        <w:divId w:val="216552897"/>
        <w:rPr>
          <w:rFonts w:eastAsia="Times New Roman"/>
        </w:rPr>
      </w:pPr>
      <w:r>
        <w:rPr>
          <w:rFonts w:eastAsia="Times New Roman"/>
          <w:color w:val="000000"/>
          <w:sz w:val="20"/>
          <w:szCs w:val="20"/>
        </w:rPr>
        <w:t>16</w:t>
      </w:r>
    </w:p>
    <w:p w:rsidR="00000000" w:rsidRDefault="00E16B33">
      <w:pPr>
        <w:rPr>
          <w:rFonts w:eastAsia="Times New Roman"/>
        </w:rPr>
      </w:pPr>
      <w:r>
        <w:rPr>
          <w:rFonts w:eastAsia="Times New Roman"/>
        </w:rPr>
        <w:pict>
          <v:rect id="_x0000_i1043" style="width:0;height:1.5pt" o:hralign="center" o:hrstd="t" o:hr="t" fillcolor="#a0a0a0" stroked="f"/>
        </w:pict>
      </w:r>
    </w:p>
    <w:p w:rsidR="00000000" w:rsidRDefault="00E16B33">
      <w:pPr>
        <w:ind w:firstLine="360"/>
        <w:divId w:val="2038701462"/>
        <w:rPr>
          <w:rFonts w:eastAsia="Times New Roman"/>
        </w:rPr>
      </w:pPr>
    </w:p>
    <w:p w:rsidR="00000000" w:rsidRDefault="00E16B33">
      <w:pPr>
        <w:ind w:firstLine="360"/>
        <w:jc w:val="center"/>
        <w:rPr>
          <w:rFonts w:eastAsia="Times New Roman"/>
        </w:rPr>
      </w:pPr>
      <w:r>
        <w:rPr>
          <w:rFonts w:eastAsia="Times New Roman"/>
          <w:b/>
          <w:bCs/>
          <w:color w:val="000000"/>
          <w:sz w:val="20"/>
          <w:szCs w:val="20"/>
        </w:rPr>
        <w:t>REPORT OF INDEPENDENT REGISTERED PUBLIC ACCOUNTING FIRM</w:t>
      </w:r>
    </w:p>
    <w:p w:rsidR="00000000" w:rsidRDefault="00E16B33">
      <w:pPr>
        <w:ind w:firstLine="360"/>
        <w:jc w:val="center"/>
        <w:rPr>
          <w:rFonts w:eastAsia="Times New Roman"/>
        </w:rPr>
      </w:pPr>
    </w:p>
    <w:p w:rsidR="00000000" w:rsidRDefault="00E16B33">
      <w:pPr>
        <w:ind w:firstLine="360"/>
        <w:divId w:val="1013604571"/>
        <w:rPr>
          <w:rFonts w:eastAsia="Times New Roman"/>
        </w:rPr>
      </w:pPr>
      <w:r>
        <w:rPr>
          <w:rFonts w:eastAsia="Times New Roman"/>
          <w:color w:val="000000"/>
          <w:sz w:val="20"/>
          <w:szCs w:val="20"/>
        </w:rPr>
        <w:t xml:space="preserve">To the Shareholders and the Board of Directors of L3Harris Technologies, Inc. </w:t>
      </w:r>
    </w:p>
    <w:p w:rsidR="00000000" w:rsidRDefault="00E16B33">
      <w:pPr>
        <w:ind w:firstLine="360"/>
        <w:divId w:val="1245145944"/>
        <w:rPr>
          <w:rFonts w:eastAsia="Times New Roman"/>
        </w:rPr>
      </w:pPr>
    </w:p>
    <w:p w:rsidR="00000000" w:rsidRDefault="00E16B33">
      <w:pPr>
        <w:jc w:val="both"/>
        <w:rPr>
          <w:rFonts w:eastAsia="Times New Roman"/>
        </w:rPr>
      </w:pPr>
      <w:r>
        <w:rPr>
          <w:rFonts w:eastAsia="Times New Roman"/>
          <w:b/>
          <w:bCs/>
          <w:color w:val="000000"/>
          <w:sz w:val="20"/>
          <w:szCs w:val="20"/>
        </w:rPr>
        <w:t xml:space="preserve">Results of Review of Interim Financial Statements </w:t>
      </w:r>
    </w:p>
    <w:p w:rsidR="00000000" w:rsidRDefault="00E16B33">
      <w:pPr>
        <w:ind w:firstLine="360"/>
        <w:divId w:val="688485145"/>
        <w:rPr>
          <w:rFonts w:eastAsia="Times New Roman"/>
        </w:rPr>
      </w:pPr>
      <w:r>
        <w:rPr>
          <w:rFonts w:eastAsia="Times New Roman"/>
          <w:color w:val="000000"/>
          <w:sz w:val="20"/>
          <w:szCs w:val="20"/>
        </w:rPr>
        <w:t>We have reviewed the accom</w:t>
      </w:r>
      <w:r>
        <w:rPr>
          <w:rFonts w:eastAsia="Times New Roman"/>
          <w:color w:val="000000"/>
          <w:sz w:val="20"/>
          <w:szCs w:val="20"/>
        </w:rPr>
        <w:t>panying condensed consolidated balance sheet of L3Harris Technologies, Inc. and subsidiaries (“the Company”) as of July 1, 2022, the related condensed consolidated statements of income, comprehensive income, equity for the quarters and two quarters ended J</w:t>
      </w:r>
      <w:r>
        <w:rPr>
          <w:rFonts w:eastAsia="Times New Roman"/>
          <w:color w:val="000000"/>
          <w:sz w:val="20"/>
          <w:szCs w:val="20"/>
        </w:rPr>
        <w:t>uly 1, 2022 and July 2, 2021, the condensed consolidated statements of cash flows for the two quarters ended July 1, 2022 and July 2, 2021, and the related notes (collectively referred to as the “condensed consolidated interim financial statements”). Based</w:t>
      </w:r>
      <w:r>
        <w:rPr>
          <w:rFonts w:eastAsia="Times New Roman"/>
          <w:color w:val="000000"/>
          <w:sz w:val="20"/>
          <w:szCs w:val="20"/>
        </w:rPr>
        <w:t xml:space="preserve"> on our reviews, we are not aware of any material modifications that should be made to the condensed consolidated interim financial statements for them to be in conformity with U.S. generally accepted accounting principles. </w:t>
      </w:r>
    </w:p>
    <w:p w:rsidR="00000000" w:rsidRDefault="00E16B33">
      <w:pPr>
        <w:ind w:firstLine="360"/>
        <w:divId w:val="976842012"/>
        <w:rPr>
          <w:rFonts w:eastAsia="Times New Roman"/>
        </w:rPr>
      </w:pPr>
      <w:r>
        <w:rPr>
          <w:rFonts w:eastAsia="Times New Roman"/>
          <w:color w:val="000000"/>
          <w:sz w:val="20"/>
          <w:szCs w:val="20"/>
        </w:rPr>
        <w:t xml:space="preserve">We have previously audited, in </w:t>
      </w:r>
      <w:r>
        <w:rPr>
          <w:rFonts w:eastAsia="Times New Roman"/>
          <w:color w:val="000000"/>
          <w:sz w:val="20"/>
          <w:szCs w:val="20"/>
        </w:rPr>
        <w:t>accordance with the standards of the Public Company Accounting Oversight Board (United States) (“PCAOB”), the consolidated balance sheet of the Company as of December 31, 2021, the related consolidated statements of income, comprehensive income, cash flows</w:t>
      </w:r>
      <w:r>
        <w:rPr>
          <w:rFonts w:eastAsia="Times New Roman"/>
          <w:color w:val="000000"/>
          <w:sz w:val="20"/>
          <w:szCs w:val="20"/>
        </w:rPr>
        <w:t xml:space="preserve"> and equity for the year then ended, and the related notes (not presented herein); and in our report dated February 25, 2022, we expressed an unqualified audit opinion on those consolidated financial statements. In our opinion, the information set forth in</w:t>
      </w:r>
      <w:r>
        <w:rPr>
          <w:rFonts w:eastAsia="Times New Roman"/>
          <w:color w:val="000000"/>
          <w:sz w:val="20"/>
          <w:szCs w:val="20"/>
        </w:rPr>
        <w:t xml:space="preserve"> the accompanying condensed consolidated balance sheet as of December 31, 2021, is fairly stated, in all material respects, in relation to the consolidated balance sheet from which it has been derived. </w:t>
      </w:r>
    </w:p>
    <w:p w:rsidR="00000000" w:rsidRDefault="00E16B33">
      <w:pPr>
        <w:ind w:firstLine="360"/>
        <w:divId w:val="2049334059"/>
        <w:rPr>
          <w:rFonts w:eastAsia="Times New Roman"/>
        </w:rPr>
      </w:pPr>
    </w:p>
    <w:p w:rsidR="00000000" w:rsidRDefault="00E16B33">
      <w:pPr>
        <w:jc w:val="both"/>
        <w:rPr>
          <w:rFonts w:eastAsia="Times New Roman"/>
        </w:rPr>
      </w:pPr>
      <w:r>
        <w:rPr>
          <w:rFonts w:eastAsia="Times New Roman"/>
          <w:b/>
          <w:bCs/>
          <w:color w:val="000000"/>
          <w:sz w:val="20"/>
          <w:szCs w:val="20"/>
        </w:rPr>
        <w:t xml:space="preserve">Basis for Review Results </w:t>
      </w:r>
    </w:p>
    <w:p w:rsidR="00000000" w:rsidRDefault="00E16B33">
      <w:pPr>
        <w:jc w:val="both"/>
        <w:divId w:val="285893491"/>
        <w:rPr>
          <w:rFonts w:eastAsia="Times New Roman"/>
        </w:rPr>
      </w:pPr>
      <w:r>
        <w:rPr>
          <w:rFonts w:eastAsia="Times New Roman"/>
          <w:color w:val="000000"/>
          <w:sz w:val="20"/>
          <w:szCs w:val="20"/>
        </w:rPr>
        <w:t>These financial statement</w:t>
      </w:r>
      <w:r>
        <w:rPr>
          <w:rFonts w:eastAsia="Times New Roman"/>
          <w:color w:val="000000"/>
          <w:sz w:val="20"/>
          <w:szCs w:val="20"/>
        </w:rPr>
        <w:t>s are the responsibility of the Company’s management. We are a public accounting firm registered with the PCAOB and required to be independent with respect to the Company in accordance with the U.S. federal securities laws and the applicable rules and regu</w:t>
      </w:r>
      <w:r>
        <w:rPr>
          <w:rFonts w:eastAsia="Times New Roman"/>
          <w:color w:val="000000"/>
          <w:sz w:val="20"/>
          <w:szCs w:val="20"/>
        </w:rPr>
        <w:t>lations of the U.S. Securities and Exchange Commission and the PCAOB. We conducted our review in accordance with the standards of the PCAOB. A review of interim financial statements consists principally of applying analytical procedures and making inquirie</w:t>
      </w:r>
      <w:r>
        <w:rPr>
          <w:rFonts w:eastAsia="Times New Roman"/>
          <w:color w:val="000000"/>
          <w:sz w:val="20"/>
          <w:szCs w:val="20"/>
        </w:rPr>
        <w:t>s of persons responsible for financial and accounting matters. It is substantially less in scope than an audit conducted in accordance with the standards of the PCAOB, the objective of which is the expression of an opinion regarding the financial statement</w:t>
      </w:r>
      <w:r>
        <w:rPr>
          <w:rFonts w:eastAsia="Times New Roman"/>
          <w:color w:val="000000"/>
          <w:sz w:val="20"/>
          <w:szCs w:val="20"/>
        </w:rPr>
        <w:t>s taken as a whole. Accordingly, we do not express such an opinion.</w:t>
      </w:r>
    </w:p>
    <w:p w:rsidR="00000000" w:rsidRDefault="00E16B33">
      <w:pPr>
        <w:ind w:firstLine="360"/>
        <w:divId w:val="1320426808"/>
        <w:rPr>
          <w:rFonts w:eastAsia="Times New Roman"/>
        </w:rPr>
      </w:pPr>
    </w:p>
    <w:p w:rsidR="00000000" w:rsidRDefault="00E16B33">
      <w:pPr>
        <w:ind w:firstLine="360"/>
        <w:divId w:val="112136222"/>
        <w:rPr>
          <w:rFonts w:eastAsia="Times New Roman"/>
        </w:rPr>
      </w:pPr>
    </w:p>
    <w:p w:rsidR="00000000" w:rsidRDefault="00E16B33">
      <w:pPr>
        <w:ind w:firstLine="360"/>
        <w:divId w:val="1772167266"/>
        <w:rPr>
          <w:rFonts w:eastAsia="Times New Roman"/>
        </w:rPr>
      </w:pPr>
      <w:r>
        <w:rPr>
          <w:rFonts w:eastAsia="Times New Roman"/>
          <w:color w:val="000000"/>
          <w:sz w:val="20"/>
          <w:szCs w:val="20"/>
        </w:rPr>
        <w:t>/s/ Ernst &amp; Young LLP</w:t>
      </w:r>
    </w:p>
    <w:p w:rsidR="00000000" w:rsidRDefault="00E16B33">
      <w:pPr>
        <w:ind w:firstLine="360"/>
        <w:divId w:val="1803498337"/>
        <w:rPr>
          <w:rFonts w:eastAsia="Times New Roman"/>
        </w:rPr>
      </w:pPr>
    </w:p>
    <w:p w:rsidR="00000000" w:rsidRDefault="00E16B33">
      <w:pPr>
        <w:ind w:firstLine="360"/>
        <w:divId w:val="780731468"/>
        <w:rPr>
          <w:rFonts w:eastAsia="Times New Roman"/>
        </w:rPr>
      </w:pPr>
      <w:r>
        <w:rPr>
          <w:rFonts w:eastAsia="Times New Roman"/>
          <w:color w:val="000000"/>
          <w:sz w:val="20"/>
          <w:szCs w:val="20"/>
        </w:rPr>
        <w:t>Orlando, Florida</w:t>
      </w:r>
    </w:p>
    <w:p w:rsidR="00000000" w:rsidRDefault="00E16B33">
      <w:pPr>
        <w:ind w:firstLine="360"/>
        <w:divId w:val="1508400025"/>
        <w:rPr>
          <w:rFonts w:eastAsia="Times New Roman"/>
        </w:rPr>
      </w:pPr>
      <w:r>
        <w:rPr>
          <w:rFonts w:eastAsia="Times New Roman"/>
          <w:color w:val="000000"/>
          <w:sz w:val="20"/>
          <w:szCs w:val="20"/>
        </w:rPr>
        <w:t>July 29, 2022</w:t>
      </w:r>
    </w:p>
    <w:p w:rsidR="00000000" w:rsidRDefault="00E16B33">
      <w:pPr>
        <w:ind w:firstLine="360"/>
        <w:divId w:val="543565361"/>
        <w:rPr>
          <w:rFonts w:eastAsia="Times New Roman"/>
        </w:rPr>
      </w:pPr>
    </w:p>
    <w:p w:rsidR="00000000" w:rsidRDefault="00E16B33">
      <w:pPr>
        <w:ind w:firstLine="360"/>
        <w:divId w:val="731388558"/>
        <w:rPr>
          <w:rFonts w:eastAsia="Times New Roman"/>
        </w:rPr>
      </w:pPr>
    </w:p>
    <w:p w:rsidR="00000000" w:rsidRDefault="00E16B33">
      <w:pPr>
        <w:ind w:firstLine="360"/>
        <w:divId w:val="1157260673"/>
        <w:rPr>
          <w:rFonts w:eastAsia="Times New Roman"/>
        </w:rPr>
      </w:pPr>
    </w:p>
    <w:p w:rsidR="00000000" w:rsidRDefault="00E16B33">
      <w:pPr>
        <w:ind w:firstLine="360"/>
        <w:jc w:val="center"/>
        <w:divId w:val="1005786954"/>
        <w:rPr>
          <w:rFonts w:eastAsia="Times New Roman"/>
        </w:rPr>
      </w:pPr>
      <w:r>
        <w:rPr>
          <w:rFonts w:eastAsia="Times New Roman"/>
          <w:color w:val="000000"/>
          <w:sz w:val="20"/>
          <w:szCs w:val="20"/>
        </w:rPr>
        <w:t>17</w:t>
      </w:r>
    </w:p>
    <w:p w:rsidR="00000000" w:rsidRDefault="00E16B33">
      <w:pPr>
        <w:rPr>
          <w:rFonts w:eastAsia="Times New Roman"/>
        </w:rPr>
      </w:pPr>
      <w:r>
        <w:rPr>
          <w:rFonts w:eastAsia="Times New Roman"/>
        </w:rPr>
        <w:pict>
          <v:rect id="_x0000_i1044" style="width:0;height:1.5pt" o:hralign="center" o:hrstd="t" o:hr="t" fillcolor="#a0a0a0" stroked="f"/>
        </w:pict>
      </w:r>
    </w:p>
    <w:p w:rsidR="00000000" w:rsidRDefault="00E16B33">
      <w:pPr>
        <w:ind w:firstLine="360"/>
        <w:divId w:val="1115364247"/>
        <w:rPr>
          <w:rFonts w:eastAsia="Times New Roman"/>
        </w:rPr>
      </w:pPr>
    </w:p>
    <w:tbl>
      <w:tblPr>
        <w:tblW w:w="4691" w:type="pct"/>
        <w:tblCellMar>
          <w:top w:w="15" w:type="dxa"/>
          <w:left w:w="15" w:type="dxa"/>
          <w:bottom w:w="15" w:type="dxa"/>
          <w:right w:w="15" w:type="dxa"/>
        </w:tblCellMar>
        <w:tblLook w:val="04A0" w:firstRow="1" w:lastRow="0" w:firstColumn="1" w:lastColumn="0" w:noHBand="0" w:noVBand="1"/>
      </w:tblPr>
      <w:tblGrid>
        <w:gridCol w:w="66"/>
        <w:gridCol w:w="816"/>
        <w:gridCol w:w="36"/>
        <w:gridCol w:w="64"/>
        <w:gridCol w:w="6775"/>
        <w:gridCol w:w="36"/>
      </w:tblGrid>
      <w:tr w:rsidR="00000000">
        <w:trPr>
          <w:divId w:val="470177959"/>
        </w:trPr>
        <w:tc>
          <w:tcPr>
            <w:tcW w:w="50" w:type="pct"/>
            <w:vAlign w:val="center"/>
            <w:hideMark/>
          </w:tcPr>
          <w:p w:rsidR="00000000" w:rsidRDefault="00E16B33">
            <w:pPr>
              <w:ind w:firstLine="360"/>
              <w:rPr>
                <w:rFonts w:eastAsia="Times New Roman"/>
              </w:rPr>
            </w:pPr>
          </w:p>
        </w:tc>
        <w:tc>
          <w:tcPr>
            <w:tcW w:w="53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35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470177959"/>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MANAGEMENT’S DISCUSSION AND ANALYSIS OF FINANCIAL CONDITION AND RESULTS OF OPERATIONS.</w:t>
            </w:r>
          </w:p>
        </w:tc>
      </w:tr>
    </w:tbl>
    <w:p w:rsidR="00000000" w:rsidRDefault="00E16B33">
      <w:pPr>
        <w:divId w:val="381563397"/>
        <w:rPr>
          <w:rFonts w:eastAsia="Times New Roman"/>
        </w:rPr>
      </w:pPr>
      <w:r>
        <w:rPr>
          <w:rFonts w:eastAsia="Times New Roman"/>
          <w:b/>
          <w:bCs/>
          <w:color w:val="000000"/>
          <w:sz w:val="20"/>
          <w:szCs w:val="20"/>
        </w:rPr>
        <w:t>OVERVIEW</w:t>
      </w:r>
    </w:p>
    <w:p w:rsidR="00000000" w:rsidRDefault="00E16B33">
      <w:pPr>
        <w:ind w:firstLine="360"/>
        <w:divId w:val="248319737"/>
        <w:rPr>
          <w:rFonts w:eastAsia="Times New Roman"/>
        </w:rPr>
      </w:pPr>
      <w:r>
        <w:rPr>
          <w:rFonts w:eastAsia="Times New Roman"/>
          <w:color w:val="000000"/>
          <w:sz w:val="20"/>
          <w:szCs w:val="20"/>
        </w:rPr>
        <w:t>The following Management’s Discussion and Analysis (“MD&amp;A”</w:t>
      </w:r>
      <w:r>
        <w:rPr>
          <w:rFonts w:eastAsia="Times New Roman"/>
          <w:color w:val="000000"/>
          <w:sz w:val="20"/>
          <w:szCs w:val="20"/>
        </w:rPr>
        <w:t>) is intended to assist in an understanding of our financial condition and results of operations. This MD&amp;A is provided as a supplement to, should be read in conjunction with, and is qualified in its entirety by reference to, our Condensed Consolidated Fin</w:t>
      </w:r>
      <w:r>
        <w:rPr>
          <w:rFonts w:eastAsia="Times New Roman"/>
          <w:color w:val="000000"/>
          <w:sz w:val="20"/>
          <w:szCs w:val="20"/>
        </w:rPr>
        <w:t>ancial Statements (Unaudited) and accompanying Notes appearing elsewhere in this Report (the “Notes”). In addition, reference should be made to our audited Consolidated Financial Statements and accompanying Notes to Consolidated Financial Statements and It</w:t>
      </w:r>
      <w:r>
        <w:rPr>
          <w:rFonts w:eastAsia="Times New Roman"/>
          <w:color w:val="000000"/>
          <w:sz w:val="20"/>
          <w:szCs w:val="20"/>
        </w:rPr>
        <w:t>em 7. “Management’s Discussion and Analysis of Financial Condition and Results of Operations” included in our Fiscal 2021 Form 10-K. Except for the historical information contained herein, the discussions in this MD&amp;A contain forward-looking statements tha</w:t>
      </w:r>
      <w:r>
        <w:rPr>
          <w:rFonts w:eastAsia="Times New Roman"/>
          <w:color w:val="000000"/>
          <w:sz w:val="20"/>
          <w:szCs w:val="20"/>
        </w:rPr>
        <w:t>t involve risks and uncertainties. Our future results could differ materially from those discussed herein. Factors that could cause or contribute to such differences include, but are not limited to, those discussed below in this MD&amp;A under “Forward-Looking</w:t>
      </w:r>
      <w:r>
        <w:rPr>
          <w:rFonts w:eastAsia="Times New Roman"/>
          <w:color w:val="000000"/>
          <w:sz w:val="20"/>
          <w:szCs w:val="20"/>
        </w:rPr>
        <w:t xml:space="preserve"> Statements and Factors that May Affect Future Results.”</w:t>
      </w:r>
    </w:p>
    <w:p w:rsidR="00000000" w:rsidRDefault="00E16B33">
      <w:pPr>
        <w:divId w:val="1752463835"/>
        <w:rPr>
          <w:rFonts w:eastAsia="Times New Roman"/>
        </w:rPr>
      </w:pPr>
      <w:r>
        <w:rPr>
          <w:rFonts w:eastAsia="Times New Roman"/>
          <w:b/>
          <w:bCs/>
          <w:color w:val="000000"/>
          <w:sz w:val="20"/>
          <w:szCs w:val="20"/>
        </w:rPr>
        <w:t>Inflation</w:t>
      </w:r>
    </w:p>
    <w:p w:rsidR="00000000" w:rsidRDefault="00E16B33">
      <w:pPr>
        <w:ind w:firstLine="360"/>
        <w:divId w:val="1735658963"/>
        <w:rPr>
          <w:rFonts w:eastAsia="Times New Roman"/>
        </w:rPr>
      </w:pPr>
      <w:r>
        <w:rPr>
          <w:rFonts w:eastAsia="Times New Roman"/>
          <w:color w:val="000000"/>
          <w:sz w:val="20"/>
          <w:szCs w:val="20"/>
        </w:rPr>
        <w:t>Given broader inflation in the economy, we are monitoring the risk inflation presents to active and future contracts. To the extent feasible, we have consistently followed the practice of a</w:t>
      </w:r>
      <w:r>
        <w:rPr>
          <w:rFonts w:eastAsia="Times New Roman"/>
          <w:color w:val="000000"/>
          <w:sz w:val="20"/>
          <w:szCs w:val="20"/>
        </w:rPr>
        <w:t>djusting our prices to reflect the impact of inflation on salaries and fringe benefits for employees and the cost of purchased materials and services. However, our fixed-price contracts could subject us to losses in the event of cost overruns or a signific</w:t>
      </w:r>
      <w:r>
        <w:rPr>
          <w:rFonts w:eastAsia="Times New Roman"/>
          <w:color w:val="000000"/>
          <w:sz w:val="20"/>
          <w:szCs w:val="20"/>
        </w:rPr>
        <w:t>ant increase in or a sustained period of increased inflation. During the two quarters ended July 1, 2022, we have not seen broad based increases in costs from inflation that are material to the business as a whole; however, if we begin to experience greate</w:t>
      </w:r>
      <w:r>
        <w:rPr>
          <w:rFonts w:eastAsia="Times New Roman"/>
          <w:color w:val="000000"/>
          <w:sz w:val="20"/>
          <w:szCs w:val="20"/>
        </w:rPr>
        <w:t xml:space="preserve">r than expected supply chain and labor inflation, our profits and margins under our contracts, in particular fixed price contracts, could be adversely affected. </w:t>
      </w:r>
    </w:p>
    <w:p w:rsidR="00000000" w:rsidRDefault="00E16B33">
      <w:pPr>
        <w:divId w:val="1896236501"/>
        <w:rPr>
          <w:rFonts w:eastAsia="Times New Roman"/>
        </w:rPr>
      </w:pPr>
      <w:r>
        <w:rPr>
          <w:rFonts w:eastAsia="Times New Roman"/>
          <w:b/>
          <w:bCs/>
          <w:color w:val="000000"/>
          <w:sz w:val="20"/>
          <w:szCs w:val="20"/>
        </w:rPr>
        <w:t>KEY DEVELOPMENTS</w:t>
      </w:r>
    </w:p>
    <w:p w:rsidR="00000000" w:rsidRDefault="00E16B33">
      <w:pPr>
        <w:ind w:firstLine="360"/>
        <w:divId w:val="337927870"/>
        <w:rPr>
          <w:rFonts w:eastAsia="Times New Roman"/>
        </w:rPr>
      </w:pPr>
      <w:r>
        <w:rPr>
          <w:rFonts w:eastAsia="Times New Roman"/>
          <w:color w:val="000000"/>
          <w:sz w:val="20"/>
          <w:szCs w:val="20"/>
        </w:rPr>
        <w:t>The following is a list of the remaining sections of this MD&amp;A, together with</w:t>
      </w:r>
      <w:r>
        <w:rPr>
          <w:rFonts w:eastAsia="Times New Roman"/>
          <w:color w:val="000000"/>
          <w:sz w:val="20"/>
          <w:szCs w:val="20"/>
        </w:rPr>
        <w:t xml:space="preserve"> our perspective on their contents, which we hope will assist in reading these pages:</w:t>
      </w:r>
    </w:p>
    <w:p w:rsidR="00000000" w:rsidRDefault="00E16B33">
      <w:pPr>
        <w:ind w:hanging="360"/>
        <w:divId w:val="944389678"/>
        <w:rPr>
          <w:rFonts w:eastAsia="Times New Roman"/>
        </w:rPr>
      </w:pPr>
      <w:r>
        <w:rPr>
          <w:rFonts w:eastAsia="Times New Roman"/>
          <w:color w:val="000000"/>
          <w:sz w:val="20"/>
          <w:szCs w:val="20"/>
        </w:rPr>
        <w:t>•</w:t>
      </w:r>
      <w:r>
        <w:rPr>
          <w:rFonts w:eastAsia="Times New Roman"/>
          <w:b/>
          <w:bCs/>
          <w:color w:val="000000"/>
          <w:sz w:val="20"/>
          <w:szCs w:val="20"/>
        </w:rPr>
        <w:t>Results of Operations</w:t>
      </w:r>
      <w:r>
        <w:rPr>
          <w:rFonts w:eastAsia="Times New Roman"/>
          <w:b/>
          <w:bCs/>
          <w:i/>
          <w:iCs/>
          <w:color w:val="000000"/>
          <w:sz w:val="20"/>
          <w:szCs w:val="20"/>
        </w:rPr>
        <w:t xml:space="preserve"> </w:t>
      </w:r>
      <w:r>
        <w:rPr>
          <w:rFonts w:eastAsia="Times New Roman"/>
          <w:color w:val="000000"/>
          <w:sz w:val="20"/>
          <w:szCs w:val="20"/>
        </w:rPr>
        <w:t>— an analysis of our consolidated results of operations and the results in each of our business segments, to the extent the segment operating resul</w:t>
      </w:r>
      <w:r>
        <w:rPr>
          <w:rFonts w:eastAsia="Times New Roman"/>
          <w:color w:val="000000"/>
          <w:sz w:val="20"/>
          <w:szCs w:val="20"/>
        </w:rPr>
        <w:t xml:space="preserve">ts are helpful to an understanding of our business as a whole, for the periods presented in our Condensed Consolidated Statement of Income (Unaudited). </w:t>
      </w:r>
    </w:p>
    <w:p w:rsidR="00000000" w:rsidRDefault="00E16B33">
      <w:pPr>
        <w:ind w:hanging="360"/>
        <w:divId w:val="123743856"/>
        <w:rPr>
          <w:rFonts w:eastAsia="Times New Roman"/>
        </w:rPr>
      </w:pPr>
      <w:r>
        <w:rPr>
          <w:rFonts w:eastAsia="Times New Roman"/>
          <w:color w:val="000000"/>
          <w:sz w:val="20"/>
          <w:szCs w:val="20"/>
        </w:rPr>
        <w:t>•</w:t>
      </w:r>
      <w:r>
        <w:rPr>
          <w:rFonts w:eastAsia="Times New Roman"/>
          <w:b/>
          <w:bCs/>
          <w:color w:val="000000"/>
          <w:sz w:val="20"/>
          <w:szCs w:val="20"/>
        </w:rPr>
        <w:t>Liquidity, Capital Resources and Financial Strategies</w:t>
      </w:r>
      <w:r>
        <w:rPr>
          <w:rFonts w:eastAsia="Times New Roman"/>
          <w:b/>
          <w:bCs/>
          <w:i/>
          <w:iCs/>
          <w:color w:val="000000"/>
          <w:sz w:val="20"/>
          <w:szCs w:val="20"/>
        </w:rPr>
        <w:t> </w:t>
      </w:r>
      <w:r>
        <w:rPr>
          <w:rFonts w:eastAsia="Times New Roman"/>
          <w:color w:val="000000"/>
          <w:sz w:val="20"/>
          <w:szCs w:val="20"/>
        </w:rPr>
        <w:t xml:space="preserve">— an analysis of cash flows, funding of pension </w:t>
      </w:r>
      <w:r>
        <w:rPr>
          <w:rFonts w:eastAsia="Times New Roman"/>
          <w:color w:val="000000"/>
          <w:sz w:val="20"/>
          <w:szCs w:val="20"/>
        </w:rPr>
        <w:t>plans, common stock repurchases, dividends, capital structure and resources, material cash requirements and commercial commitments.</w:t>
      </w:r>
    </w:p>
    <w:p w:rsidR="00000000" w:rsidRDefault="00E16B33">
      <w:pPr>
        <w:ind w:hanging="360"/>
        <w:divId w:val="328290599"/>
        <w:rPr>
          <w:rFonts w:eastAsia="Times New Roman"/>
        </w:rPr>
      </w:pPr>
      <w:r>
        <w:rPr>
          <w:rFonts w:eastAsia="Times New Roman"/>
          <w:color w:val="000000"/>
          <w:sz w:val="20"/>
          <w:szCs w:val="20"/>
        </w:rPr>
        <w:t>•</w:t>
      </w:r>
      <w:r>
        <w:rPr>
          <w:rFonts w:eastAsia="Times New Roman"/>
          <w:b/>
          <w:bCs/>
          <w:color w:val="000000"/>
          <w:sz w:val="20"/>
          <w:szCs w:val="20"/>
        </w:rPr>
        <w:t>Critical Accounting Policies and Estimates</w:t>
      </w:r>
      <w:r>
        <w:rPr>
          <w:rFonts w:eastAsia="Times New Roman"/>
          <w:color w:val="000000"/>
          <w:sz w:val="20"/>
          <w:szCs w:val="20"/>
        </w:rPr>
        <w:t> — a discussion of accounting policies and estimates that require the most judgme</w:t>
      </w:r>
      <w:r>
        <w:rPr>
          <w:rFonts w:eastAsia="Times New Roman"/>
          <w:color w:val="000000"/>
          <w:sz w:val="20"/>
          <w:szCs w:val="20"/>
        </w:rPr>
        <w:t>nt and a discussion of accounting pronouncements that have been issued but not yet implemented by us and their potential impact on our financial condition, results of operations, cash flows and equity.</w:t>
      </w:r>
    </w:p>
    <w:p w:rsidR="00000000" w:rsidRDefault="00E16B33">
      <w:pPr>
        <w:ind w:hanging="360"/>
        <w:divId w:val="1785728502"/>
        <w:rPr>
          <w:rFonts w:eastAsia="Times New Roman"/>
        </w:rPr>
      </w:pPr>
      <w:r>
        <w:rPr>
          <w:rFonts w:eastAsia="Times New Roman"/>
          <w:color w:val="000000"/>
          <w:sz w:val="20"/>
          <w:szCs w:val="20"/>
        </w:rPr>
        <w:t>•</w:t>
      </w:r>
      <w:r>
        <w:rPr>
          <w:rFonts w:eastAsia="Times New Roman"/>
          <w:b/>
          <w:bCs/>
          <w:color w:val="000000"/>
          <w:sz w:val="20"/>
          <w:szCs w:val="20"/>
        </w:rPr>
        <w:t>Forward-Looking Statements and Factors that May Affec</w:t>
      </w:r>
      <w:r>
        <w:rPr>
          <w:rFonts w:eastAsia="Times New Roman"/>
          <w:b/>
          <w:bCs/>
          <w:color w:val="000000"/>
          <w:sz w:val="20"/>
          <w:szCs w:val="20"/>
        </w:rPr>
        <w:t>t Future Results</w:t>
      </w:r>
      <w:r>
        <w:rPr>
          <w:rFonts w:eastAsia="Times New Roman"/>
          <w:color w:val="000000"/>
          <w:sz w:val="20"/>
          <w:szCs w:val="20"/>
        </w:rPr>
        <w:t> — cautionary information about forward-looking statements and a description of certain risks and uncertainties that could cause our actual results to differ materially from our historical results or our current expectations or projections.</w:t>
      </w:r>
    </w:p>
    <w:p w:rsidR="00000000" w:rsidRDefault="00E16B33">
      <w:pPr>
        <w:ind w:firstLine="435"/>
        <w:divId w:val="732199593"/>
        <w:rPr>
          <w:rFonts w:eastAsia="Times New Roman"/>
        </w:rPr>
      </w:pPr>
      <w:r>
        <w:rPr>
          <w:rFonts w:eastAsia="Times New Roman"/>
          <w:color w:val="000000"/>
          <w:sz w:val="20"/>
          <w:szCs w:val="20"/>
        </w:rPr>
        <w:t>Effective January 1, 2022, we streamlined our business segments from four business segments to three business segments. As a result of the segment reorganization, the Aviation Systems segment was eliminated as a business segment. Effective for fiscal 2022</w:t>
      </w:r>
      <w:r>
        <w:rPr>
          <w:rFonts w:eastAsia="Times New Roman"/>
          <w:color w:val="000000"/>
          <w:sz w:val="20"/>
          <w:szCs w:val="20"/>
        </w:rPr>
        <w:t>, which began January 1, 2022, we reported our financial results in the following three reportable segments:</w:t>
      </w:r>
    </w:p>
    <w:p w:rsidR="00000000" w:rsidRDefault="00E16B33">
      <w:pPr>
        <w:ind w:hanging="360"/>
        <w:divId w:val="1296064648"/>
        <w:rPr>
          <w:rFonts w:eastAsia="Times New Roman"/>
        </w:rPr>
      </w:pPr>
      <w:r>
        <w:rPr>
          <w:rFonts w:eastAsia="Times New Roman"/>
          <w:color w:val="000000"/>
          <w:sz w:val="20"/>
          <w:szCs w:val="20"/>
        </w:rPr>
        <w:t>•Integrated Mission Systems, including multi-mission ISR systems; integrated electrical and electronic systems for maritime platforms; advanced EO/</w:t>
      </w:r>
      <w:r>
        <w:rPr>
          <w:rFonts w:eastAsia="Times New Roman"/>
          <w:color w:val="000000"/>
          <w:sz w:val="20"/>
          <w:szCs w:val="20"/>
        </w:rPr>
        <w:t>IR solutions; fuzing and ordnance systems; commercial aviation products; and commercial pilot training operations;</w:t>
      </w:r>
    </w:p>
    <w:p w:rsidR="00000000" w:rsidRDefault="00E16B33">
      <w:pPr>
        <w:ind w:hanging="360"/>
        <w:divId w:val="1651252262"/>
        <w:rPr>
          <w:rFonts w:eastAsia="Times New Roman"/>
        </w:rPr>
      </w:pPr>
      <w:r>
        <w:rPr>
          <w:rFonts w:eastAsia="Times New Roman"/>
          <w:color w:val="000000"/>
          <w:sz w:val="20"/>
          <w:szCs w:val="20"/>
        </w:rPr>
        <w:t>•Space &amp; Airborne Systems, including space payloads, sensors and full-mission solutions; classified intelligence and cyber; avionics; electro</w:t>
      </w:r>
      <w:r>
        <w:rPr>
          <w:rFonts w:eastAsia="Times New Roman"/>
          <w:color w:val="000000"/>
          <w:sz w:val="20"/>
          <w:szCs w:val="20"/>
        </w:rPr>
        <w:t>nic warfare; and mission networks for air traffic management operations; and</w:t>
      </w:r>
    </w:p>
    <w:p w:rsidR="00000000" w:rsidRDefault="00E16B33">
      <w:pPr>
        <w:ind w:hanging="360"/>
        <w:divId w:val="1628391032"/>
        <w:rPr>
          <w:rFonts w:eastAsia="Times New Roman"/>
        </w:rPr>
      </w:pPr>
      <w:r>
        <w:rPr>
          <w:rFonts w:eastAsia="Times New Roman"/>
          <w:color w:val="000000"/>
          <w:sz w:val="20"/>
          <w:szCs w:val="20"/>
        </w:rPr>
        <w:t>•</w:t>
      </w:r>
      <w:r>
        <w:rPr>
          <w:rFonts w:eastAsia="Times New Roman"/>
          <w:color w:val="000000"/>
          <w:sz w:val="20"/>
          <w:szCs w:val="20"/>
        </w:rPr>
        <w:t xml:space="preserve">Communication Systems, including tactical communications with global communications solutions; broadband communications; integrated vision solutions; and public safety radios, system applications and equipment. </w:t>
      </w:r>
    </w:p>
    <w:p w:rsidR="00000000" w:rsidRDefault="00E16B33">
      <w:pPr>
        <w:ind w:hanging="900"/>
        <w:divId w:val="5981524"/>
        <w:rPr>
          <w:rFonts w:eastAsia="Times New Roman"/>
        </w:rPr>
      </w:pPr>
      <w:r>
        <w:rPr>
          <w:rFonts w:eastAsia="Times New Roman"/>
          <w:color w:val="000000"/>
          <w:sz w:val="20"/>
          <w:szCs w:val="20"/>
        </w:rPr>
        <w:t>The following business divestitures and asse</w:t>
      </w:r>
      <w:r>
        <w:rPr>
          <w:rFonts w:eastAsia="Times New Roman"/>
          <w:color w:val="000000"/>
          <w:sz w:val="20"/>
          <w:szCs w:val="20"/>
        </w:rPr>
        <w:t xml:space="preserve">t sales were completed in the two quarters ended July 1, 2022 and July 2, 2021: </w:t>
      </w:r>
    </w:p>
    <w:p w:rsidR="00000000" w:rsidRDefault="00E16B33">
      <w:pPr>
        <w:ind w:hanging="360"/>
        <w:divId w:val="991907411"/>
        <w:rPr>
          <w:rFonts w:eastAsia="Times New Roman"/>
        </w:rPr>
      </w:pPr>
      <w:r>
        <w:rPr>
          <w:rFonts w:eastAsia="Times New Roman"/>
          <w:color w:val="000000"/>
          <w:sz w:val="20"/>
          <w:szCs w:val="20"/>
        </w:rPr>
        <w:t>•</w:t>
      </w:r>
      <w:r>
        <w:rPr>
          <w:rFonts w:eastAsia="Times New Roman"/>
          <w:color w:val="000000"/>
          <w:sz w:val="20"/>
          <w:szCs w:val="20"/>
        </w:rPr>
        <w:t>On April 29, 2022, we completed one business divestiture, the results of which are reported as part of our Integrated Mission Systems segment through the date of divestiture and on May 31, 2022, we completed the sale of certain assets from our Integrated M</w:t>
      </w:r>
      <w:r>
        <w:rPr>
          <w:rFonts w:eastAsia="Times New Roman"/>
          <w:color w:val="000000"/>
          <w:sz w:val="20"/>
          <w:szCs w:val="20"/>
        </w:rPr>
        <w:t>ission Systems segment;</w:t>
      </w:r>
    </w:p>
    <w:p w:rsidR="00000000" w:rsidRDefault="00E16B33">
      <w:pPr>
        <w:ind w:firstLine="360"/>
        <w:jc w:val="center"/>
        <w:divId w:val="1724669696"/>
        <w:rPr>
          <w:rFonts w:eastAsia="Times New Roman"/>
        </w:rPr>
      </w:pPr>
      <w:r>
        <w:rPr>
          <w:rFonts w:eastAsia="Times New Roman"/>
          <w:color w:val="000000"/>
          <w:sz w:val="20"/>
          <w:szCs w:val="20"/>
        </w:rPr>
        <w:t>18</w:t>
      </w:r>
    </w:p>
    <w:p w:rsidR="00000000" w:rsidRDefault="00E16B33">
      <w:pPr>
        <w:rPr>
          <w:rFonts w:eastAsia="Times New Roman"/>
        </w:rPr>
      </w:pPr>
      <w:r>
        <w:rPr>
          <w:rFonts w:eastAsia="Times New Roman"/>
        </w:rPr>
        <w:pict>
          <v:rect id="_x0000_i1045" style="width:0;height:1.5pt" o:hralign="center" o:hrstd="t" o:hr="t" fillcolor="#a0a0a0" stroked="f"/>
        </w:pict>
      </w:r>
    </w:p>
    <w:p w:rsidR="00000000" w:rsidRDefault="00E16B33">
      <w:pPr>
        <w:ind w:firstLine="360"/>
        <w:divId w:val="1140804404"/>
        <w:rPr>
          <w:rFonts w:eastAsia="Times New Roman"/>
        </w:rPr>
      </w:pPr>
    </w:p>
    <w:p w:rsidR="00000000" w:rsidRDefault="00E16B33">
      <w:pPr>
        <w:ind w:hanging="360"/>
        <w:divId w:val="1477642184"/>
        <w:rPr>
          <w:rFonts w:eastAsia="Times New Roman"/>
        </w:rPr>
      </w:pPr>
      <w:r>
        <w:rPr>
          <w:rFonts w:eastAsia="Times New Roman"/>
          <w:color w:val="000000"/>
          <w:sz w:val="20"/>
          <w:szCs w:val="20"/>
        </w:rPr>
        <w:t>•CPS business, definitive agreement entered into on March 1, 2021 and classified as held for sale during the quarter ended April 2, 2021 and divested on July 2, 2021, the results of which ar</w:t>
      </w:r>
      <w:r>
        <w:rPr>
          <w:rFonts w:eastAsia="Times New Roman"/>
          <w:color w:val="000000"/>
          <w:sz w:val="20"/>
          <w:szCs w:val="20"/>
        </w:rPr>
        <w:t>e reported as part of other non-reportable businesses through the date of divestiture;</w:t>
      </w:r>
    </w:p>
    <w:p w:rsidR="00000000" w:rsidRDefault="00E16B33">
      <w:pPr>
        <w:ind w:hanging="360"/>
        <w:divId w:val="24213488"/>
        <w:rPr>
          <w:rFonts w:eastAsia="Times New Roman"/>
        </w:rPr>
      </w:pPr>
      <w:r>
        <w:rPr>
          <w:rFonts w:eastAsia="Times New Roman"/>
          <w:color w:val="000000"/>
          <w:sz w:val="20"/>
          <w:szCs w:val="20"/>
        </w:rPr>
        <w:t>•Military training business, definitive agreement entered into on February 27, 2021 and classified as held for sale during the quarter ended April 2, 2021 and divested o</w:t>
      </w:r>
      <w:r>
        <w:rPr>
          <w:rFonts w:eastAsia="Times New Roman"/>
          <w:color w:val="000000"/>
          <w:sz w:val="20"/>
          <w:szCs w:val="20"/>
        </w:rPr>
        <w:t>n July 2, 2021, the results of which are reported as part of other non-reportable businesses through the date of divestiture; and</w:t>
      </w:r>
    </w:p>
    <w:p w:rsidR="00000000" w:rsidRDefault="00E16B33">
      <w:pPr>
        <w:ind w:hanging="360"/>
        <w:divId w:val="1384140902"/>
        <w:rPr>
          <w:rFonts w:eastAsia="Times New Roman"/>
        </w:rPr>
      </w:pPr>
      <w:r>
        <w:rPr>
          <w:rFonts w:eastAsia="Times New Roman"/>
          <w:color w:val="000000"/>
          <w:sz w:val="16"/>
          <w:szCs w:val="16"/>
        </w:rPr>
        <w:t>•</w:t>
      </w:r>
      <w:r>
        <w:rPr>
          <w:rFonts w:eastAsia="Times New Roman"/>
          <w:color w:val="000000"/>
          <w:sz w:val="20"/>
          <w:szCs w:val="20"/>
        </w:rPr>
        <w:t>VSE disposal group, definitive agreement entered into on February 23, 2021 and classified as held for sale during the quarter</w:t>
      </w:r>
      <w:r>
        <w:rPr>
          <w:rFonts w:eastAsia="Times New Roman"/>
          <w:color w:val="000000"/>
          <w:sz w:val="20"/>
          <w:szCs w:val="20"/>
        </w:rPr>
        <w:t xml:space="preserve"> ended July 3, 2020 and partially divested on July 2, 2021, with the remainder divested on July 30, 2021, the results of which are reported as part of other non-reportable businesses through the date of divestiture. </w:t>
      </w:r>
    </w:p>
    <w:p w:rsidR="00000000" w:rsidRDefault="00E16B33">
      <w:pPr>
        <w:ind w:firstLine="360"/>
        <w:divId w:val="1870415336"/>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B — Business Divestitures and </w:t>
      </w:r>
      <w:r>
        <w:rPr>
          <w:rFonts w:eastAsia="Times New Roman"/>
          <w:i/>
          <w:iCs/>
          <w:color w:val="000000"/>
          <w:sz w:val="20"/>
          <w:szCs w:val="20"/>
        </w:rPr>
        <w:t>Asset Sales</w:t>
      </w:r>
      <w:r>
        <w:rPr>
          <w:rFonts w:eastAsia="Times New Roman"/>
          <w:color w:val="000000"/>
          <w:sz w:val="20"/>
          <w:szCs w:val="20"/>
        </w:rPr>
        <w:t xml:space="preserve"> in the Notes for additional information regarding asset sales and businesses divested for sale during the quarter and two quarters ended July 1, 2022 and July 2, 2021.</w:t>
      </w:r>
    </w:p>
    <w:p w:rsidR="00000000" w:rsidRDefault="00E16B33">
      <w:pPr>
        <w:divId w:val="1778065019"/>
        <w:rPr>
          <w:rFonts w:eastAsia="Times New Roman"/>
        </w:rPr>
      </w:pPr>
      <w:r>
        <w:rPr>
          <w:rFonts w:eastAsia="Times New Roman"/>
          <w:b/>
          <w:bCs/>
          <w:color w:val="000000"/>
          <w:sz w:val="20"/>
          <w:szCs w:val="20"/>
        </w:rPr>
        <w:t>RESULTS OF OPERATIONS</w:t>
      </w:r>
    </w:p>
    <w:p w:rsidR="00000000" w:rsidRDefault="00E16B33">
      <w:pPr>
        <w:divId w:val="877856015"/>
        <w:rPr>
          <w:rFonts w:eastAsia="Times New Roman"/>
        </w:rPr>
      </w:pPr>
      <w:r>
        <w:rPr>
          <w:rFonts w:eastAsia="Times New Roman"/>
          <w:b/>
          <w:b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1923"/>
        <w:gridCol w:w="39"/>
        <w:gridCol w:w="120"/>
        <w:gridCol w:w="500"/>
        <w:gridCol w:w="187"/>
        <w:gridCol w:w="36"/>
        <w:gridCol w:w="36"/>
        <w:gridCol w:w="36"/>
        <w:gridCol w:w="120"/>
        <w:gridCol w:w="500"/>
        <w:gridCol w:w="187"/>
        <w:gridCol w:w="36"/>
        <w:gridCol w:w="36"/>
        <w:gridCol w:w="36"/>
        <w:gridCol w:w="70"/>
        <w:gridCol w:w="595"/>
        <w:gridCol w:w="187"/>
        <w:gridCol w:w="36"/>
        <w:gridCol w:w="36"/>
        <w:gridCol w:w="36"/>
        <w:gridCol w:w="120"/>
        <w:gridCol w:w="500"/>
        <w:gridCol w:w="187"/>
        <w:gridCol w:w="36"/>
        <w:gridCol w:w="36"/>
        <w:gridCol w:w="36"/>
        <w:gridCol w:w="120"/>
        <w:gridCol w:w="500"/>
        <w:gridCol w:w="187"/>
        <w:gridCol w:w="36"/>
        <w:gridCol w:w="36"/>
        <w:gridCol w:w="36"/>
        <w:gridCol w:w="70"/>
        <w:gridCol w:w="595"/>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877856015"/>
        </w:trPr>
        <w:tc>
          <w:tcPr>
            <w:tcW w:w="50" w:type="pct"/>
            <w:vAlign w:val="center"/>
            <w:hideMark/>
          </w:tcPr>
          <w:p w:rsidR="00000000" w:rsidRDefault="00E16B33">
            <w:pPr>
              <w:rPr>
                <w:rFonts w:eastAsia="Times New Roman"/>
              </w:rPr>
            </w:pPr>
          </w:p>
        </w:tc>
        <w:tc>
          <w:tcPr>
            <w:tcW w:w="17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5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5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2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5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5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2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290"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1,673 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3,394 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29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29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2,239 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29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29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 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(2,907)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(3,251)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(5,767)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(6,464)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155"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155"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200" w:type="dxa"/>
              <w:bottom w:w="30" w:type="dxa"/>
              <w:right w:w="20" w:type="dxa"/>
            </w:tcMar>
            <w:hideMark/>
          </w:tcPr>
          <w:p w:rsidR="00000000" w:rsidRDefault="00E16B33">
            <w:pPr>
              <w:spacing w:after="100"/>
              <w:ind w:hanging="180"/>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(891)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(1,489)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(1,692)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155"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 xml:space="preserve">Non-operating income </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200" w:type="dxa"/>
              <w:bottom w:w="30" w:type="dxa"/>
              <w:right w:w="20" w:type="dxa"/>
            </w:tcMar>
            <w:hideMark/>
          </w:tcPr>
          <w:p w:rsidR="00000000" w:rsidRDefault="00E16B33">
            <w:pPr>
              <w:spacing w:after="100"/>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155"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Effective tax rate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35" w:type="dxa"/>
              <w:bottom w:w="30" w:type="dxa"/>
              <w:right w:w="20" w:type="dxa"/>
            </w:tcMar>
            <w:hideMark/>
          </w:tcPr>
          <w:p w:rsidR="00000000" w:rsidRDefault="00E16B33">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200" w:type="dxa"/>
              <w:bottom w:w="30" w:type="dxa"/>
              <w:right w:w="20" w:type="dxa"/>
            </w:tcMar>
            <w:hideMark/>
          </w:tcPr>
          <w:p w:rsidR="00000000" w:rsidRDefault="00E16B33">
            <w:pPr>
              <w:spacing w:after="100"/>
              <w:ind w:hanging="180"/>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20" w:type="dxa"/>
              <w:bottom w:w="30" w:type="dxa"/>
              <w:right w:w="20" w:type="dxa"/>
            </w:tcMar>
            <w:hideMark/>
          </w:tcPr>
          <w:p w:rsidR="00000000" w:rsidRDefault="00E16B33">
            <w:pPr>
              <w:spacing w:after="100"/>
              <w:ind w:hanging="180"/>
              <w:divId w:val="1968318090"/>
              <w:rPr>
                <w:rFonts w:eastAsia="Times New Roman"/>
              </w:rPr>
            </w:pPr>
            <w:r>
              <w:rPr>
                <w:rFonts w:eastAsia="Times New Roman"/>
                <w:color w:val="000000"/>
                <w:sz w:val="20"/>
                <w:szCs w:val="20"/>
              </w:rPr>
              <w:t>Income from continuing operations attributable to L3Harris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FFFFFF"/>
            <w:tcMar>
              <w:top w:w="30" w:type="dxa"/>
              <w:left w:w="155"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shd w:val="clear" w:color="auto" w:fill="CCEEFF"/>
            <w:tcMar>
              <w:top w:w="30" w:type="dxa"/>
              <w:left w:w="200" w:type="dxa"/>
              <w:bottom w:w="30" w:type="dxa"/>
              <w:right w:w="20" w:type="dxa"/>
            </w:tcMar>
            <w:hideMark/>
          </w:tcPr>
          <w:p w:rsidR="00000000" w:rsidRDefault="00E16B33">
            <w:pPr>
              <w:spacing w:after="100"/>
              <w:ind w:hanging="180"/>
              <w:rPr>
                <w:rFonts w:eastAsia="Times New Roman"/>
              </w:rPr>
            </w:pPr>
            <w:r>
              <w:rPr>
                <w:rFonts w:eastAsia="Times New Roman"/>
                <w:color w:val="000000"/>
                <w:sz w:val="20"/>
                <w:szCs w:val="20"/>
              </w:rPr>
              <w:t>Diluted EPS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4.86 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7785601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hanging="360"/>
        <w:divId w:val="520819110"/>
        <w:rPr>
          <w:rFonts w:eastAsia="Times New Roman"/>
        </w:rPr>
      </w:pPr>
      <w:r>
        <w:rPr>
          <w:rFonts w:eastAsia="Times New Roman"/>
          <w:color w:val="000000"/>
          <w:sz w:val="16"/>
          <w:szCs w:val="16"/>
        </w:rPr>
        <w:t>_________________</w:t>
      </w:r>
    </w:p>
    <w:p w:rsidR="00000000" w:rsidRDefault="00E16B33">
      <w:pPr>
        <w:ind w:hanging="360"/>
        <w:divId w:val="323123718"/>
        <w:rPr>
          <w:rFonts w:eastAsia="Times New Roman"/>
        </w:rPr>
      </w:pPr>
      <w:r>
        <w:rPr>
          <w:rFonts w:eastAsia="Times New Roman"/>
          <w:color w:val="000000"/>
          <w:sz w:val="16"/>
          <w:szCs w:val="16"/>
        </w:rPr>
        <w:t>•Not meaningful</w:t>
      </w:r>
      <w:r>
        <w:rPr>
          <w:rFonts w:eastAsia="Times New Roman"/>
          <w:color w:val="000000"/>
          <w:sz w:val="6"/>
          <w:szCs w:val="6"/>
        </w:rPr>
        <w:t xml:space="preserve"> </w:t>
      </w:r>
    </w:p>
    <w:p w:rsidR="00000000" w:rsidRDefault="00E16B33">
      <w:pPr>
        <w:divId w:val="1920094873"/>
        <w:rPr>
          <w:rFonts w:eastAsia="Times New Roman"/>
        </w:rPr>
      </w:pPr>
      <w:r>
        <w:rPr>
          <w:rFonts w:eastAsia="Times New Roman"/>
          <w:b/>
          <w:bCs/>
          <w:i/>
          <w:iCs/>
          <w:color w:val="000000"/>
          <w:sz w:val="20"/>
          <w:szCs w:val="20"/>
        </w:rPr>
        <w:t>Revenue and Gross Margin</w:t>
      </w:r>
    </w:p>
    <w:p w:rsidR="00000000" w:rsidRDefault="00E16B33">
      <w:pPr>
        <w:ind w:firstLine="360"/>
        <w:divId w:val="1649556580"/>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Revenue declined 11% in the quarter ended July 1, 2022 compared to the quarter ended July 2, 2021, primarily from $270 million of lower revenue from the impact of completed business divestitures, continued supply chain </w:t>
      </w:r>
    </w:p>
    <w:p w:rsidR="00000000" w:rsidRDefault="00E16B33">
      <w:pPr>
        <w:ind w:firstLine="360"/>
        <w:jc w:val="center"/>
        <w:divId w:val="1664970549"/>
        <w:rPr>
          <w:rFonts w:eastAsia="Times New Roman"/>
        </w:rPr>
      </w:pPr>
      <w:r>
        <w:rPr>
          <w:rFonts w:eastAsia="Times New Roman"/>
          <w:color w:val="000000"/>
          <w:sz w:val="20"/>
          <w:szCs w:val="20"/>
        </w:rPr>
        <w:t>19</w:t>
      </w:r>
    </w:p>
    <w:p w:rsidR="00000000" w:rsidRDefault="00E16B33">
      <w:pPr>
        <w:rPr>
          <w:rFonts w:eastAsia="Times New Roman"/>
        </w:rPr>
      </w:pPr>
      <w:r>
        <w:rPr>
          <w:rFonts w:eastAsia="Times New Roman"/>
        </w:rPr>
        <w:pict>
          <v:rect id="_x0000_i1046" style="width:0;height:1.5pt" o:hralign="center" o:hrstd="t" o:hr="t" fillcolor="#a0a0a0" stroked="f"/>
        </w:pict>
      </w:r>
    </w:p>
    <w:p w:rsidR="00000000" w:rsidRDefault="00E16B33">
      <w:pPr>
        <w:ind w:firstLine="360"/>
        <w:divId w:val="175969638"/>
        <w:rPr>
          <w:rFonts w:eastAsia="Times New Roman"/>
        </w:rPr>
      </w:pPr>
    </w:p>
    <w:p w:rsidR="00000000" w:rsidRDefault="00E16B33">
      <w:pPr>
        <w:divId w:val="724835102"/>
        <w:rPr>
          <w:rFonts w:eastAsia="Times New Roman"/>
        </w:rPr>
      </w:pPr>
      <w:r>
        <w:rPr>
          <w:rFonts w:eastAsia="Times New Roman"/>
          <w:color w:val="000000"/>
          <w:sz w:val="20"/>
          <w:szCs w:val="20"/>
        </w:rPr>
        <w:t xml:space="preserve">disruptions and airborne program transitions. Additionally, the quarter ended July 1, 2022 had one less working day compared to the quarter ended July 2, 2021 as the company recognized the Juneteenth holiday within the 2022 quarter. Gross margin and </w:t>
      </w:r>
      <w:r>
        <w:rPr>
          <w:rFonts w:eastAsia="Times New Roman"/>
          <w:color w:val="000000"/>
          <w:sz w:val="20"/>
          <w:szCs w:val="20"/>
        </w:rPr>
        <w:t>gross margin as a percentage of revenue (“gross margin percentage”) decreased in the quarter ended July 1, 2022 compared to the quarter ended July 2, 2021 primarily due to a mix of program revenue and product sales with relatively lower operating margin pe</w:t>
      </w:r>
      <w:r>
        <w:rPr>
          <w:rFonts w:eastAsia="Times New Roman"/>
          <w:color w:val="000000"/>
          <w:sz w:val="20"/>
          <w:szCs w:val="20"/>
        </w:rPr>
        <w:t>rcentage for the quarter ended July 1, 2022, as well as the impact of supply chain disruptions on higher margin businesses.</w:t>
      </w:r>
    </w:p>
    <w:p w:rsidR="00000000" w:rsidRDefault="00E16B33">
      <w:pPr>
        <w:ind w:firstLine="360"/>
        <w:divId w:val="1519465524"/>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Revenue declined 11% in the two quarters ended July 1, 2022 compared to the two quarters ended July 2, 2021</w:t>
      </w:r>
      <w:r>
        <w:rPr>
          <w:rFonts w:eastAsia="Times New Roman"/>
          <w:color w:val="000000"/>
          <w:sz w:val="20"/>
          <w:szCs w:val="20"/>
        </w:rPr>
        <w:t>, primarily from $538 million of lower revenue from the impact of completed business divestitures, as well as the reasons noted above in the one quarter comparison of revenue. Gross margin and gross margin percentage decreased in the two quarters ended Jul</w:t>
      </w:r>
      <w:r>
        <w:rPr>
          <w:rFonts w:eastAsia="Times New Roman"/>
          <w:color w:val="000000"/>
          <w:sz w:val="20"/>
          <w:szCs w:val="20"/>
        </w:rPr>
        <w:t>y 1, 2022 compared to the two quarters ended July 2, 2021 primarily due to a mix of program revenue and product sales with relatively lower operating margin percentage for the two quarters ended July 1, 2022, as well as the impact of supply chain disruptio</w:t>
      </w:r>
      <w:r>
        <w:rPr>
          <w:rFonts w:eastAsia="Times New Roman"/>
          <w:color w:val="000000"/>
          <w:sz w:val="20"/>
          <w:szCs w:val="20"/>
        </w:rPr>
        <w:t>ns on higher margin businesses.</w:t>
      </w:r>
    </w:p>
    <w:p w:rsidR="00000000" w:rsidRDefault="00E16B33">
      <w:pPr>
        <w:ind w:firstLine="360"/>
        <w:divId w:val="1386295859"/>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E16B33">
      <w:pPr>
        <w:divId w:val="1925651256"/>
        <w:rPr>
          <w:rFonts w:eastAsia="Times New Roman"/>
        </w:rPr>
      </w:pPr>
      <w:r>
        <w:rPr>
          <w:rFonts w:eastAsia="Times New Roman"/>
          <w:b/>
          <w:bCs/>
          <w:i/>
          <w:iCs/>
          <w:color w:val="000000"/>
          <w:sz w:val="20"/>
          <w:szCs w:val="20"/>
        </w:rPr>
        <w:t>Engineering, Selling and Administrative Expenses</w:t>
      </w:r>
    </w:p>
    <w:p w:rsidR="00000000" w:rsidRDefault="00E16B33">
      <w:pPr>
        <w:ind w:firstLine="360"/>
        <w:divId w:val="1212376362"/>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w:t>
      </w:r>
      <w:r>
        <w:rPr>
          <w:rFonts w:eastAsia="Times New Roman"/>
          <w:color w:val="000000"/>
          <w:sz w:val="20"/>
          <w:szCs w:val="20"/>
        </w:rPr>
        <w:t>The decreases in engineering, selling and administrative (“ESA”) expenses and ESA expense as a percentage of revenue (“ESA percentage”) in the quarter ended July 1, 2022 compared with the quarter ended July 2, 2021 were primarily due to $47 million of lowe</w:t>
      </w:r>
      <w:r>
        <w:rPr>
          <w:rFonts w:eastAsia="Times New Roman"/>
          <w:color w:val="000000"/>
          <w:sz w:val="20"/>
          <w:szCs w:val="20"/>
        </w:rPr>
        <w:t>r costs from the impact of completed business divestitures, $39 million of lower R&amp;D expenses, $30 million from the impact of changes in market value related to our deferred compensation plan liabilities and $15 million of lower divestiture-related expense</w:t>
      </w:r>
      <w:r>
        <w:rPr>
          <w:rFonts w:eastAsia="Times New Roman"/>
          <w:color w:val="000000"/>
          <w:sz w:val="20"/>
          <w:szCs w:val="20"/>
        </w:rPr>
        <w:t xml:space="preserve">s. </w:t>
      </w:r>
    </w:p>
    <w:p w:rsidR="00000000" w:rsidRDefault="00E16B33">
      <w:pPr>
        <w:ind w:firstLine="360"/>
        <w:divId w:val="298342123"/>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The decreases in ESA expenses and ESA percentage in the two quarters ended July 1, 2022 compared with the two quarters ended July 2, 2021 were primarily due to $85 million of lower costs from the impact of completed business di</w:t>
      </w:r>
      <w:r>
        <w:rPr>
          <w:rFonts w:eastAsia="Times New Roman"/>
          <w:color w:val="000000"/>
          <w:sz w:val="20"/>
          <w:szCs w:val="20"/>
        </w:rPr>
        <w:t>vestitures, $35 million of lower R&amp;D expenses, $41 million from the impact of changes in market value related to our deferred compensation plan liabilities and $21 million of lower divestiture-related expenses.</w:t>
      </w:r>
    </w:p>
    <w:p w:rsidR="00000000" w:rsidRDefault="00E16B33">
      <w:pPr>
        <w:ind w:firstLine="360"/>
        <w:divId w:val="370106656"/>
        <w:rPr>
          <w:rFonts w:eastAsia="Times New Roman"/>
        </w:rPr>
      </w:pPr>
      <w:r>
        <w:rPr>
          <w:rFonts w:eastAsia="Times New Roman"/>
          <w:color w:val="000000"/>
          <w:sz w:val="20"/>
          <w:szCs w:val="20"/>
        </w:rPr>
        <w:t>See the “Discussion of Business Segment Resul</w:t>
      </w:r>
      <w:r>
        <w:rPr>
          <w:rFonts w:eastAsia="Times New Roman"/>
          <w:color w:val="000000"/>
          <w:sz w:val="20"/>
          <w:szCs w:val="20"/>
        </w:rPr>
        <w:t>ts of Operations” discussion below in this MD&amp;A for further information.</w:t>
      </w:r>
    </w:p>
    <w:p w:rsidR="00000000" w:rsidRDefault="00E16B33">
      <w:pPr>
        <w:divId w:val="993339552"/>
        <w:rPr>
          <w:rFonts w:eastAsia="Times New Roman"/>
        </w:rPr>
      </w:pPr>
      <w:r>
        <w:rPr>
          <w:rFonts w:eastAsia="Times New Roman"/>
          <w:b/>
          <w:bCs/>
          <w:i/>
          <w:iCs/>
          <w:color w:val="000000"/>
          <w:sz w:val="20"/>
          <w:szCs w:val="20"/>
        </w:rPr>
        <w:t>Business Divestiture-Related Gains</w:t>
      </w:r>
    </w:p>
    <w:p w:rsidR="00000000" w:rsidRDefault="00E16B33">
      <w:pPr>
        <w:ind w:firstLine="360"/>
        <w:divId w:val="1476215886"/>
        <w:rPr>
          <w:rFonts w:eastAsia="Times New Roman"/>
        </w:rPr>
      </w:pPr>
      <w:r>
        <w:rPr>
          <w:rFonts w:eastAsia="Times New Roman"/>
          <w:color w:val="000000"/>
          <w:sz w:val="20"/>
          <w:szCs w:val="20"/>
        </w:rPr>
        <w:t xml:space="preserve">The “Business divestiture-related gains, net” line item in our Condensed Consolidated Statement of Income (Unaudited) is comprised of the following </w:t>
      </w:r>
      <w:r>
        <w:rPr>
          <w:rFonts w:eastAsia="Times New Roman"/>
          <w:color w:val="000000"/>
          <w:sz w:val="20"/>
          <w:szCs w:val="20"/>
        </w:rPr>
        <w:t>pre-tax gains associated with businesses divested. There were no significant gains or losses during the quarter or two quarters ended July 1,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5176"/>
        <w:gridCol w:w="38"/>
        <w:gridCol w:w="36"/>
        <w:gridCol w:w="36"/>
        <w:gridCol w:w="120"/>
        <w:gridCol w:w="942"/>
        <w:gridCol w:w="36"/>
        <w:gridCol w:w="36"/>
        <w:gridCol w:w="36"/>
        <w:gridCol w:w="36"/>
        <w:gridCol w:w="568"/>
        <w:gridCol w:w="36"/>
        <w:gridCol w:w="36"/>
        <w:gridCol w:w="36"/>
        <w:gridCol w:w="120"/>
        <w:gridCol w:w="943"/>
        <w:gridCol w:w="36"/>
      </w:tblGrid>
      <w:tr w:rsidR="00000000">
        <w:trPr>
          <w:divId w:val="1476215886"/>
        </w:trPr>
        <w:tc>
          <w:tcPr>
            <w:tcW w:w="50" w:type="pct"/>
            <w:vAlign w:val="center"/>
            <w:hideMark/>
          </w:tcPr>
          <w:p w:rsidR="00000000" w:rsidRDefault="00E16B33">
            <w:pPr>
              <w:ind w:firstLine="360"/>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r>
      <w:tr w:rsidR="00000000">
        <w:trPr>
          <w:divId w:val="1476215886"/>
          <w:trHeight w:val="60"/>
        </w:trPr>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VSE disposal group</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476215886"/>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divId w:val="443161167"/>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476215886"/>
        </w:trPr>
        <w:tc>
          <w:tcPr>
            <w:tcW w:w="0" w:type="auto"/>
            <w:gridSpan w:val="3"/>
            <w:shd w:val="clear" w:color="auto" w:fill="CCEE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Military training business</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476215886"/>
        </w:trPr>
        <w:tc>
          <w:tcPr>
            <w:tcW w:w="0" w:type="auto"/>
            <w:gridSpan w:val="3"/>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shd w:val="clear" w:color="auto" w:fill="FFFFFF"/>
            <w:tcMar>
              <w:top w:w="30" w:type="dxa"/>
              <w:left w:w="14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1476215886"/>
        </w:trPr>
        <w:tc>
          <w:tcPr>
            <w:tcW w:w="0" w:type="auto"/>
            <w:gridSpan w:val="3"/>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47621588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 xml:space="preserve">Total business divestiture-related gains, net </w:t>
            </w:r>
          </w:p>
        </w:tc>
        <w:tc>
          <w:tcPr>
            <w:tcW w:w="0" w:type="auto"/>
            <w:vAlign w:val="center"/>
            <w:hideMark/>
          </w:tcPr>
          <w:p w:rsidR="00000000" w:rsidRDefault="00E16B33">
            <w:pPr>
              <w:spacing w:after="100"/>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firstLine="360"/>
        <w:divId w:val="1476215886"/>
        <w:rPr>
          <w:rFonts w:eastAsia="Times New Roman"/>
        </w:rPr>
      </w:pPr>
      <w:r>
        <w:rPr>
          <w:rFonts w:eastAsia="Times New Roman"/>
          <w:color w:val="000000"/>
          <w:sz w:val="16"/>
          <w:szCs w:val="16"/>
        </w:rPr>
        <w:t>_______________</w:t>
      </w:r>
    </w:p>
    <w:p w:rsidR="00000000" w:rsidRDefault="00E16B33">
      <w:pPr>
        <w:ind w:hanging="360"/>
        <w:divId w:val="260572804"/>
        <w:rPr>
          <w:rFonts w:eastAsia="Times New Roman"/>
        </w:rPr>
      </w:pPr>
      <w:r>
        <w:rPr>
          <w:rFonts w:eastAsia="Times New Roman"/>
          <w:color w:val="000000"/>
          <w:sz w:val="16"/>
          <w:szCs w:val="16"/>
        </w:rPr>
        <w:t>(1)During the quarter ended April 2, 2021, upon classifying the CPS business as held for sale, we recorded a non-cash impairment charge of $62 million, which is included in the “Impairment of goodwill and other assets” line item</w:t>
      </w:r>
      <w:r>
        <w:rPr>
          <w:rFonts w:eastAsia="Times New Roman"/>
          <w:color w:val="000000"/>
          <w:sz w:val="16"/>
          <w:szCs w:val="16"/>
        </w:rPr>
        <w:t xml:space="preserve"> in our Condensed Consolidated Statement of Income (Unaudited) for the two quarters ended July 2, 2021. See </w:t>
      </w:r>
      <w:r>
        <w:rPr>
          <w:rFonts w:eastAsia="Times New Roman"/>
          <w:i/>
          <w:iCs/>
          <w:color w:val="000000"/>
          <w:sz w:val="16"/>
          <w:szCs w:val="16"/>
        </w:rPr>
        <w:t>Note I — Goodwill and Other Intangible Assets</w:t>
      </w:r>
      <w:r>
        <w:rPr>
          <w:rFonts w:eastAsia="Times New Roman"/>
          <w:color w:val="000000"/>
          <w:sz w:val="16"/>
          <w:szCs w:val="16"/>
        </w:rPr>
        <w:t xml:space="preserve"> in the Notes for additional information.</w:t>
      </w:r>
    </w:p>
    <w:p w:rsidR="00000000" w:rsidRDefault="00E16B33">
      <w:pPr>
        <w:ind w:firstLine="360"/>
        <w:divId w:val="2134598068"/>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B — Business Divestitures and Asset Sales </w:t>
      </w:r>
      <w:r>
        <w:rPr>
          <w:rFonts w:eastAsia="Times New Roman"/>
          <w:color w:val="000000"/>
          <w:sz w:val="20"/>
          <w:szCs w:val="20"/>
        </w:rPr>
        <w:t>in the Not</w:t>
      </w:r>
      <w:r>
        <w:rPr>
          <w:rFonts w:eastAsia="Times New Roman"/>
          <w:color w:val="000000"/>
          <w:sz w:val="20"/>
          <w:szCs w:val="20"/>
        </w:rPr>
        <w:t>es for further information.</w:t>
      </w:r>
    </w:p>
    <w:p w:rsidR="00000000" w:rsidRDefault="00E16B33">
      <w:pPr>
        <w:divId w:val="1824739001"/>
        <w:rPr>
          <w:rFonts w:eastAsia="Times New Roman"/>
        </w:rPr>
      </w:pPr>
      <w:r>
        <w:rPr>
          <w:rFonts w:eastAsia="Times New Roman"/>
          <w:b/>
          <w:bCs/>
          <w:i/>
          <w:iCs/>
          <w:color w:val="000000"/>
          <w:sz w:val="20"/>
          <w:szCs w:val="20"/>
        </w:rPr>
        <w:t>Impairment of Goodwill and Other Assets</w:t>
      </w:r>
    </w:p>
    <w:p w:rsidR="00000000" w:rsidRDefault="00E16B33">
      <w:pPr>
        <w:ind w:firstLine="360"/>
        <w:divId w:val="821392386"/>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No impairment charges were recorded in the quarter ended July </w:t>
      </w:r>
      <w:r>
        <w:rPr>
          <w:rFonts w:eastAsia="Times New Roman"/>
          <w:color w:val="000000"/>
          <w:sz w:val="20"/>
          <w:szCs w:val="20"/>
        </w:rPr>
        <w:t>1, 2022. Impairment of goodwill and other assets in the quarter ended July 2, 2021 reflected $145 million of non-cash charges for the impairment of identifiable intangible and other long-lived assets related to our CTS business.</w:t>
      </w:r>
    </w:p>
    <w:p w:rsidR="00000000" w:rsidRDefault="00E16B33">
      <w:pPr>
        <w:ind w:firstLine="360"/>
        <w:divId w:val="701780682"/>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No</w:t>
      </w:r>
      <w:r>
        <w:rPr>
          <w:rFonts w:eastAsia="Times New Roman"/>
          <w:color w:val="000000"/>
          <w:sz w:val="20"/>
          <w:szCs w:val="20"/>
        </w:rPr>
        <w:t xml:space="preserve"> impairment charges were recorded in the two quarters ended July 1, 2022. Impairment of goodwill and other assets in the two quarters ended July 2, 2021 reflected $62 million of non-cash charges for the impairment of goodwill and other assets associated wi</w:t>
      </w:r>
      <w:r>
        <w:rPr>
          <w:rFonts w:eastAsia="Times New Roman"/>
          <w:color w:val="000000"/>
          <w:sz w:val="20"/>
          <w:szCs w:val="20"/>
        </w:rPr>
        <w:t>th the divestiture of the CPS business and $145 million of non-cash charges for the impairment of identifiable intangible and other long-lived assets related to our CTS business.</w:t>
      </w:r>
    </w:p>
    <w:p w:rsidR="00000000" w:rsidRDefault="00E16B33">
      <w:pPr>
        <w:ind w:firstLine="360"/>
        <w:jc w:val="center"/>
        <w:divId w:val="817303757"/>
        <w:rPr>
          <w:rFonts w:eastAsia="Times New Roman"/>
        </w:rPr>
      </w:pPr>
      <w:r>
        <w:rPr>
          <w:rFonts w:eastAsia="Times New Roman"/>
          <w:color w:val="000000"/>
          <w:sz w:val="20"/>
          <w:szCs w:val="20"/>
        </w:rPr>
        <w:t>20</w:t>
      </w:r>
    </w:p>
    <w:p w:rsidR="00000000" w:rsidRDefault="00E16B33">
      <w:pPr>
        <w:rPr>
          <w:rFonts w:eastAsia="Times New Roman"/>
        </w:rPr>
      </w:pPr>
      <w:r>
        <w:rPr>
          <w:rFonts w:eastAsia="Times New Roman"/>
        </w:rPr>
        <w:pict>
          <v:rect id="_x0000_i1047" style="width:0;height:1.5pt" o:hralign="center" o:hrstd="t" o:hr="t" fillcolor="#a0a0a0" stroked="f"/>
        </w:pict>
      </w:r>
    </w:p>
    <w:p w:rsidR="00000000" w:rsidRDefault="00E16B33">
      <w:pPr>
        <w:ind w:firstLine="360"/>
        <w:divId w:val="1204367544"/>
        <w:rPr>
          <w:rFonts w:eastAsia="Times New Roman"/>
        </w:rPr>
      </w:pPr>
    </w:p>
    <w:p w:rsidR="00000000" w:rsidRDefault="00E16B33">
      <w:pPr>
        <w:ind w:firstLine="360"/>
        <w:divId w:val="1711611164"/>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 a</w:t>
      </w:r>
      <w:r>
        <w:rPr>
          <w:rFonts w:eastAsia="Times New Roman"/>
          <w:i/>
          <w:iCs/>
          <w:color w:val="000000"/>
          <w:sz w:val="20"/>
          <w:szCs w:val="20"/>
        </w:rPr>
        <w:t xml:space="preserve">nd Asset Sales </w:t>
      </w:r>
      <w:r>
        <w:rPr>
          <w:rFonts w:eastAsia="Times New Roman"/>
          <w:color w:val="000000"/>
          <w:sz w:val="20"/>
          <w:szCs w:val="20"/>
        </w:rPr>
        <w:t xml:space="preserve">and </w:t>
      </w:r>
      <w:r>
        <w:rPr>
          <w:rFonts w:eastAsia="Times New Roman"/>
          <w:i/>
          <w:iCs/>
          <w:color w:val="000000"/>
          <w:sz w:val="20"/>
          <w:szCs w:val="20"/>
        </w:rPr>
        <w:t>Note I — Goodwill and Other Intangible Assets</w:t>
      </w:r>
      <w:r>
        <w:rPr>
          <w:rFonts w:eastAsia="Times New Roman"/>
          <w:color w:val="000000"/>
          <w:sz w:val="20"/>
          <w:szCs w:val="20"/>
        </w:rPr>
        <w:t xml:space="preserve"> in the Notes for further information.</w:t>
      </w:r>
    </w:p>
    <w:p w:rsidR="00000000" w:rsidRDefault="00E16B33">
      <w:pPr>
        <w:divId w:val="1194000654"/>
        <w:rPr>
          <w:rFonts w:eastAsia="Times New Roman"/>
        </w:rPr>
      </w:pPr>
      <w:r>
        <w:rPr>
          <w:rFonts w:eastAsia="Times New Roman"/>
          <w:b/>
          <w:bCs/>
          <w:i/>
          <w:iCs/>
          <w:color w:val="000000"/>
          <w:sz w:val="20"/>
          <w:szCs w:val="20"/>
        </w:rPr>
        <w:t xml:space="preserve">Non-Operating Income </w:t>
      </w:r>
    </w:p>
    <w:p w:rsidR="00000000" w:rsidRDefault="00E16B33">
      <w:pPr>
        <w:ind w:firstLine="360"/>
        <w:divId w:val="37819915"/>
        <w:rPr>
          <w:rFonts w:eastAsia="Times New Roman"/>
        </w:rPr>
      </w:pPr>
      <w:r>
        <w:rPr>
          <w:rFonts w:eastAsia="Times New Roman"/>
          <w:i/>
          <w:iCs/>
          <w:color w:val="000000"/>
          <w:sz w:val="20"/>
          <w:szCs w:val="20"/>
        </w:rPr>
        <w:t xml:space="preserve">One Quarter Comparison and Two Quarters Comparison: </w:t>
      </w:r>
      <w:r>
        <w:rPr>
          <w:rFonts w:eastAsia="Times New Roman"/>
          <w:color w:val="000000"/>
          <w:sz w:val="20"/>
          <w:szCs w:val="20"/>
        </w:rPr>
        <w:t>The increase in non-operating income in the quarter and two quarters ended July</w:t>
      </w:r>
      <w:r>
        <w:rPr>
          <w:rFonts w:eastAsia="Times New Roman"/>
          <w:color w:val="000000"/>
          <w:sz w:val="20"/>
          <w:szCs w:val="20"/>
        </w:rPr>
        <w:t xml:space="preserve"> 1, 2022 compared with the quarter and two quarters ended July 2, 2021 was primarily due to a $35 million charge for impairment of our equity investment in a nonconsolidated affiliate during the quarter ended July 2, 2021. </w:t>
      </w:r>
    </w:p>
    <w:p w:rsidR="00000000" w:rsidRDefault="00E16B33">
      <w:pPr>
        <w:divId w:val="1140076739"/>
        <w:rPr>
          <w:rFonts w:eastAsia="Times New Roman"/>
        </w:rPr>
      </w:pPr>
      <w:r>
        <w:rPr>
          <w:rFonts w:eastAsia="Times New Roman"/>
          <w:b/>
          <w:bCs/>
          <w:i/>
          <w:iCs/>
          <w:color w:val="000000"/>
          <w:sz w:val="20"/>
          <w:szCs w:val="20"/>
        </w:rPr>
        <w:t>Net Interest Expense</w:t>
      </w:r>
    </w:p>
    <w:p w:rsidR="00000000" w:rsidRDefault="00E16B33">
      <w:pPr>
        <w:ind w:firstLine="360"/>
        <w:divId w:val="1324116044"/>
        <w:rPr>
          <w:rFonts w:eastAsia="Times New Roman"/>
        </w:rPr>
      </w:pPr>
      <w:r>
        <w:rPr>
          <w:rFonts w:eastAsia="Times New Roman"/>
          <w:i/>
          <w:iCs/>
          <w:color w:val="000000"/>
          <w:sz w:val="20"/>
          <w:szCs w:val="20"/>
        </w:rPr>
        <w:t>One Quarter</w:t>
      </w:r>
      <w:r>
        <w:rPr>
          <w:rFonts w:eastAsia="Times New Roman"/>
          <w:i/>
          <w:iCs/>
          <w:color w:val="000000"/>
          <w:sz w:val="20"/>
          <w:szCs w:val="20"/>
        </w:rPr>
        <w:t xml:space="preserve"> Comparison and Two Quarters Comparison: </w:t>
      </w:r>
      <w:r>
        <w:rPr>
          <w:rFonts w:eastAsia="Times New Roman"/>
          <w:color w:val="000000"/>
          <w:sz w:val="20"/>
          <w:szCs w:val="20"/>
        </w:rPr>
        <w:t>Our net interest expense increased in the quarter and two quarters ended July 1, 2022 compared with the quarter and two quarters ended July 2, 2021 primarily due to lower interest income in the quarter and two quart</w:t>
      </w:r>
      <w:r>
        <w:rPr>
          <w:rFonts w:eastAsia="Times New Roman"/>
          <w:color w:val="000000"/>
          <w:sz w:val="20"/>
          <w:szCs w:val="20"/>
        </w:rPr>
        <w:t xml:space="preserve">ers ended July 1, 2022. </w:t>
      </w:r>
    </w:p>
    <w:p w:rsidR="00000000" w:rsidRDefault="00E16B33">
      <w:pPr>
        <w:ind w:firstLine="360"/>
        <w:divId w:val="1590388817"/>
        <w:rPr>
          <w:rFonts w:eastAsia="Times New Roman"/>
        </w:rPr>
      </w:pPr>
      <w:r>
        <w:rPr>
          <w:rFonts w:eastAsia="Times New Roman"/>
          <w:color w:val="000000"/>
          <w:sz w:val="20"/>
          <w:szCs w:val="20"/>
        </w:rPr>
        <w:t xml:space="preserve">See </w:t>
      </w:r>
      <w:r>
        <w:rPr>
          <w:rFonts w:eastAsia="Times New Roman"/>
          <w:i/>
          <w:iCs/>
          <w:color w:val="000000"/>
          <w:sz w:val="20"/>
          <w:szCs w:val="20"/>
        </w:rPr>
        <w:t>Note 13: Debt</w:t>
      </w:r>
      <w:r>
        <w:rPr>
          <w:rFonts w:eastAsia="Times New Roman"/>
          <w:color w:val="000000"/>
          <w:sz w:val="20"/>
          <w:szCs w:val="20"/>
        </w:rPr>
        <w:t xml:space="preserve"> in the Notes to Consolidated Financial Statements in our Fiscal 2021 Form 10-K for further information.</w:t>
      </w:r>
    </w:p>
    <w:p w:rsidR="00000000" w:rsidRDefault="00E16B33">
      <w:pPr>
        <w:divId w:val="19204044"/>
        <w:rPr>
          <w:rFonts w:eastAsia="Times New Roman"/>
        </w:rPr>
      </w:pPr>
      <w:r>
        <w:rPr>
          <w:rFonts w:eastAsia="Times New Roman"/>
          <w:b/>
          <w:bCs/>
          <w:i/>
          <w:iCs/>
          <w:color w:val="000000"/>
          <w:sz w:val="20"/>
          <w:szCs w:val="20"/>
        </w:rPr>
        <w:t>Income Taxes</w:t>
      </w:r>
    </w:p>
    <w:p w:rsidR="00000000" w:rsidRDefault="00E16B33">
      <w:pPr>
        <w:ind w:firstLine="360"/>
        <w:divId w:val="477458103"/>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Our effective tax rate (income taxes as a percentage of income from cont</w:t>
      </w:r>
      <w:r>
        <w:rPr>
          <w:rFonts w:eastAsia="Times New Roman"/>
          <w:color w:val="000000"/>
          <w:sz w:val="20"/>
          <w:szCs w:val="20"/>
        </w:rPr>
        <w:t>inuing operations before income taxes) was 10.5% for the quarter ended July 1, 2022 compared with 29.0% for the quarter ended July 2, 2021. For the quarter ended July 1, 2022, our effective tax rate benefited from the favorable impact of R&amp;D credits, incre</w:t>
      </w:r>
      <w:r>
        <w:rPr>
          <w:rFonts w:eastAsia="Times New Roman"/>
          <w:color w:val="000000"/>
          <w:sz w:val="20"/>
          <w:szCs w:val="20"/>
        </w:rPr>
        <w:t>mental FDII benefit resulting from the requirement to capitalize and amortize R&amp;D expenses beginning in fiscal 2022 and the resolution of specific audit uncertainties. For the quarter ended July 2, 2021, our effective tax rate was unfavorably impacted by n</w:t>
      </w:r>
      <w:r>
        <w:rPr>
          <w:rFonts w:eastAsia="Times New Roman"/>
          <w:color w:val="000000"/>
          <w:sz w:val="20"/>
          <w:szCs w:val="20"/>
        </w:rPr>
        <w:t>on-deductible goodwill from completed business divestitures, partially offset by the favorable impacts of R&amp;D credits, the resolution of specific audit uncertainties, and excess tax benefits related to equity-based compensation.</w:t>
      </w:r>
    </w:p>
    <w:p w:rsidR="00000000" w:rsidRDefault="00E16B33">
      <w:pPr>
        <w:ind w:firstLine="360"/>
        <w:divId w:val="370225408"/>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Our effective tax rate was 10.9% for the two quarters ended July 1, 2022 compared with 20.6% for the two quarters ended July 2, 2021. Our effective tax rate for the two quarters ended July 1, 2022 was favorably impacted by a reduct</w:t>
      </w:r>
      <w:r>
        <w:rPr>
          <w:rFonts w:eastAsia="Times New Roman"/>
          <w:color w:val="000000"/>
          <w:sz w:val="20"/>
          <w:szCs w:val="20"/>
        </w:rPr>
        <w:t>ion in the deferred tax liabilities on the outside basis of certain foreign subsidiaries due to an internal restructuring and the items described above in the one quarter comparison of income taxes. Our effective tax rate for the two quarters ended July 2,</w:t>
      </w:r>
      <w:r>
        <w:rPr>
          <w:rFonts w:eastAsia="Times New Roman"/>
          <w:color w:val="000000"/>
          <w:sz w:val="20"/>
          <w:szCs w:val="20"/>
        </w:rPr>
        <w:t xml:space="preserve"> 2021 were impacted by the items described above in the one quarter comparison of income taxes.</w:t>
      </w:r>
    </w:p>
    <w:p w:rsidR="00000000" w:rsidRDefault="00E16B33">
      <w:pPr>
        <w:divId w:val="1452358162"/>
        <w:rPr>
          <w:rFonts w:eastAsia="Times New Roman"/>
        </w:rPr>
      </w:pPr>
      <w:r>
        <w:rPr>
          <w:rFonts w:eastAsia="Times New Roman"/>
          <w:b/>
          <w:bCs/>
          <w:i/>
          <w:iCs/>
          <w:color w:val="000000"/>
          <w:sz w:val="20"/>
          <w:szCs w:val="20"/>
        </w:rPr>
        <w:t>Income From Continuing Operations</w:t>
      </w:r>
    </w:p>
    <w:p w:rsidR="00000000" w:rsidRDefault="00E16B33">
      <w:pPr>
        <w:ind w:firstLine="360"/>
        <w:divId w:val="1486432562"/>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The increase in income from continuing operations in the quarter ended July 1, 2022 compared with the </w:t>
      </w:r>
      <w:r>
        <w:rPr>
          <w:rFonts w:eastAsia="Times New Roman"/>
          <w:color w:val="000000"/>
          <w:sz w:val="20"/>
          <w:szCs w:val="20"/>
        </w:rPr>
        <w:t>quarter ended July 2, 2021 was primarily due to the combined effects of the reasons noted in the sections above regarding the quarter ended July 1, 2022 and quarter ended July 2, 2021.</w:t>
      </w:r>
    </w:p>
    <w:p w:rsidR="00000000" w:rsidRDefault="00E16B33">
      <w:pPr>
        <w:ind w:firstLine="360"/>
        <w:divId w:val="1760055551"/>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The increase in income from continuing operati</w:t>
      </w:r>
      <w:r>
        <w:rPr>
          <w:rFonts w:eastAsia="Times New Roman"/>
          <w:color w:val="000000"/>
          <w:sz w:val="20"/>
          <w:szCs w:val="20"/>
        </w:rPr>
        <w:t>ons in the two quarters ended July 1, 2022 compared with the two quarters ended July 2, 2021 was primarily due to the combined effects of the reasons noted in the sections above regarding the two quarters ended July 1, 2022 and two quarters ended July 2, 2</w:t>
      </w:r>
      <w:r>
        <w:rPr>
          <w:rFonts w:eastAsia="Times New Roman"/>
          <w:color w:val="000000"/>
          <w:sz w:val="20"/>
          <w:szCs w:val="20"/>
        </w:rPr>
        <w:t>021.</w:t>
      </w:r>
    </w:p>
    <w:p w:rsidR="00000000" w:rsidRDefault="00E16B33">
      <w:pPr>
        <w:divId w:val="1585992676"/>
        <w:rPr>
          <w:rFonts w:eastAsia="Times New Roman"/>
        </w:rPr>
      </w:pPr>
      <w:r>
        <w:rPr>
          <w:rFonts w:eastAsia="Times New Roman"/>
          <w:b/>
          <w:bCs/>
          <w:i/>
          <w:iCs/>
          <w:color w:val="000000"/>
          <w:sz w:val="20"/>
          <w:szCs w:val="20"/>
        </w:rPr>
        <w:t>Diluted EPS</w:t>
      </w:r>
    </w:p>
    <w:p w:rsidR="00000000" w:rsidRDefault="00E16B33">
      <w:pPr>
        <w:ind w:firstLine="360"/>
        <w:divId w:val="76874459"/>
        <w:rPr>
          <w:rFonts w:eastAsia="Times New Roman"/>
        </w:rPr>
      </w:pPr>
      <w:r>
        <w:rPr>
          <w:rFonts w:eastAsia="Times New Roman"/>
          <w:i/>
          <w:iCs/>
          <w:color w:val="000000"/>
          <w:sz w:val="20"/>
          <w:szCs w:val="20"/>
        </w:rPr>
        <w:t xml:space="preserve">One Quarter Comparison and Two Quarters Comparison: </w:t>
      </w:r>
      <w:r>
        <w:rPr>
          <w:rFonts w:eastAsia="Times New Roman"/>
          <w:color w:val="000000"/>
          <w:sz w:val="20"/>
          <w:szCs w:val="20"/>
        </w:rPr>
        <w:t>Diluted EPS attributable to L3Harris common shareholders in the quarter and two quarters ended July 1, 2022 increased compared with the quarter and two quarters ended July 2, 2021, primar</w:t>
      </w:r>
      <w:r>
        <w:rPr>
          <w:rFonts w:eastAsia="Times New Roman"/>
          <w:color w:val="000000"/>
          <w:sz w:val="20"/>
          <w:szCs w:val="20"/>
        </w:rPr>
        <w:t>ily due to higher net income from the combined effects of the reasons noted in the sections above regarding the quarter and two quarters ended July 1, 2022 and quarter and two quarters ended July 2, 2021 and fewer diluted weighted average common shares out</w:t>
      </w:r>
      <w:r>
        <w:rPr>
          <w:rFonts w:eastAsia="Times New Roman"/>
          <w:color w:val="000000"/>
          <w:sz w:val="20"/>
          <w:szCs w:val="20"/>
        </w:rPr>
        <w:t>standing, reflecting the repurchases of shares of our common stock under our repurchase program in the quarter and two quarters ended July 1, 2022.</w:t>
      </w:r>
    </w:p>
    <w:p w:rsidR="00000000" w:rsidRDefault="00E16B33">
      <w:pPr>
        <w:ind w:firstLine="360"/>
        <w:divId w:val="147864659"/>
        <w:rPr>
          <w:rFonts w:eastAsia="Times New Roman"/>
        </w:rPr>
      </w:pPr>
      <w:r>
        <w:rPr>
          <w:rFonts w:eastAsia="Times New Roman"/>
          <w:color w:val="000000"/>
          <w:sz w:val="20"/>
          <w:szCs w:val="20"/>
        </w:rPr>
        <w:t>See the “Common Stock Repurchases” discussion below in this MD&amp;A for further information.</w:t>
      </w:r>
    </w:p>
    <w:p w:rsidR="00000000" w:rsidRDefault="00E16B33">
      <w:pPr>
        <w:ind w:firstLine="360"/>
        <w:jc w:val="center"/>
        <w:divId w:val="1471551103"/>
        <w:rPr>
          <w:rFonts w:eastAsia="Times New Roman"/>
        </w:rPr>
      </w:pPr>
      <w:r>
        <w:rPr>
          <w:rFonts w:eastAsia="Times New Roman"/>
          <w:color w:val="000000"/>
          <w:sz w:val="20"/>
          <w:szCs w:val="20"/>
        </w:rPr>
        <w:t>21</w:t>
      </w:r>
    </w:p>
    <w:p w:rsidR="00000000" w:rsidRDefault="00E16B33">
      <w:pPr>
        <w:rPr>
          <w:rFonts w:eastAsia="Times New Roman"/>
        </w:rPr>
      </w:pPr>
      <w:r>
        <w:rPr>
          <w:rFonts w:eastAsia="Times New Roman"/>
        </w:rPr>
        <w:pict>
          <v:rect id="_x0000_i1048" style="width:0;height:1.5pt" o:hralign="center" o:hrstd="t" o:hr="t" fillcolor="#a0a0a0" stroked="f"/>
        </w:pict>
      </w:r>
    </w:p>
    <w:p w:rsidR="00000000" w:rsidRDefault="00E16B33">
      <w:pPr>
        <w:ind w:firstLine="360"/>
        <w:divId w:val="1609968234"/>
        <w:rPr>
          <w:rFonts w:eastAsia="Times New Roman"/>
        </w:rPr>
      </w:pPr>
    </w:p>
    <w:p w:rsidR="00000000" w:rsidRDefault="00E16B33">
      <w:pPr>
        <w:divId w:val="1776557789"/>
        <w:rPr>
          <w:rFonts w:eastAsia="Times New Roman"/>
        </w:rPr>
      </w:pPr>
      <w:r>
        <w:rPr>
          <w:rFonts w:eastAsia="Times New Roman"/>
          <w:b/>
          <w:bCs/>
          <w:color w:val="000000"/>
          <w:sz w:val="20"/>
          <w:szCs w:val="20"/>
        </w:rPr>
        <w:t>Discussion of Business Segment Results of Operations</w:t>
      </w:r>
    </w:p>
    <w:p w:rsidR="00000000" w:rsidRDefault="00E16B33">
      <w:pPr>
        <w:divId w:val="828716855"/>
        <w:rPr>
          <w:rFonts w:eastAsia="Times New Roman"/>
        </w:rPr>
      </w:pPr>
      <w:r>
        <w:rPr>
          <w:rFonts w:eastAsia="Times New Roman"/>
          <w:b/>
          <w:bCs/>
          <w:i/>
          <w:iCs/>
          <w:color w:val="000000"/>
          <w:sz w:val="20"/>
          <w:szCs w:val="20"/>
        </w:rPr>
        <w:t>Integrated Mission Systems Segment (“IMS”)</w:t>
      </w:r>
    </w:p>
    <w:tbl>
      <w:tblPr>
        <w:tblW w:w="5000" w:type="pct"/>
        <w:tblCellMar>
          <w:top w:w="15" w:type="dxa"/>
          <w:left w:w="15" w:type="dxa"/>
          <w:bottom w:w="15" w:type="dxa"/>
          <w:right w:w="15" w:type="dxa"/>
        </w:tblCellMar>
        <w:tblLook w:val="04A0" w:firstRow="1" w:lastRow="0" w:firstColumn="1" w:lastColumn="0" w:noHBand="0" w:noVBand="1"/>
      </w:tblPr>
      <w:tblGrid>
        <w:gridCol w:w="40"/>
        <w:gridCol w:w="1893"/>
        <w:gridCol w:w="39"/>
        <w:gridCol w:w="120"/>
        <w:gridCol w:w="500"/>
        <w:gridCol w:w="187"/>
        <w:gridCol w:w="36"/>
        <w:gridCol w:w="36"/>
        <w:gridCol w:w="36"/>
        <w:gridCol w:w="120"/>
        <w:gridCol w:w="500"/>
        <w:gridCol w:w="187"/>
        <w:gridCol w:w="36"/>
        <w:gridCol w:w="36"/>
        <w:gridCol w:w="36"/>
        <w:gridCol w:w="75"/>
        <w:gridCol w:w="589"/>
        <w:gridCol w:w="187"/>
        <w:gridCol w:w="36"/>
        <w:gridCol w:w="36"/>
        <w:gridCol w:w="36"/>
        <w:gridCol w:w="120"/>
        <w:gridCol w:w="500"/>
        <w:gridCol w:w="187"/>
        <w:gridCol w:w="36"/>
        <w:gridCol w:w="36"/>
        <w:gridCol w:w="36"/>
        <w:gridCol w:w="120"/>
        <w:gridCol w:w="500"/>
        <w:gridCol w:w="187"/>
        <w:gridCol w:w="36"/>
        <w:gridCol w:w="36"/>
        <w:gridCol w:w="36"/>
        <w:gridCol w:w="75"/>
        <w:gridCol w:w="589"/>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828716855"/>
        </w:trPr>
        <w:tc>
          <w:tcPr>
            <w:tcW w:w="50" w:type="pct"/>
            <w:vAlign w:val="center"/>
            <w:hideMark/>
          </w:tcPr>
          <w:p w:rsidR="00000000" w:rsidRDefault="00E16B33">
            <w:pPr>
              <w:rPr>
                <w:rFonts w:eastAsia="Times New Roman"/>
              </w:rPr>
            </w:pPr>
          </w:p>
        </w:tc>
        <w:tc>
          <w:tcPr>
            <w:tcW w:w="17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9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9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gridSpan w:val="3"/>
            <w:vAlign w:val="center"/>
            <w:hideMark/>
          </w:tcPr>
          <w:p w:rsidR="00000000" w:rsidRDefault="00E16B33">
            <w:pPr>
              <w:spacing w:after="100"/>
              <w:jc w:val="center"/>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vAlign w:val="center"/>
            <w:hideMark/>
          </w:tcPr>
          <w:p w:rsidR="00000000" w:rsidRDefault="00E16B33">
            <w:pPr>
              <w:spacing w:after="100"/>
              <w:jc w:val="center"/>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1,673 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1,792 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3,394 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3,543 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16B33">
            <w:pPr>
              <w:spacing w:after="100"/>
              <w:jc w:val="right"/>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16B33">
            <w:pPr>
              <w:spacing w:after="100"/>
              <w:jc w:val="right"/>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shd w:val="clear" w:color="auto" w:fill="CCEEFF"/>
            <w:tcMar>
              <w:top w:w="30" w:type="dxa"/>
              <w:left w:w="20" w:type="dxa"/>
              <w:bottom w:w="30" w:type="dxa"/>
              <w:right w:w="20" w:type="dxa"/>
            </w:tcMar>
            <w:vAlign w:val="center"/>
            <w:hideMark/>
          </w:tcPr>
          <w:p w:rsidR="00000000" w:rsidRDefault="00E16B33">
            <w:pPr>
              <w:spacing w:after="100"/>
              <w:ind w:hanging="225"/>
              <w:divId w:val="332298077"/>
              <w:rPr>
                <w:rFonts w:eastAsia="Times New Roman"/>
              </w:rPr>
            </w:pPr>
            <w:r>
              <w:rPr>
                <w:rFonts w:eastAsia="Times New Roman"/>
                <w:i/>
                <w:iCs/>
                <w:color w:val="000000"/>
                <w:sz w:val="20"/>
                <w:szCs w:val="20"/>
              </w:rPr>
              <w:t>Operating income as a percentage of revenue (“operating margin”)</w:t>
            </w:r>
          </w:p>
        </w:tc>
        <w:tc>
          <w:tcPr>
            <w:tcW w:w="0" w:type="auto"/>
            <w:gridSpan w:val="2"/>
            <w:shd w:val="clear" w:color="auto" w:fill="CCEEFF"/>
            <w:tcMar>
              <w:top w:w="30" w:type="dxa"/>
              <w:left w:w="20" w:type="dxa"/>
              <w:bottom w:w="30" w:type="dxa"/>
              <w:right w:w="0" w:type="dxa"/>
            </w:tcMar>
            <w:vAlign w:val="center"/>
            <w:hideMark/>
          </w:tcPr>
          <w:p w:rsidR="00000000" w:rsidRDefault="00E16B33">
            <w:pPr>
              <w:spacing w:after="100"/>
              <w:jc w:val="right"/>
              <w:rPr>
                <w:rFonts w:eastAsia="Times New Roman"/>
              </w:rPr>
            </w:pPr>
            <w:r>
              <w:rPr>
                <w:rFonts w:eastAsia="Times New Roman"/>
                <w:i/>
                <w:iCs/>
                <w:color w:val="000000"/>
                <w:sz w:val="20"/>
                <w:szCs w:val="20"/>
              </w:rPr>
              <w:t>13.0 </w:t>
            </w:r>
          </w:p>
        </w:tc>
        <w:tc>
          <w:tcPr>
            <w:tcW w:w="0" w:type="auto"/>
            <w:shd w:val="clear" w:color="auto" w:fill="CCEEFF"/>
            <w:tcMar>
              <w:top w:w="30" w:type="dxa"/>
              <w:left w:w="0" w:type="dxa"/>
              <w:bottom w:w="30" w:type="dxa"/>
              <w:right w:w="20" w:type="dxa"/>
            </w:tcMar>
            <w:vAlign w:val="center"/>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16B33">
            <w:pPr>
              <w:spacing w:after="100"/>
              <w:jc w:val="right"/>
              <w:rPr>
                <w:rFonts w:eastAsia="Times New Roman"/>
              </w:rPr>
            </w:pPr>
            <w:r>
              <w:rPr>
                <w:rFonts w:eastAsia="Times New Roman"/>
                <w:i/>
                <w:iCs/>
                <w:color w:val="000000"/>
                <w:sz w:val="20"/>
                <w:szCs w:val="20"/>
              </w:rPr>
              <w:t>7.9 </w:t>
            </w:r>
          </w:p>
        </w:tc>
        <w:tc>
          <w:tcPr>
            <w:tcW w:w="0" w:type="auto"/>
            <w:shd w:val="clear" w:color="auto" w:fill="CCEEFF"/>
            <w:tcMar>
              <w:top w:w="30" w:type="dxa"/>
              <w:left w:w="0" w:type="dxa"/>
              <w:bottom w:w="30" w:type="dxa"/>
              <w:right w:w="20" w:type="dxa"/>
            </w:tcMar>
            <w:vAlign w:val="center"/>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16B33">
            <w:pPr>
              <w:spacing w:after="100"/>
              <w:jc w:val="right"/>
              <w:rPr>
                <w:rFonts w:eastAsia="Times New Roman"/>
              </w:rPr>
            </w:pPr>
            <w:r>
              <w:rPr>
                <w:rFonts w:eastAsia="Times New Roman"/>
                <w:i/>
                <w:iCs/>
                <w:color w:val="000000"/>
                <w:sz w:val="20"/>
                <w:szCs w:val="20"/>
              </w:rPr>
              <w:t>13.9 </w:t>
            </w:r>
          </w:p>
        </w:tc>
        <w:tc>
          <w:tcPr>
            <w:tcW w:w="0" w:type="auto"/>
            <w:shd w:val="clear" w:color="auto" w:fill="CCEEFF"/>
            <w:tcMar>
              <w:top w:w="30" w:type="dxa"/>
              <w:left w:w="0" w:type="dxa"/>
              <w:bottom w:w="30" w:type="dxa"/>
              <w:right w:w="20" w:type="dxa"/>
            </w:tcMar>
            <w:vAlign w:val="center"/>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16B33">
            <w:pPr>
              <w:spacing w:after="100"/>
              <w:jc w:val="right"/>
              <w:rPr>
                <w:rFonts w:eastAsia="Times New Roman"/>
              </w:rPr>
            </w:pPr>
            <w:r>
              <w:rPr>
                <w:rFonts w:eastAsia="Times New Roman"/>
                <w:i/>
                <w:iCs/>
                <w:color w:val="000000"/>
                <w:sz w:val="20"/>
                <w:szCs w:val="20"/>
              </w:rPr>
              <w:t>10.6 </w:t>
            </w:r>
          </w:p>
        </w:tc>
        <w:tc>
          <w:tcPr>
            <w:tcW w:w="0" w:type="auto"/>
            <w:shd w:val="clear" w:color="auto" w:fill="CCEEFF"/>
            <w:tcMar>
              <w:top w:w="30" w:type="dxa"/>
              <w:left w:w="0" w:type="dxa"/>
              <w:bottom w:w="30" w:type="dxa"/>
              <w:right w:w="20" w:type="dxa"/>
            </w:tcMar>
            <w:vAlign w:val="center"/>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828716855"/>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divId w:val="1218860279"/>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IMS revenue for the quarter ended July 1, 2022 compared with the quarter ended July 2, 2021 decreased 7%, reflecting a decline of $38 million in ISR, primarily due to $107 million lower revenue on a North Atlantic Treaty Organization aircraft missionizatio</w:t>
      </w:r>
      <w:r>
        <w:rPr>
          <w:rFonts w:eastAsia="Times New Roman"/>
          <w:color w:val="000000"/>
          <w:sz w:val="20"/>
          <w:szCs w:val="20"/>
        </w:rPr>
        <w:t>n program, partially offset by an increase in aircraft subcontractor progress for a U.S. Government customer. IMS revenue was also driven by declines of $38 million from lower volume on fuzing and ordnance systems and other related programs, $33 million in</w:t>
      </w:r>
      <w:r>
        <w:rPr>
          <w:rFonts w:eastAsia="Times New Roman"/>
          <w:color w:val="000000"/>
          <w:sz w:val="20"/>
          <w:szCs w:val="20"/>
        </w:rPr>
        <w:t xml:space="preserve"> Electro Optical, primarily due to a decline in WESCAM airborne turret delivery volumes, reflecting supply chain constraints and $30 million in Maritime primarily due to supplier and material delays. The declines were partially offset by an increase of $28</w:t>
      </w:r>
      <w:r>
        <w:rPr>
          <w:rFonts w:eastAsia="Times New Roman"/>
          <w:color w:val="000000"/>
          <w:sz w:val="20"/>
          <w:szCs w:val="20"/>
        </w:rPr>
        <w:t> million in Commercial Aviation Solutions, primarily due to an increase in pilot training center volume and the sale of end-of-life inventory.</w:t>
      </w:r>
    </w:p>
    <w:p w:rsidR="00000000" w:rsidRDefault="00E16B33">
      <w:pPr>
        <w:ind w:firstLine="360"/>
        <w:divId w:val="378433505"/>
        <w:rPr>
          <w:rFonts w:eastAsia="Times New Roman"/>
        </w:rPr>
      </w:pPr>
      <w:r>
        <w:rPr>
          <w:rFonts w:eastAsia="Times New Roman"/>
          <w:color w:val="000000"/>
          <w:sz w:val="20"/>
          <w:szCs w:val="20"/>
        </w:rPr>
        <w:t>IMS operating margin for the quarter ended July 1, 2022 compared with the quarter ended July 2, 2021 expanded 510</w:t>
      </w:r>
      <w:r>
        <w:rPr>
          <w:rFonts w:eastAsia="Times New Roman"/>
          <w:color w:val="000000"/>
          <w:sz w:val="20"/>
          <w:szCs w:val="20"/>
        </w:rPr>
        <w:t xml:space="preserve"> basis points to 12.9%, primarily due to an $82 million non-cash impairment charge at Commercial Aviation Solutions in the quarter ended July 2, 2021 as well as higher volumes in Commercial Aviation Solutions, partially offset by a mix of program revenue a</w:t>
      </w:r>
      <w:r>
        <w:rPr>
          <w:rFonts w:eastAsia="Times New Roman"/>
          <w:color w:val="000000"/>
          <w:sz w:val="20"/>
          <w:szCs w:val="20"/>
        </w:rPr>
        <w:t>nd product sales with relatively lower operating margin percentages for the quarter ended July 1, 2022.</w:t>
      </w:r>
    </w:p>
    <w:p w:rsidR="00000000" w:rsidRDefault="00E16B33">
      <w:pPr>
        <w:ind w:firstLine="360"/>
        <w:divId w:val="1143959222"/>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IMS revenue for two quarters ended July 1, 2022 compared with two quarters ended July 2, 2021 decreased 4%, reflecting a declin</w:t>
      </w:r>
      <w:r>
        <w:rPr>
          <w:rFonts w:eastAsia="Times New Roman"/>
          <w:color w:val="000000"/>
          <w:sz w:val="20"/>
          <w:szCs w:val="20"/>
        </w:rPr>
        <w:t>e of $73 million in ISR, primarily due to $186 million lower revenue on a North Atlantic Treaty Organization aircraft missionization program, partially offset by an increase in aircraft subcontractor progress for aircraft missionization programs. IMS reven</w:t>
      </w:r>
      <w:r>
        <w:rPr>
          <w:rFonts w:eastAsia="Times New Roman"/>
          <w:color w:val="000000"/>
          <w:sz w:val="20"/>
          <w:szCs w:val="20"/>
        </w:rPr>
        <w:t>ue was also driven by declines of $85 million from lower volume on fuzing and ordnance systems and other related programs, $9 million in Electro Optical, primarily due to a decline in WESCAM airborne turret delivery volumes, reflecting supply chain constra</w:t>
      </w:r>
      <w:r>
        <w:rPr>
          <w:rFonts w:eastAsia="Times New Roman"/>
          <w:color w:val="000000"/>
          <w:sz w:val="20"/>
          <w:szCs w:val="20"/>
        </w:rPr>
        <w:t xml:space="preserve">ints and $8 million in Maritime primarily due to supplier and material delays. The declines were partially offset by higher revenue on Virginia-class and classified programs and an increase of $38 million in Commercial Aviation Solutions, primarily due to </w:t>
      </w:r>
      <w:r>
        <w:rPr>
          <w:rFonts w:eastAsia="Times New Roman"/>
          <w:color w:val="000000"/>
          <w:sz w:val="20"/>
          <w:szCs w:val="20"/>
        </w:rPr>
        <w:t>an increase in pilot training center volume and sale of end-of-life inventory.</w:t>
      </w:r>
    </w:p>
    <w:p w:rsidR="00000000" w:rsidRDefault="00E16B33">
      <w:pPr>
        <w:ind w:firstLine="360"/>
        <w:divId w:val="1441416110"/>
        <w:rPr>
          <w:rFonts w:eastAsia="Times New Roman"/>
        </w:rPr>
      </w:pPr>
      <w:r>
        <w:rPr>
          <w:rFonts w:eastAsia="Times New Roman"/>
          <w:color w:val="000000"/>
          <w:sz w:val="20"/>
          <w:szCs w:val="20"/>
        </w:rPr>
        <w:t>IMS operating margin for two quarters ended July 1, 2022 compared with two quarters ended July 2, 2021 expanded 330 basis points to 13.9%, primarily due to an $82 million non-ca</w:t>
      </w:r>
      <w:r>
        <w:rPr>
          <w:rFonts w:eastAsia="Times New Roman"/>
          <w:color w:val="000000"/>
          <w:sz w:val="20"/>
          <w:szCs w:val="20"/>
        </w:rPr>
        <w:t>sh impairment charge at Commercial Aviation Solutions in the quarter ended July 2, 2021, as well as higher volumes in Commercial Aviation Solutions, partially offset by a mix of program revenue and product sales with relatively lower operating margin perce</w:t>
      </w:r>
      <w:r>
        <w:rPr>
          <w:rFonts w:eastAsia="Times New Roman"/>
          <w:color w:val="000000"/>
          <w:sz w:val="20"/>
          <w:szCs w:val="20"/>
        </w:rPr>
        <w:t>ntages for the quarter ended July 1, 2022.</w:t>
      </w:r>
    </w:p>
    <w:p w:rsidR="00000000" w:rsidRDefault="00E16B33">
      <w:pPr>
        <w:divId w:val="1557474660"/>
        <w:rPr>
          <w:rFonts w:eastAsia="Times New Roman"/>
        </w:rPr>
      </w:pPr>
      <w:r>
        <w:rPr>
          <w:rFonts w:eastAsia="Times New Roman"/>
          <w:b/>
          <w:bCs/>
          <w:i/>
          <w:iCs/>
          <w:color w:val="000000"/>
          <w:sz w:val="20"/>
          <w:szCs w:val="20"/>
        </w:rPr>
        <w:t>Space &amp; Airborne Systems Segment (“SAS”)</w:t>
      </w:r>
    </w:p>
    <w:tbl>
      <w:tblPr>
        <w:tblW w:w="5000" w:type="pct"/>
        <w:tblCellMar>
          <w:top w:w="15" w:type="dxa"/>
          <w:left w:w="15" w:type="dxa"/>
          <w:bottom w:w="15" w:type="dxa"/>
          <w:right w:w="15" w:type="dxa"/>
        </w:tblCellMar>
        <w:tblLook w:val="04A0" w:firstRow="1" w:lastRow="0" w:firstColumn="1" w:lastColumn="0" w:noHBand="0" w:noVBand="1"/>
      </w:tblPr>
      <w:tblGrid>
        <w:gridCol w:w="40"/>
        <w:gridCol w:w="1893"/>
        <w:gridCol w:w="39"/>
        <w:gridCol w:w="120"/>
        <w:gridCol w:w="500"/>
        <w:gridCol w:w="187"/>
        <w:gridCol w:w="36"/>
        <w:gridCol w:w="36"/>
        <w:gridCol w:w="36"/>
        <w:gridCol w:w="120"/>
        <w:gridCol w:w="500"/>
        <w:gridCol w:w="187"/>
        <w:gridCol w:w="36"/>
        <w:gridCol w:w="36"/>
        <w:gridCol w:w="36"/>
        <w:gridCol w:w="75"/>
        <w:gridCol w:w="589"/>
        <w:gridCol w:w="187"/>
        <w:gridCol w:w="36"/>
        <w:gridCol w:w="36"/>
        <w:gridCol w:w="36"/>
        <w:gridCol w:w="120"/>
        <w:gridCol w:w="500"/>
        <w:gridCol w:w="187"/>
        <w:gridCol w:w="36"/>
        <w:gridCol w:w="36"/>
        <w:gridCol w:w="36"/>
        <w:gridCol w:w="120"/>
        <w:gridCol w:w="500"/>
        <w:gridCol w:w="187"/>
        <w:gridCol w:w="36"/>
        <w:gridCol w:w="36"/>
        <w:gridCol w:w="36"/>
        <w:gridCol w:w="75"/>
        <w:gridCol w:w="589"/>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557474660"/>
        </w:trPr>
        <w:tc>
          <w:tcPr>
            <w:tcW w:w="50" w:type="pct"/>
            <w:vAlign w:val="center"/>
            <w:hideMark/>
          </w:tcPr>
          <w:p w:rsidR="00000000" w:rsidRDefault="00E16B33">
            <w:pPr>
              <w:rPr>
                <w:rFonts w:eastAsia="Times New Roman"/>
              </w:rPr>
            </w:pPr>
          </w:p>
        </w:tc>
        <w:tc>
          <w:tcPr>
            <w:tcW w:w="17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9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9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gridSpan w:val="3"/>
            <w:vAlign w:val="center"/>
            <w:hideMark/>
          </w:tcPr>
          <w:p w:rsidR="00000000" w:rsidRDefault="00E16B33">
            <w:pPr>
              <w:spacing w:after="100"/>
              <w:jc w:val="center"/>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vAlign w:val="center"/>
            <w:hideMark/>
          </w:tcPr>
          <w:p w:rsidR="00000000" w:rsidRDefault="00E16B33">
            <w:pPr>
              <w:spacing w:after="100"/>
              <w:jc w:val="center"/>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2,948 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2,970 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16B33">
            <w:pPr>
              <w:spacing w:after="100"/>
              <w:jc w:val="right"/>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16B33">
            <w:pPr>
              <w:spacing w:after="100"/>
              <w:jc w:val="right"/>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shd w:val="clear" w:color="auto" w:fill="CCEEFF"/>
            <w:tcMar>
              <w:top w:w="30" w:type="dxa"/>
              <w:left w:w="245" w:type="dxa"/>
              <w:bottom w:w="30" w:type="dxa"/>
              <w:right w:w="20" w:type="dxa"/>
            </w:tcMar>
            <w:hideMark/>
          </w:tcPr>
          <w:p w:rsidR="00000000" w:rsidRDefault="00E16B33">
            <w:pPr>
              <w:spacing w:after="100"/>
              <w:rPr>
                <w:rFonts w:eastAsia="Times New Roman"/>
              </w:rPr>
            </w:pPr>
            <w:r>
              <w:rPr>
                <w:rFonts w:eastAsia="Times New Roman"/>
                <w:i/>
                <w:iCs/>
                <w:color w:val="000000"/>
                <w:sz w:val="20"/>
                <w:szCs w:val="20"/>
              </w:rPr>
              <w:t>Operating margin</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557474660"/>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divId w:val="1717663224"/>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SAS revenue for the quarter ended July 1, 2022 compared with the quarter ended July 2, 2021 decreased 1%, primarily driven by a $35 million decline in our airborne businesses, reflecting production transitions and lower development on the F-35 program and </w:t>
      </w:r>
      <w:r>
        <w:rPr>
          <w:rFonts w:eastAsia="Times New Roman"/>
          <w:color w:val="000000"/>
          <w:sz w:val="20"/>
          <w:szCs w:val="20"/>
        </w:rPr>
        <w:t>a $25 million decline in Intel &amp; Cyber primarily driven by classified program transitions. The declines were partially offset by a $53 million increase in revenue in Space, reflecting growth in responsive satellite programs.</w:t>
      </w:r>
    </w:p>
    <w:p w:rsidR="00000000" w:rsidRDefault="00E16B33">
      <w:pPr>
        <w:ind w:firstLine="360"/>
        <w:divId w:val="1251356391"/>
        <w:rPr>
          <w:rFonts w:eastAsia="Times New Roman"/>
        </w:rPr>
      </w:pPr>
      <w:r>
        <w:rPr>
          <w:rFonts w:eastAsia="Times New Roman"/>
          <w:color w:val="000000"/>
          <w:sz w:val="20"/>
          <w:szCs w:val="20"/>
        </w:rPr>
        <w:t>SAS operating margin for the qu</w:t>
      </w:r>
      <w:r>
        <w:rPr>
          <w:rFonts w:eastAsia="Times New Roman"/>
          <w:color w:val="000000"/>
          <w:sz w:val="20"/>
          <w:szCs w:val="20"/>
        </w:rPr>
        <w:t xml:space="preserve">arter ended July 1, 2022 compared with the quarter ended July 2, 2021 contracted 50 basis points to 13.0% from </w:t>
      </w:r>
      <w:r>
        <w:rPr>
          <w:rFonts w:eastAsia="Times New Roman"/>
          <w:color w:val="000000"/>
          <w:sz w:val="20"/>
          <w:szCs w:val="20"/>
          <w:shd w:val="clear" w:color="auto" w:fill="FFFFFF"/>
        </w:rPr>
        <w:t xml:space="preserve">lower risk retirements and </w:t>
      </w:r>
      <w:r>
        <w:rPr>
          <w:rFonts w:eastAsia="Times New Roman"/>
          <w:color w:val="000000"/>
          <w:sz w:val="20"/>
          <w:szCs w:val="20"/>
        </w:rPr>
        <w:t>a mix of program revenue and product sales with a relatively lower operating margin percentage for the quarter ended J</w:t>
      </w:r>
      <w:r>
        <w:rPr>
          <w:rFonts w:eastAsia="Times New Roman"/>
          <w:color w:val="000000"/>
          <w:sz w:val="20"/>
          <w:szCs w:val="20"/>
        </w:rPr>
        <w:t>uly 1, 2022</w:t>
      </w:r>
      <w:r>
        <w:rPr>
          <w:rFonts w:eastAsia="Times New Roman"/>
          <w:color w:val="000000"/>
          <w:sz w:val="20"/>
          <w:szCs w:val="20"/>
          <w:shd w:val="clear" w:color="auto" w:fill="FFFFFF"/>
        </w:rPr>
        <w:t>, partially offset by a decrease in R&amp;D as current quarter expenses normalized following elevated spend in the quarter ended July 2, 2021</w:t>
      </w:r>
      <w:r>
        <w:rPr>
          <w:rFonts w:eastAsia="Times New Roman"/>
          <w:color w:val="000000"/>
          <w:sz w:val="20"/>
          <w:szCs w:val="20"/>
        </w:rPr>
        <w:t>.</w:t>
      </w:r>
    </w:p>
    <w:p w:rsidR="00000000" w:rsidRDefault="00E16B33">
      <w:pPr>
        <w:ind w:firstLine="360"/>
        <w:jc w:val="center"/>
        <w:divId w:val="1485777375"/>
        <w:rPr>
          <w:rFonts w:eastAsia="Times New Roman"/>
        </w:rPr>
      </w:pPr>
      <w:r>
        <w:rPr>
          <w:rFonts w:eastAsia="Times New Roman"/>
          <w:color w:val="000000"/>
          <w:sz w:val="20"/>
          <w:szCs w:val="20"/>
        </w:rPr>
        <w:t>22</w:t>
      </w:r>
    </w:p>
    <w:p w:rsidR="00000000" w:rsidRDefault="00E16B33">
      <w:pPr>
        <w:rPr>
          <w:rFonts w:eastAsia="Times New Roman"/>
        </w:rPr>
      </w:pPr>
      <w:r>
        <w:rPr>
          <w:rFonts w:eastAsia="Times New Roman"/>
        </w:rPr>
        <w:pict>
          <v:rect id="_x0000_i1049" style="width:0;height:1.5pt" o:hralign="center" o:hrstd="t" o:hr="t" fillcolor="#a0a0a0" stroked="f"/>
        </w:pict>
      </w:r>
    </w:p>
    <w:p w:rsidR="00000000" w:rsidRDefault="00E16B33">
      <w:pPr>
        <w:ind w:firstLine="360"/>
        <w:divId w:val="620458651"/>
        <w:rPr>
          <w:rFonts w:eastAsia="Times New Roman"/>
        </w:rPr>
      </w:pPr>
    </w:p>
    <w:p w:rsidR="00000000" w:rsidRDefault="00E16B33">
      <w:pPr>
        <w:ind w:firstLine="360"/>
        <w:divId w:val="827987912"/>
        <w:rPr>
          <w:rFonts w:eastAsia="Times New Roman"/>
        </w:rPr>
      </w:pPr>
      <w:r>
        <w:rPr>
          <w:rFonts w:eastAsia="Times New Roman"/>
          <w:i/>
          <w:iCs/>
          <w:color w:val="000000"/>
          <w:sz w:val="20"/>
          <w:szCs w:val="20"/>
        </w:rPr>
        <w:t>Two Quarters Comparison:</w:t>
      </w:r>
      <w:r>
        <w:rPr>
          <w:rFonts w:eastAsia="Times New Roman"/>
          <w:color w:val="000000"/>
          <w:sz w:val="20"/>
          <w:szCs w:val="20"/>
        </w:rPr>
        <w:t xml:space="preserve"> </w:t>
      </w:r>
      <w:r>
        <w:rPr>
          <w:rFonts w:eastAsia="Times New Roman"/>
          <w:color w:val="000000"/>
          <w:sz w:val="20"/>
          <w:szCs w:val="20"/>
        </w:rPr>
        <w:t>SAS revenue for two quarters ended July 1, 2022 compared with two quarters ended July 2, 2021 decreased 1%, primarily driven by a $104 million decline in our airborne businesses, reflecting production transitions and lower development on the F-35 program a</w:t>
      </w:r>
      <w:r>
        <w:rPr>
          <w:rFonts w:eastAsia="Times New Roman"/>
          <w:color w:val="000000"/>
          <w:sz w:val="20"/>
          <w:szCs w:val="20"/>
        </w:rPr>
        <w:t>nd a $41 million decline in Intel &amp; Cyber due to classified program transitions. The declines were partially offset by a $113 million increase in revenue in Space, reflecting growth in responsive satellite programs.</w:t>
      </w:r>
    </w:p>
    <w:p w:rsidR="00000000" w:rsidRDefault="00E16B33">
      <w:pPr>
        <w:ind w:firstLine="360"/>
        <w:divId w:val="1568563948"/>
        <w:rPr>
          <w:rFonts w:eastAsia="Times New Roman"/>
        </w:rPr>
      </w:pPr>
      <w:r>
        <w:rPr>
          <w:rFonts w:eastAsia="Times New Roman"/>
          <w:color w:val="000000"/>
          <w:sz w:val="20"/>
          <w:szCs w:val="20"/>
        </w:rPr>
        <w:t>SAS operating margin for two quarters en</w:t>
      </w:r>
      <w:r>
        <w:rPr>
          <w:rFonts w:eastAsia="Times New Roman"/>
          <w:color w:val="000000"/>
          <w:sz w:val="20"/>
          <w:szCs w:val="20"/>
        </w:rPr>
        <w:t xml:space="preserve">ded July 1, 2022 compared with two quarters ended July 2, 2021 contracted 90 basis points to 12.4% from </w:t>
      </w:r>
      <w:r>
        <w:rPr>
          <w:rFonts w:eastAsia="Times New Roman"/>
          <w:color w:val="000000"/>
          <w:sz w:val="20"/>
          <w:szCs w:val="20"/>
          <w:shd w:val="clear" w:color="auto" w:fill="FFFFFF"/>
        </w:rPr>
        <w:t xml:space="preserve">lower risk retirements and </w:t>
      </w:r>
      <w:r>
        <w:rPr>
          <w:rFonts w:eastAsia="Times New Roman"/>
          <w:color w:val="000000"/>
          <w:sz w:val="20"/>
          <w:szCs w:val="20"/>
        </w:rPr>
        <w:t xml:space="preserve">a mix of program revenue and product sales with a relatively lower operating margin percentage for the quarter ended July 1, </w:t>
      </w:r>
      <w:r>
        <w:rPr>
          <w:rFonts w:eastAsia="Times New Roman"/>
          <w:color w:val="000000"/>
          <w:sz w:val="20"/>
          <w:szCs w:val="20"/>
        </w:rPr>
        <w:t>2022</w:t>
      </w:r>
      <w:r>
        <w:rPr>
          <w:rFonts w:eastAsia="Times New Roman"/>
          <w:color w:val="000000"/>
          <w:sz w:val="20"/>
          <w:szCs w:val="20"/>
          <w:shd w:val="clear" w:color="auto" w:fill="FFFFFF"/>
        </w:rPr>
        <w:t>, partially offset by a decrease in R&amp;D expenses as current year expenses normalized following elevated spend in the two quarters ended July 2, 2021.</w:t>
      </w:r>
    </w:p>
    <w:p w:rsidR="00000000" w:rsidRDefault="00E16B33">
      <w:pPr>
        <w:divId w:val="244389489"/>
        <w:rPr>
          <w:rFonts w:eastAsia="Times New Roman"/>
        </w:rPr>
      </w:pPr>
      <w:r>
        <w:rPr>
          <w:rFonts w:eastAsia="Times New Roman"/>
          <w:b/>
          <w:bCs/>
          <w:i/>
          <w:iCs/>
          <w:color w:val="000000"/>
          <w:sz w:val="20"/>
          <w:szCs w:val="20"/>
        </w:rPr>
        <w:t>Communication Systems Segment (“CS”)</w:t>
      </w:r>
    </w:p>
    <w:tbl>
      <w:tblPr>
        <w:tblW w:w="5000" w:type="pct"/>
        <w:tblCellMar>
          <w:top w:w="15" w:type="dxa"/>
          <w:left w:w="15" w:type="dxa"/>
          <w:bottom w:w="15" w:type="dxa"/>
          <w:right w:w="15" w:type="dxa"/>
        </w:tblCellMar>
        <w:tblLook w:val="04A0" w:firstRow="1" w:lastRow="0" w:firstColumn="1" w:lastColumn="0" w:noHBand="0" w:noVBand="1"/>
      </w:tblPr>
      <w:tblGrid>
        <w:gridCol w:w="39"/>
        <w:gridCol w:w="2045"/>
        <w:gridCol w:w="38"/>
        <w:gridCol w:w="120"/>
        <w:gridCol w:w="350"/>
        <w:gridCol w:w="187"/>
        <w:gridCol w:w="36"/>
        <w:gridCol w:w="36"/>
        <w:gridCol w:w="36"/>
        <w:gridCol w:w="120"/>
        <w:gridCol w:w="500"/>
        <w:gridCol w:w="187"/>
        <w:gridCol w:w="36"/>
        <w:gridCol w:w="36"/>
        <w:gridCol w:w="36"/>
        <w:gridCol w:w="75"/>
        <w:gridCol w:w="589"/>
        <w:gridCol w:w="187"/>
        <w:gridCol w:w="36"/>
        <w:gridCol w:w="36"/>
        <w:gridCol w:w="36"/>
        <w:gridCol w:w="120"/>
        <w:gridCol w:w="500"/>
        <w:gridCol w:w="187"/>
        <w:gridCol w:w="36"/>
        <w:gridCol w:w="36"/>
        <w:gridCol w:w="36"/>
        <w:gridCol w:w="120"/>
        <w:gridCol w:w="500"/>
        <w:gridCol w:w="187"/>
        <w:gridCol w:w="36"/>
        <w:gridCol w:w="36"/>
        <w:gridCol w:w="36"/>
        <w:gridCol w:w="75"/>
        <w:gridCol w:w="589"/>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611932659"/>
        </w:trPr>
        <w:tc>
          <w:tcPr>
            <w:tcW w:w="50" w:type="pct"/>
            <w:vAlign w:val="center"/>
            <w:hideMark/>
          </w:tcPr>
          <w:p w:rsidR="00000000" w:rsidRDefault="00E16B33">
            <w:pPr>
              <w:rPr>
                <w:rFonts w:eastAsia="Times New Roman"/>
              </w:rPr>
            </w:pPr>
          </w:p>
        </w:tc>
        <w:tc>
          <w:tcPr>
            <w:tcW w:w="179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9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9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gridSpan w:val="3"/>
            <w:vAlign w:val="center"/>
            <w:hideMark/>
          </w:tcPr>
          <w:p w:rsidR="00000000" w:rsidRDefault="00E16B33">
            <w:pPr>
              <w:spacing w:after="100"/>
              <w:jc w:val="center"/>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vAlign w:val="center"/>
            <w:hideMark/>
          </w:tcPr>
          <w:p w:rsidR="00000000" w:rsidRDefault="00E16B33">
            <w:pPr>
              <w:spacing w:after="100"/>
              <w:jc w:val="center"/>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1,127 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2,239 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16B33">
            <w:pPr>
              <w:spacing w:after="100"/>
              <w:jc w:val="right"/>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16B33">
            <w:pPr>
              <w:spacing w:after="100"/>
              <w:jc w:val="right"/>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shd w:val="clear" w:color="auto" w:fill="CCEEFF"/>
            <w:tcMar>
              <w:top w:w="30" w:type="dxa"/>
              <w:left w:w="20" w:type="dxa"/>
              <w:bottom w:w="30" w:type="dxa"/>
              <w:right w:w="20" w:type="dxa"/>
            </w:tcMar>
            <w:hideMark/>
          </w:tcPr>
          <w:p w:rsidR="00000000" w:rsidRDefault="00E16B33">
            <w:pPr>
              <w:spacing w:after="100"/>
              <w:divId w:val="2052340761"/>
              <w:rPr>
                <w:rFonts w:eastAsia="Times New Roman"/>
              </w:rPr>
            </w:pPr>
            <w:r>
              <w:rPr>
                <w:rFonts w:eastAsia="Times New Roman"/>
                <w:i/>
                <w:iCs/>
                <w:color w:val="000000"/>
                <w:sz w:val="20"/>
                <w:szCs w:val="20"/>
              </w:rPr>
              <w:t>Operating margin</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i/>
                <w:iCs/>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611932659"/>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divId w:val="1124228267"/>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CS revenue for the quarter ended July 1, 2022 compared with the quarter ended July 2, 2021 decreased 12% as Broadband Communications declined $69 million, due to lower volume on legacy platforms and Tactical Communications declined $66 million, primarily f</w:t>
      </w:r>
      <w:r>
        <w:rPr>
          <w:rFonts w:eastAsia="Times New Roman"/>
          <w:color w:val="000000"/>
          <w:sz w:val="20"/>
          <w:szCs w:val="20"/>
        </w:rPr>
        <w:t xml:space="preserve">rom continued supply chain disruptions arising from electronic component shortages. This was partially offset by modest growth within Public Safety from market recovery. </w:t>
      </w:r>
    </w:p>
    <w:p w:rsidR="00000000" w:rsidRDefault="00E16B33">
      <w:pPr>
        <w:ind w:firstLine="360"/>
        <w:divId w:val="699671045"/>
        <w:rPr>
          <w:rFonts w:eastAsia="Times New Roman"/>
        </w:rPr>
      </w:pPr>
      <w:r>
        <w:rPr>
          <w:rFonts w:eastAsia="Times New Roman"/>
          <w:color w:val="000000"/>
          <w:sz w:val="20"/>
          <w:szCs w:val="20"/>
        </w:rPr>
        <w:t>CS operating margin for the quarter ended July 1, 2022 compared with the quarter ende</w:t>
      </w:r>
      <w:r>
        <w:rPr>
          <w:rFonts w:eastAsia="Times New Roman"/>
          <w:color w:val="000000"/>
          <w:sz w:val="20"/>
          <w:szCs w:val="20"/>
        </w:rPr>
        <w:t>d July 2, 2021 contracted 50 basis points to 24.0% primarily due to volume and supply chain impacts, as noted in the discussion above regarding CS revenue.</w:t>
      </w:r>
    </w:p>
    <w:p w:rsidR="00000000" w:rsidRDefault="00E16B33">
      <w:pPr>
        <w:ind w:firstLine="360"/>
        <w:divId w:val="463696744"/>
        <w:rPr>
          <w:rFonts w:eastAsia="Times New Roman"/>
        </w:rPr>
      </w:pPr>
      <w:r>
        <w:rPr>
          <w:rFonts w:eastAsia="Times New Roman"/>
          <w:i/>
          <w:iCs/>
          <w:color w:val="000000"/>
          <w:sz w:val="20"/>
          <w:szCs w:val="20"/>
        </w:rPr>
        <w:t xml:space="preserve">Two Quarters Comparison: </w:t>
      </w:r>
      <w:r>
        <w:rPr>
          <w:rFonts w:eastAsia="Times New Roman"/>
          <w:color w:val="000000"/>
          <w:sz w:val="20"/>
          <w:szCs w:val="20"/>
        </w:rPr>
        <w:t>CS revenue for two quarters ended July 1, 2022 compared with two quarters e</w:t>
      </w:r>
      <w:r>
        <w:rPr>
          <w:rFonts w:eastAsia="Times New Roman"/>
          <w:color w:val="000000"/>
          <w:sz w:val="20"/>
          <w:szCs w:val="20"/>
        </w:rPr>
        <w:t>nded July 2, 2021 decreased 13%, as Broadband Communications declined $141 million, due to lower volume on legacy platforms and Tactical Communications declined $125 million, primarily from continued supply chain disruptions arising from electronic compone</w:t>
      </w:r>
      <w:r>
        <w:rPr>
          <w:rFonts w:eastAsia="Times New Roman"/>
          <w:color w:val="000000"/>
          <w:sz w:val="20"/>
          <w:szCs w:val="20"/>
        </w:rPr>
        <w:t>nt shortages, which also impacted Integrated Vision Solutions and Public Safety.</w:t>
      </w:r>
    </w:p>
    <w:p w:rsidR="00000000" w:rsidRDefault="00E16B33">
      <w:pPr>
        <w:ind w:firstLine="360"/>
        <w:divId w:val="56363719"/>
        <w:rPr>
          <w:rFonts w:eastAsia="Times New Roman"/>
        </w:rPr>
      </w:pPr>
      <w:r>
        <w:rPr>
          <w:rFonts w:eastAsia="Times New Roman"/>
          <w:color w:val="000000"/>
          <w:sz w:val="20"/>
          <w:szCs w:val="20"/>
        </w:rPr>
        <w:t>CS operating margin for two quarters ended July 1, 2022 compared with two quarters ended July 2, 2021 contracted 50 basis points to 23.9% primarily due to volume and supply ch</w:t>
      </w:r>
      <w:r>
        <w:rPr>
          <w:rFonts w:eastAsia="Times New Roman"/>
          <w:color w:val="000000"/>
          <w:sz w:val="20"/>
          <w:szCs w:val="20"/>
        </w:rPr>
        <w:t>ain impacts, as noted in the discussion above regarding CS revenue.</w:t>
      </w:r>
    </w:p>
    <w:p w:rsidR="00000000" w:rsidRDefault="00E16B33">
      <w:pPr>
        <w:divId w:val="265423816"/>
        <w:rPr>
          <w:rFonts w:eastAsia="Times New Roman"/>
        </w:rPr>
      </w:pPr>
      <w:r>
        <w:rPr>
          <w:rFonts w:eastAsia="Times New Roman"/>
          <w:b/>
          <w:bCs/>
          <w:i/>
          <w:iCs/>
          <w:color w:val="000000"/>
          <w:sz w:val="20"/>
          <w:szCs w:val="20"/>
        </w:rPr>
        <w:t>Unallocated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2549"/>
        <w:gridCol w:w="38"/>
        <w:gridCol w:w="121"/>
        <w:gridCol w:w="614"/>
        <w:gridCol w:w="36"/>
        <w:gridCol w:w="36"/>
        <w:gridCol w:w="36"/>
        <w:gridCol w:w="36"/>
        <w:gridCol w:w="120"/>
        <w:gridCol w:w="614"/>
        <w:gridCol w:w="36"/>
        <w:gridCol w:w="36"/>
        <w:gridCol w:w="36"/>
        <w:gridCol w:w="36"/>
        <w:gridCol w:w="70"/>
        <w:gridCol w:w="595"/>
        <w:gridCol w:w="187"/>
        <w:gridCol w:w="36"/>
        <w:gridCol w:w="36"/>
        <w:gridCol w:w="36"/>
        <w:gridCol w:w="121"/>
        <w:gridCol w:w="498"/>
        <w:gridCol w:w="36"/>
        <w:gridCol w:w="36"/>
        <w:gridCol w:w="36"/>
        <w:gridCol w:w="36"/>
        <w:gridCol w:w="120"/>
        <w:gridCol w:w="616"/>
        <w:gridCol w:w="36"/>
        <w:gridCol w:w="36"/>
        <w:gridCol w:w="36"/>
        <w:gridCol w:w="36"/>
        <w:gridCol w:w="70"/>
        <w:gridCol w:w="595"/>
        <w:gridCol w:w="187"/>
        <w:gridCol w:w="36"/>
        <w:gridCol w:w="36"/>
        <w:gridCol w:w="36"/>
        <w:gridCol w:w="36"/>
        <w:gridCol w:w="36"/>
        <w:gridCol w:w="36"/>
        <w:gridCol w:w="36"/>
        <w:gridCol w:w="36"/>
        <w:gridCol w:w="36"/>
        <w:gridCol w:w="36"/>
        <w:gridCol w:w="36"/>
        <w:gridCol w:w="36"/>
        <w:gridCol w:w="36"/>
      </w:tblGrid>
      <w:tr w:rsidR="00000000">
        <w:trPr>
          <w:divId w:val="1220432762"/>
        </w:trPr>
        <w:tc>
          <w:tcPr>
            <w:tcW w:w="50" w:type="pct"/>
            <w:vAlign w:val="center"/>
            <w:hideMark/>
          </w:tcPr>
          <w:p w:rsidR="00000000" w:rsidRDefault="00E16B33">
            <w:pPr>
              <w:rPr>
                <w:rFonts w:eastAsia="Times New Roman"/>
              </w:rPr>
            </w:pPr>
          </w:p>
        </w:tc>
        <w:tc>
          <w:tcPr>
            <w:tcW w:w="174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2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6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2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 Inc/(Dec)</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CCEEFF"/>
            <w:tcMar>
              <w:top w:w="30" w:type="dxa"/>
              <w:left w:w="20" w:type="dxa"/>
              <w:bottom w:w="30" w:type="dxa"/>
              <w:right w:w="20" w:type="dxa"/>
            </w:tcMar>
            <w:hideMark/>
          </w:tcPr>
          <w:p w:rsidR="00000000" w:rsidRDefault="00E16B33">
            <w:pPr>
              <w:spacing w:after="100"/>
              <w:ind w:hanging="270"/>
              <w:divId w:val="2089106849"/>
              <w:rPr>
                <w:rFonts w:eastAsia="Times New Roman"/>
              </w:rPr>
            </w:pPr>
            <w:r>
              <w:rPr>
                <w:rFonts w:eastAsia="Times New Roman"/>
                <w:color w:val="000000"/>
                <w:sz w:val="20"/>
                <w:szCs w:val="20"/>
              </w:rPr>
              <w:t>Unallocated corporate department income (expense),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FFFFFF"/>
            <w:tcMar>
              <w:top w:w="30" w:type="dxa"/>
              <w:left w:w="290" w:type="dxa"/>
              <w:bottom w:w="30" w:type="dxa"/>
              <w:right w:w="20" w:type="dxa"/>
            </w:tcMar>
            <w:hideMark/>
          </w:tcPr>
          <w:p w:rsidR="00000000" w:rsidRDefault="00E16B33">
            <w:pPr>
              <w:spacing w:after="100"/>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CCEEFF"/>
            <w:tcMar>
              <w:top w:w="30" w:type="dxa"/>
              <w:left w:w="290" w:type="dxa"/>
              <w:bottom w:w="30" w:type="dxa"/>
              <w:right w:w="20" w:type="dxa"/>
            </w:tcMar>
            <w:hideMark/>
          </w:tcPr>
          <w:p w:rsidR="00000000" w:rsidRDefault="00E16B33">
            <w:pPr>
              <w:spacing w:after="100"/>
              <w:ind w:hanging="270"/>
              <w:rPr>
                <w:rFonts w:eastAsia="Times New Roman"/>
              </w:rPr>
            </w:pPr>
            <w:r>
              <w:rPr>
                <w:rFonts w:eastAsia="Times New Roman"/>
                <w:color w:val="00000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(320)</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Other divestiture-related expenses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FAS/CAS operating adjustment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16B33">
            <w:pPr>
              <w:spacing w:after="100"/>
              <w:jc w:val="right"/>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1220432762"/>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2"/>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divId w:val="1220432762"/>
        <w:rPr>
          <w:rFonts w:eastAsia="Times New Roman"/>
        </w:rPr>
      </w:pPr>
      <w:r>
        <w:rPr>
          <w:rFonts w:eastAsia="Times New Roman"/>
          <w:color w:val="000000"/>
          <w:sz w:val="16"/>
          <w:szCs w:val="16"/>
        </w:rPr>
        <w:t>______________</w:t>
      </w:r>
    </w:p>
    <w:p w:rsidR="00000000" w:rsidRDefault="00E16B33">
      <w:pPr>
        <w:ind w:hanging="360"/>
        <w:divId w:val="272131068"/>
        <w:rPr>
          <w:rFonts w:eastAsia="Times New Roman"/>
        </w:rPr>
      </w:pPr>
      <w:r>
        <w:rPr>
          <w:rFonts w:eastAsia="Times New Roman"/>
          <w:color w:val="000000"/>
          <w:sz w:val="16"/>
          <w:szCs w:val="16"/>
        </w:rPr>
        <w:t>•Not meaningful</w:t>
      </w:r>
    </w:p>
    <w:p w:rsidR="00000000" w:rsidRDefault="00E16B33">
      <w:pPr>
        <w:ind w:hanging="360"/>
        <w:divId w:val="1835992110"/>
        <w:rPr>
          <w:rFonts w:eastAsia="Times New Roman"/>
        </w:rPr>
      </w:pPr>
      <w:r>
        <w:rPr>
          <w:rFonts w:eastAsia="Times New Roman"/>
          <w:color w:val="000000"/>
          <w:sz w:val="16"/>
          <w:szCs w:val="16"/>
        </w:rPr>
        <w:t>(1) For the quarter and two quarters ended July 1, 2022, includes $10 million of income from our deferred compensation plans and $7 million of income from sale of intellectual property. For</w:t>
      </w:r>
      <w:r>
        <w:rPr>
          <w:rFonts w:eastAsia="Times New Roman"/>
          <w:color w:val="000000"/>
          <w:sz w:val="16"/>
          <w:szCs w:val="16"/>
        </w:rPr>
        <w:t xml:space="preserve"> the quarter ended July 2, 2021 includes $8 million of loss related to our deferred compensation plans. For the two quarters ended July 2, 2021, includes a $15 million accrual for a value added tax obligation and $8 million of loss related to our deferred </w:t>
      </w:r>
      <w:r>
        <w:rPr>
          <w:rFonts w:eastAsia="Times New Roman"/>
          <w:color w:val="000000"/>
          <w:sz w:val="16"/>
          <w:szCs w:val="16"/>
        </w:rPr>
        <w:t>compensation plans.</w:t>
      </w:r>
    </w:p>
    <w:p w:rsidR="00000000" w:rsidRDefault="00E16B33">
      <w:pPr>
        <w:ind w:firstLine="360"/>
        <w:jc w:val="center"/>
        <w:divId w:val="1960530072"/>
        <w:rPr>
          <w:rFonts w:eastAsia="Times New Roman"/>
        </w:rPr>
      </w:pPr>
      <w:r>
        <w:rPr>
          <w:rFonts w:eastAsia="Times New Roman"/>
          <w:color w:val="000000"/>
          <w:sz w:val="20"/>
          <w:szCs w:val="20"/>
        </w:rPr>
        <w:t>23</w:t>
      </w:r>
    </w:p>
    <w:p w:rsidR="00000000" w:rsidRDefault="00E16B33">
      <w:pPr>
        <w:rPr>
          <w:rFonts w:eastAsia="Times New Roman"/>
        </w:rPr>
      </w:pPr>
      <w:r>
        <w:rPr>
          <w:rFonts w:eastAsia="Times New Roman"/>
        </w:rPr>
        <w:pict>
          <v:rect id="_x0000_i1050" style="width:0;height:1.5pt" o:hralign="center" o:hrstd="t" o:hr="t" fillcolor="#a0a0a0" stroked="f"/>
        </w:pict>
      </w:r>
    </w:p>
    <w:p w:rsidR="00000000" w:rsidRDefault="00E16B33">
      <w:pPr>
        <w:ind w:firstLine="360"/>
        <w:divId w:val="1863281504"/>
        <w:rPr>
          <w:rFonts w:eastAsia="Times New Roman"/>
        </w:rPr>
      </w:pPr>
    </w:p>
    <w:p w:rsidR="00000000" w:rsidRDefault="00E16B33">
      <w:pPr>
        <w:divId w:val="1978796839"/>
        <w:rPr>
          <w:rFonts w:eastAsia="Times New Roman"/>
        </w:rPr>
      </w:pPr>
      <w:r>
        <w:rPr>
          <w:rFonts w:eastAsia="Times New Roman"/>
          <w:b/>
          <w:bCs/>
          <w:color w:val="000000"/>
          <w:sz w:val="20"/>
          <w:szCs w:val="20"/>
        </w:rPr>
        <w:t>LIQUIDITY, CAPITAL RESOURCES AND FINANCIAL STRATEGIES</w:t>
      </w:r>
    </w:p>
    <w:p w:rsidR="00000000" w:rsidRDefault="00E16B33">
      <w:pPr>
        <w:divId w:val="30998957"/>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60"/>
        <w:gridCol w:w="39"/>
        <w:gridCol w:w="121"/>
        <w:gridCol w:w="1037"/>
        <w:gridCol w:w="36"/>
        <w:gridCol w:w="36"/>
        <w:gridCol w:w="36"/>
        <w:gridCol w:w="36"/>
        <w:gridCol w:w="120"/>
        <w:gridCol w:w="1037"/>
        <w:gridCol w:w="36"/>
        <w:gridCol w:w="36"/>
        <w:gridCol w:w="36"/>
      </w:tblGrid>
      <w:tr w:rsidR="00000000">
        <w:trPr>
          <w:divId w:val="30998957"/>
        </w:trPr>
        <w:tc>
          <w:tcPr>
            <w:tcW w:w="50" w:type="pct"/>
            <w:vAlign w:val="center"/>
            <w:hideMark/>
          </w:tcPr>
          <w:p w:rsidR="00000000" w:rsidRDefault="00E16B33">
            <w:pPr>
              <w:rPr>
                <w:rFonts w:eastAsia="Times New Roman"/>
              </w:rPr>
            </w:pPr>
          </w:p>
        </w:tc>
        <w:tc>
          <w:tcPr>
            <w:tcW w:w="347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r>
      <w:tr w:rsidR="00000000">
        <w:trPr>
          <w:divId w:val="30998957"/>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Net cash (used in) provided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1,307 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(1,174)</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(1,937)</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CCEEFF"/>
            <w:tcMar>
              <w:top w:w="30" w:type="dxa"/>
              <w:left w:w="290" w:type="dxa"/>
              <w:bottom w:w="30" w:type="dxa"/>
              <w:right w:w="20" w:type="dxa"/>
            </w:tcMar>
            <w:hideMark/>
          </w:tcPr>
          <w:p w:rsidR="00000000" w:rsidRDefault="00E16B33">
            <w:pPr>
              <w:spacing w:after="100"/>
              <w:ind w:hanging="270"/>
              <w:rPr>
                <w:rFonts w:eastAsia="Times New Roman"/>
              </w:rPr>
            </w:pPr>
            <w:r>
              <w:rPr>
                <w:rFonts w:eastAsia="Times New Roman"/>
                <w:color w:val="000000"/>
                <w:sz w:val="20"/>
                <w:szCs w:val="20"/>
              </w:rPr>
              <w:t>Net (decrease)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FFFFFF"/>
            <w:tcMar>
              <w:top w:w="30" w:type="dxa"/>
              <w:left w:w="290" w:type="dxa"/>
              <w:bottom w:w="30" w:type="dxa"/>
              <w:right w:w="20" w:type="dxa"/>
            </w:tcMar>
            <w:hideMark/>
          </w:tcPr>
          <w:p w:rsidR="00000000" w:rsidRDefault="00E16B33">
            <w:pPr>
              <w:spacing w:after="100"/>
              <w:ind w:hanging="270"/>
              <w:rPr>
                <w:rFonts w:eastAsia="Times New Roman"/>
              </w:rPr>
            </w:pPr>
            <w:r>
              <w:rPr>
                <w:rFonts w:eastAsia="Times New Roman"/>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30998957"/>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420 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bl>
    <w:p w:rsidR="00000000" w:rsidRDefault="00E16B33">
      <w:pPr>
        <w:ind w:firstLine="360"/>
        <w:divId w:val="1110854904"/>
        <w:rPr>
          <w:rFonts w:eastAsia="Times New Roman"/>
        </w:rPr>
      </w:pPr>
      <w:r>
        <w:rPr>
          <w:rFonts w:eastAsia="Times New Roman"/>
          <w:b/>
          <w:bCs/>
          <w:i/>
          <w:iCs/>
          <w:color w:val="000000"/>
          <w:sz w:val="20"/>
          <w:szCs w:val="20"/>
        </w:rPr>
        <w:t xml:space="preserve">Cash and cash equivalents: </w:t>
      </w:r>
      <w:r>
        <w:rPr>
          <w:rFonts w:eastAsia="Times New Roman"/>
          <w:color w:val="000000"/>
          <w:sz w:val="20"/>
          <w:szCs w:val="20"/>
        </w:rPr>
        <w:t>At July </w:t>
      </w:r>
      <w:r>
        <w:rPr>
          <w:rFonts w:eastAsia="Times New Roman"/>
          <w:color w:val="000000"/>
          <w:sz w:val="20"/>
          <w:szCs w:val="20"/>
        </w:rPr>
        <w:t>1, 2022 we had cash and cash equivalents of $420 million and we have a senior unsecured $2 billion revolving credit facility that expires in June 2024 (all of which was available to us as of July 1, 2022). Additionally, we had $7.0 billion of net long-term</w:t>
      </w:r>
      <w:r>
        <w:rPr>
          <w:rFonts w:eastAsia="Times New Roman"/>
          <w:color w:val="000000"/>
          <w:sz w:val="20"/>
          <w:szCs w:val="20"/>
        </w:rPr>
        <w:t xml:space="preserve"> debt outstanding at July 1, 2022. Our $420 million of cash and cash equivalents at July 1, 2022 included $231 million held by our foreign subsidiaries, a significant portion of which we believe can be repatriated to the U.S. with minimal tax cost.</w:t>
      </w:r>
    </w:p>
    <w:p w:rsidR="00000000" w:rsidRDefault="00E16B33">
      <w:pPr>
        <w:ind w:firstLine="360"/>
        <w:divId w:val="1593316541"/>
        <w:rPr>
          <w:rFonts w:eastAsia="Times New Roman"/>
        </w:rPr>
      </w:pPr>
      <w:r>
        <w:rPr>
          <w:rFonts w:eastAsia="Times New Roman"/>
          <w:color w:val="000000"/>
          <w:sz w:val="20"/>
          <w:szCs w:val="20"/>
        </w:rPr>
        <w:t>Given our current cash position, outlook for funds generated from operations, credit ratings, available credit facility, cash needs and debt structure, we have not experienced to date, and do not expect to experience, any material issues with liquidity, al</w:t>
      </w:r>
      <w:r>
        <w:rPr>
          <w:rFonts w:eastAsia="Times New Roman"/>
          <w:color w:val="000000"/>
          <w:sz w:val="20"/>
          <w:szCs w:val="20"/>
        </w:rPr>
        <w:t xml:space="preserve">though, we can give no assurances concerning our future liquidity, particularly in light of our overall level of debt, U.S. Government budget uncertainties and the state of global commerce and general political and financial uncertainty. We cannot predict </w:t>
      </w:r>
      <w:r>
        <w:rPr>
          <w:rFonts w:eastAsia="Times New Roman"/>
          <w:color w:val="000000"/>
          <w:sz w:val="20"/>
          <w:szCs w:val="20"/>
        </w:rPr>
        <w:t>the on-going impact that COVID, among other potential risks and uncertainties, will have on our cash from operating activities. Additionally, the provisions in the Tax Cuts and Jobs Act of 2017 require that, beginning in fiscal 2022, research and experimen</w:t>
      </w:r>
      <w:r>
        <w:rPr>
          <w:rFonts w:eastAsia="Times New Roman"/>
          <w:color w:val="000000"/>
          <w:sz w:val="20"/>
          <w:szCs w:val="20"/>
        </w:rPr>
        <w:t>tal expenditures be capitalized and amortized over five years, which we estimate will have an approximately $600 million to $700 million impact to cash from operating activities in fiscal 2022 based on the provisions currently in effect, however, there was</w:t>
      </w:r>
      <w:r>
        <w:rPr>
          <w:rFonts w:eastAsia="Times New Roman"/>
          <w:color w:val="000000"/>
          <w:sz w:val="20"/>
          <w:szCs w:val="20"/>
        </w:rPr>
        <w:t xml:space="preserve"> no impact to cash from operating activities during the first two quarters of 2022. See Item 1A. “Risk Factors” of our Fiscal 2021 Form 10-K and Part II, Item 1A. “Risk Factors” in this Report.</w:t>
      </w:r>
    </w:p>
    <w:p w:rsidR="00000000" w:rsidRDefault="00E16B33">
      <w:pPr>
        <w:ind w:firstLine="360"/>
        <w:divId w:val="348724085"/>
        <w:rPr>
          <w:rFonts w:eastAsia="Times New Roman"/>
        </w:rPr>
      </w:pPr>
      <w:r>
        <w:rPr>
          <w:rFonts w:eastAsia="Times New Roman"/>
          <w:color w:val="000000"/>
          <w:sz w:val="20"/>
          <w:szCs w:val="20"/>
        </w:rPr>
        <w:t>Based on our current business plan and revenue prospects, we b</w:t>
      </w:r>
      <w:r>
        <w:rPr>
          <w:rFonts w:eastAsia="Times New Roman"/>
          <w:color w:val="000000"/>
          <w:sz w:val="20"/>
          <w:szCs w:val="20"/>
        </w:rPr>
        <w:t xml:space="preserve">elieve that our existing cash, funds generated from operations, our credit facility and access to the public and private debt and equity markets will be sufficient to provide for our anticipated working capital requirements, capital expenditures, dividend </w:t>
      </w:r>
      <w:r>
        <w:rPr>
          <w:rFonts w:eastAsia="Times New Roman"/>
          <w:color w:val="000000"/>
          <w:sz w:val="20"/>
          <w:szCs w:val="20"/>
        </w:rPr>
        <w:t>payments, repurchases under our share repurchase program and repayments of our debt securities at maturity for the next twelve months and reasonably foreseeable future thereafter. Our total capital expenditures for fiscal 2022 are expected to be approximat</w:t>
      </w:r>
      <w:r>
        <w:rPr>
          <w:rFonts w:eastAsia="Times New Roman"/>
          <w:color w:val="000000"/>
          <w:sz w:val="20"/>
          <w:szCs w:val="20"/>
        </w:rPr>
        <w:t xml:space="preserve">ely $300 million. We anticipate tax payments in fiscal 2022 to be approximately equal to or marginally less than our tax expense for the same period, absent R&amp;D capitalization and subject to adjustment for timing differences. Other than those cash outlays </w:t>
      </w:r>
      <w:r>
        <w:rPr>
          <w:rFonts w:eastAsia="Times New Roman"/>
          <w:color w:val="000000"/>
          <w:sz w:val="20"/>
          <w:szCs w:val="20"/>
        </w:rPr>
        <w:t>noted in “Material Cash Requirements” in Item 7. Management’s Discussion and Analysis of Financial Condition and Results of Operations” in our Fiscal 2021 Form 10-K and in the “Material Cash Requirements and Commercial Commitments” section below in this MD</w:t>
      </w:r>
      <w:r>
        <w:rPr>
          <w:rFonts w:eastAsia="Times New Roman"/>
          <w:color w:val="000000"/>
          <w:sz w:val="20"/>
          <w:szCs w:val="20"/>
        </w:rPr>
        <w:t xml:space="preserve">&amp;A, capital expenditures, dividend payments and repurchases under our share repurchase program, we do not anticipate any significant cash outlays during the remainder of fiscal 2022. </w:t>
      </w:r>
    </w:p>
    <w:p w:rsidR="00000000" w:rsidRDefault="00E16B33">
      <w:pPr>
        <w:ind w:firstLine="360"/>
        <w:divId w:val="2025476805"/>
        <w:rPr>
          <w:rFonts w:eastAsia="Times New Roman"/>
        </w:rPr>
      </w:pPr>
      <w:r>
        <w:rPr>
          <w:rFonts w:eastAsia="Times New Roman"/>
          <w:color w:val="000000"/>
          <w:sz w:val="20"/>
          <w:szCs w:val="20"/>
        </w:rPr>
        <w:t>There can be no assurance that our business will continue to generate ca</w:t>
      </w:r>
      <w:r>
        <w:rPr>
          <w:rFonts w:eastAsia="Times New Roman"/>
          <w:color w:val="000000"/>
          <w:sz w:val="20"/>
          <w:szCs w:val="20"/>
        </w:rPr>
        <w:t xml:space="preserve">sh flows at current levels or that the cost or availability of future borrowings, if any, under our commercial paper program, or our credit facility or in the debt markets will not be impacted by any potential future credit or capital markets disruptions. </w:t>
      </w:r>
      <w:r>
        <w:rPr>
          <w:rFonts w:eastAsia="Times New Roman"/>
          <w:color w:val="000000"/>
          <w:sz w:val="20"/>
          <w:szCs w:val="20"/>
        </w:rPr>
        <w:t>If we are unable to maintain cash balances, generate cash flow from operations or borrow under our commercial paper program or our credit facility sufficient to service our obligations, we may be required to reduce capital expenditures, reduce or eliminate</w:t>
      </w:r>
      <w:r>
        <w:rPr>
          <w:rFonts w:eastAsia="Times New Roman"/>
          <w:color w:val="000000"/>
          <w:sz w:val="20"/>
          <w:szCs w:val="20"/>
        </w:rPr>
        <w:t xml:space="preserve"> strategic acquisitions, reduce or terminate our share repurchases, reduce or eliminate dividends, refinance all or a portion of our existing debt, obtain additional financing, or sell assets. Our ability to make principal payments or pay interest on or re</w:t>
      </w:r>
      <w:r>
        <w:rPr>
          <w:rFonts w:eastAsia="Times New Roman"/>
          <w:color w:val="000000"/>
          <w:sz w:val="20"/>
          <w:szCs w:val="20"/>
        </w:rPr>
        <w:t>finance our indebtedness depends on our future performance and financial results, which, to a certain extent, are subject to general conditions affecting the defense, government and other markets we serve and to general economic, political, financial, comp</w:t>
      </w:r>
      <w:r>
        <w:rPr>
          <w:rFonts w:eastAsia="Times New Roman"/>
          <w:color w:val="000000"/>
          <w:sz w:val="20"/>
          <w:szCs w:val="20"/>
        </w:rPr>
        <w:t>etitive, legislative and regulatory factors beyond our control.</w:t>
      </w:r>
    </w:p>
    <w:p w:rsidR="00000000" w:rsidRDefault="00E16B33">
      <w:pPr>
        <w:ind w:firstLine="360"/>
        <w:divId w:val="1968317106"/>
        <w:rPr>
          <w:rFonts w:eastAsia="Times New Roman"/>
        </w:rPr>
      </w:pPr>
      <w:r>
        <w:rPr>
          <w:rFonts w:eastAsia="Times New Roman"/>
          <w:b/>
          <w:bCs/>
          <w:i/>
          <w:iCs/>
          <w:color w:val="000000"/>
          <w:sz w:val="20"/>
          <w:szCs w:val="20"/>
        </w:rPr>
        <w:t>Net cash provided by operating activities:</w:t>
      </w:r>
      <w:r>
        <w:rPr>
          <w:rFonts w:eastAsia="Times New Roman"/>
          <w:color w:val="000000"/>
          <w:sz w:val="20"/>
          <w:szCs w:val="20"/>
        </w:rPr>
        <w:t> The $593 million decrease in net cash provided by operating activities in the two quarters ended July 1, 2022 compared with the two quarters ended Ju</w:t>
      </w:r>
      <w:r>
        <w:rPr>
          <w:rFonts w:eastAsia="Times New Roman"/>
          <w:color w:val="000000"/>
          <w:sz w:val="20"/>
          <w:szCs w:val="20"/>
        </w:rPr>
        <w:t>ly 2, 2021 was primarily due to a $320 million increase in cash used to fund working capital (i.e., accounts receivable, contract assets, inventories, accounts payable and contract liabilities), a $111 million increase in cash used to fund other accrued it</w:t>
      </w:r>
      <w:r>
        <w:rPr>
          <w:rFonts w:eastAsia="Times New Roman"/>
          <w:color w:val="000000"/>
          <w:sz w:val="20"/>
          <w:szCs w:val="20"/>
        </w:rPr>
        <w:t xml:space="preserve">ems (i.e. other expenses and accruals, payroll related taxes and warranty reserve) and the impact of $30 million of lower net income (excluding the impact of non-cash items such as depreciation and amortization, impairment of goodwill and other assets and </w:t>
      </w:r>
      <w:r>
        <w:rPr>
          <w:rFonts w:eastAsia="Times New Roman"/>
          <w:color w:val="000000"/>
          <w:sz w:val="20"/>
          <w:szCs w:val="20"/>
        </w:rPr>
        <w:t>gains related to business divestitures).</w:t>
      </w:r>
    </w:p>
    <w:p w:rsidR="00000000" w:rsidRDefault="00E16B33">
      <w:pPr>
        <w:ind w:firstLine="360"/>
        <w:jc w:val="center"/>
        <w:divId w:val="499850880"/>
        <w:rPr>
          <w:rFonts w:eastAsia="Times New Roman"/>
        </w:rPr>
      </w:pPr>
      <w:r>
        <w:rPr>
          <w:rFonts w:eastAsia="Times New Roman"/>
          <w:color w:val="000000"/>
          <w:sz w:val="20"/>
          <w:szCs w:val="20"/>
        </w:rPr>
        <w:t>24</w:t>
      </w:r>
    </w:p>
    <w:p w:rsidR="00000000" w:rsidRDefault="00E16B33">
      <w:pPr>
        <w:rPr>
          <w:rFonts w:eastAsia="Times New Roman"/>
        </w:rPr>
      </w:pPr>
      <w:r>
        <w:rPr>
          <w:rFonts w:eastAsia="Times New Roman"/>
        </w:rPr>
        <w:pict>
          <v:rect id="_x0000_i1051" style="width:0;height:1.5pt" o:hralign="center" o:hrstd="t" o:hr="t" fillcolor="#a0a0a0" stroked="f"/>
        </w:pict>
      </w:r>
    </w:p>
    <w:p w:rsidR="00000000" w:rsidRDefault="00E16B33">
      <w:pPr>
        <w:ind w:firstLine="360"/>
        <w:divId w:val="1552038334"/>
        <w:rPr>
          <w:rFonts w:eastAsia="Times New Roman"/>
        </w:rPr>
      </w:pPr>
    </w:p>
    <w:p w:rsidR="00000000" w:rsidRDefault="00E16B33">
      <w:pPr>
        <w:ind w:firstLine="360"/>
        <w:divId w:val="1991053301"/>
        <w:rPr>
          <w:rFonts w:eastAsia="Times New Roman"/>
        </w:rPr>
      </w:pPr>
      <w:r>
        <w:rPr>
          <w:rFonts w:eastAsia="Times New Roman"/>
          <w:b/>
          <w:bCs/>
          <w:i/>
          <w:iCs/>
          <w:color w:val="000000"/>
          <w:sz w:val="20"/>
          <w:szCs w:val="20"/>
        </w:rPr>
        <w:t>Net cash used in investing activities:</w:t>
      </w:r>
      <w:r>
        <w:rPr>
          <w:rFonts w:eastAsia="Times New Roman"/>
          <w:color w:val="000000"/>
          <w:sz w:val="20"/>
          <w:szCs w:val="20"/>
        </w:rPr>
        <w:t> The $1,428 million increase in net cash used in investing activities in the two quarters ended July 1, 2022 compared with the two quart</w:t>
      </w:r>
      <w:r>
        <w:rPr>
          <w:rFonts w:eastAsia="Times New Roman"/>
          <w:color w:val="000000"/>
          <w:sz w:val="20"/>
          <w:szCs w:val="20"/>
        </w:rPr>
        <w:t>ers ended July 2, 2021 was primarily due to a $1,428 million decrease in net cash proceeds from sales of businesses and a $30 million increase in cash used for equity investments, partially offset by a $18 million increase in proceeds from sale of asset gr</w:t>
      </w:r>
      <w:r>
        <w:rPr>
          <w:rFonts w:eastAsia="Times New Roman"/>
          <w:color w:val="000000"/>
          <w:sz w:val="20"/>
          <w:szCs w:val="20"/>
        </w:rPr>
        <w:t>oup, and an $11 million decrease of net cash used for additions of property, plant and equipment in fiscal 2022.</w:t>
      </w:r>
    </w:p>
    <w:p w:rsidR="00000000" w:rsidRDefault="00E16B33">
      <w:pPr>
        <w:ind w:firstLine="360"/>
        <w:divId w:val="822356894"/>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The $763 million decrease in net cash used in financing activities in the two quarters ended July 1, 202</w:t>
      </w:r>
      <w:r>
        <w:rPr>
          <w:rFonts w:eastAsia="Times New Roman"/>
          <w:color w:val="000000"/>
          <w:sz w:val="20"/>
          <w:szCs w:val="20"/>
        </w:rPr>
        <w:t>2 compared with the two quarters ended July 2, 2021 was primarily due to a $821 million decrease in cash used to repurchase our common stock under our share repurchase program, partially offset by a $36 million increase in cash used for tax withholding pay</w:t>
      </w:r>
      <w:r>
        <w:rPr>
          <w:rFonts w:eastAsia="Times New Roman"/>
          <w:color w:val="000000"/>
          <w:sz w:val="20"/>
          <w:szCs w:val="20"/>
        </w:rPr>
        <w:t>ments associated with vested share-based awards and a $19 million increase cash used to pay dividends.</w:t>
      </w:r>
    </w:p>
    <w:p w:rsidR="00000000" w:rsidRDefault="00E16B33">
      <w:pPr>
        <w:divId w:val="1461461614"/>
        <w:rPr>
          <w:rFonts w:eastAsia="Times New Roman"/>
        </w:rPr>
      </w:pPr>
      <w:r>
        <w:rPr>
          <w:rFonts w:eastAsia="Times New Roman"/>
          <w:b/>
          <w:bCs/>
          <w:color w:val="000000"/>
          <w:sz w:val="20"/>
          <w:szCs w:val="20"/>
        </w:rPr>
        <w:t>Funding of Pension Plans</w:t>
      </w:r>
    </w:p>
    <w:p w:rsidR="00000000" w:rsidRDefault="00E16B33">
      <w:pPr>
        <w:ind w:firstLine="360"/>
        <w:divId w:val="1949042815"/>
        <w:rPr>
          <w:rFonts w:eastAsia="Times New Roman"/>
        </w:rPr>
      </w:pPr>
      <w:r>
        <w:rPr>
          <w:rFonts w:eastAsia="Times New Roman"/>
          <w:color w:val="000000"/>
          <w:sz w:val="20"/>
          <w:szCs w:val="20"/>
        </w:rPr>
        <w:t>Funding requirements under applicable laws and regulations are a major consideration in making contributions to our U.S. pension</w:t>
      </w:r>
      <w:r>
        <w:rPr>
          <w:rFonts w:eastAsia="Times New Roman"/>
          <w:color w:val="000000"/>
          <w:sz w:val="20"/>
          <w:szCs w:val="20"/>
        </w:rPr>
        <w:t xml:space="preserve"> plans. Although we have significant discretion in making voluntary contributions, the Employee Retirement Income Security Act of 1974, as amended by the Pension Protection Act of 2006 and further amended by the Worker, Retiree, and Employer Recovery Act o</w:t>
      </w:r>
      <w:r>
        <w:rPr>
          <w:rFonts w:eastAsia="Times New Roman"/>
          <w:color w:val="000000"/>
          <w:sz w:val="20"/>
          <w:szCs w:val="20"/>
        </w:rPr>
        <w:t>f 2008, the Moving Ahead for Progress in the 21st Century Act (“MAP-21”), and applicable Internal Revenue Code regulations, mandate minimum funding thresholds. The Highway and Transportation Funding Act of 2014, the Bipartisan Budget Act of 2015, the Ameri</w:t>
      </w:r>
      <w:r>
        <w:rPr>
          <w:rFonts w:eastAsia="Times New Roman"/>
          <w:color w:val="000000"/>
          <w:sz w:val="20"/>
          <w:szCs w:val="20"/>
        </w:rPr>
        <w:t>can Rescue Plan Act of 2021 and the Infrastructure Investment and Jobs Act further extended the interest rate stabilization provision of MAP-21. Failure to satisfy the minimum funding thresholds could result in restrictions on our ability to amend the plan</w:t>
      </w:r>
      <w:r>
        <w:rPr>
          <w:rFonts w:eastAsia="Times New Roman"/>
          <w:color w:val="000000"/>
          <w:sz w:val="20"/>
          <w:szCs w:val="20"/>
        </w:rPr>
        <w:t>s or make benefit payments. With respect to our U.S. qualified defined benefit pension plans, we intend to contribute annually no less than the required minimum funding thresholds. As a result of prior voluntary contributions and plan performance, we are n</w:t>
      </w:r>
      <w:r>
        <w:rPr>
          <w:rFonts w:eastAsia="Times New Roman"/>
          <w:color w:val="000000"/>
          <w:sz w:val="20"/>
          <w:szCs w:val="20"/>
        </w:rPr>
        <w:t>ot required to make any contributions to our U.S. qualified defined benefit pension plans in fiscal 2022 and for several years thereafter.</w:t>
      </w:r>
    </w:p>
    <w:p w:rsidR="00000000" w:rsidRDefault="00E16B33">
      <w:pPr>
        <w:ind w:firstLine="360"/>
        <w:divId w:val="224608390"/>
        <w:rPr>
          <w:rFonts w:eastAsia="Times New Roman"/>
        </w:rPr>
      </w:pPr>
      <w:r>
        <w:rPr>
          <w:rFonts w:eastAsia="Times New Roman"/>
          <w:color w:val="000000"/>
          <w:sz w:val="20"/>
          <w:szCs w:val="20"/>
        </w:rPr>
        <w:t xml:space="preserve">Future required contributions primarily will depend on the actual annual return on assets and the discount rate used </w:t>
      </w:r>
      <w:r>
        <w:rPr>
          <w:rFonts w:eastAsia="Times New Roman"/>
          <w:color w:val="000000"/>
          <w:sz w:val="20"/>
          <w:szCs w:val="20"/>
        </w:rPr>
        <w:t>to measure the benefit obligation at the end of each year. Depending on these factors, and the resulting funded status of our pension plans, the level of future statutory required minimum contributions could be material. We had net unfunded defined benefit</w:t>
      </w:r>
      <w:r>
        <w:rPr>
          <w:rFonts w:eastAsia="Times New Roman"/>
          <w:color w:val="000000"/>
          <w:sz w:val="20"/>
          <w:szCs w:val="20"/>
        </w:rPr>
        <w:t xml:space="preserve"> plan obligations of $436 million as of July 1, 2022. See </w:t>
      </w:r>
      <w:r>
        <w:rPr>
          <w:rFonts w:eastAsia="Times New Roman"/>
          <w:i/>
          <w:iCs/>
          <w:color w:val="000000"/>
          <w:sz w:val="20"/>
          <w:szCs w:val="20"/>
        </w:rPr>
        <w:t>Note 14: “Pension and Other Postretirement Benefits”</w:t>
      </w:r>
      <w:r>
        <w:rPr>
          <w:rFonts w:eastAsia="Times New Roman"/>
          <w:color w:val="000000"/>
          <w:sz w:val="20"/>
          <w:szCs w:val="20"/>
        </w:rPr>
        <w:t xml:space="preserve"> in the Notes to Consolidated Financial Statements in our Fiscal 2021 Form 10-K and </w:t>
      </w:r>
      <w:r>
        <w:rPr>
          <w:rFonts w:eastAsia="Times New Roman"/>
          <w:i/>
          <w:iCs/>
          <w:color w:val="000000"/>
          <w:sz w:val="20"/>
          <w:szCs w:val="20"/>
        </w:rPr>
        <w:t>Note K — Postretirement Benefit Plans</w:t>
      </w:r>
      <w:r>
        <w:rPr>
          <w:rFonts w:eastAsia="Times New Roman"/>
          <w:color w:val="000000"/>
          <w:sz w:val="20"/>
          <w:szCs w:val="20"/>
        </w:rPr>
        <w:t xml:space="preserve"> in the Notes for further</w:t>
      </w:r>
      <w:r>
        <w:rPr>
          <w:rFonts w:eastAsia="Times New Roman"/>
          <w:color w:val="000000"/>
          <w:sz w:val="20"/>
          <w:szCs w:val="20"/>
        </w:rPr>
        <w:t xml:space="preserve"> information regarding our pension plans.</w:t>
      </w:r>
    </w:p>
    <w:p w:rsidR="00000000" w:rsidRDefault="00E16B33">
      <w:pPr>
        <w:divId w:val="2109235372"/>
        <w:rPr>
          <w:rFonts w:eastAsia="Times New Roman"/>
        </w:rPr>
      </w:pPr>
      <w:r>
        <w:rPr>
          <w:rFonts w:eastAsia="Times New Roman"/>
          <w:b/>
          <w:bCs/>
          <w:color w:val="000000"/>
          <w:sz w:val="20"/>
          <w:szCs w:val="20"/>
        </w:rPr>
        <w:t xml:space="preserve">Common Stock Repurchases </w:t>
      </w:r>
    </w:p>
    <w:p w:rsidR="00000000" w:rsidRDefault="00E16B33">
      <w:pPr>
        <w:ind w:firstLine="360"/>
        <w:divId w:val="1584875683"/>
        <w:rPr>
          <w:rFonts w:eastAsia="Times New Roman"/>
        </w:rPr>
      </w:pPr>
      <w:r>
        <w:rPr>
          <w:rFonts w:eastAsia="Times New Roman"/>
          <w:color w:val="000000"/>
          <w:sz w:val="20"/>
          <w:szCs w:val="20"/>
        </w:rPr>
        <w:t>During the two quarters ended July 1, 2022, we used $729 million to repurchase 3.1 million shares of our common stock under our share repurchase program at an average price per share of $2</w:t>
      </w:r>
      <w:r>
        <w:rPr>
          <w:rFonts w:eastAsia="Times New Roman"/>
          <w:color w:val="000000"/>
          <w:sz w:val="20"/>
          <w:szCs w:val="20"/>
        </w:rPr>
        <w:t>34.77, including commissions of $0.02 per share. During the two quarters ended July 2, 2021, we used $1.55 billion to repurchase 7.7 million shares of our common stock under our share repurchase program at an average price per share of $201.52, including c</w:t>
      </w:r>
      <w:r>
        <w:rPr>
          <w:rFonts w:eastAsia="Times New Roman"/>
          <w:color w:val="000000"/>
          <w:sz w:val="20"/>
          <w:szCs w:val="20"/>
        </w:rPr>
        <w:t xml:space="preserve">ommissions of $0.02 per share. During the two quarters ended July 1, 2022 and July 2, 2021, $38 million and $2 million, respectively, in shares of our common stock were delivered to us or withheld by us to satisfy withholding taxes on employee share-based </w:t>
      </w:r>
      <w:r>
        <w:rPr>
          <w:rFonts w:eastAsia="Times New Roman"/>
          <w:color w:val="000000"/>
          <w:sz w:val="20"/>
          <w:szCs w:val="20"/>
        </w:rPr>
        <w:t xml:space="preserve">awards. Shares repurchased by us are cancelled and retired. </w:t>
      </w:r>
    </w:p>
    <w:p w:rsidR="00000000" w:rsidRDefault="00E16B33">
      <w:pPr>
        <w:ind w:firstLine="360"/>
        <w:divId w:val="569080003"/>
        <w:rPr>
          <w:rFonts w:eastAsia="Times New Roman"/>
        </w:rPr>
      </w:pPr>
      <w:r>
        <w:rPr>
          <w:rFonts w:eastAsia="Times New Roman"/>
          <w:color w:val="000000"/>
          <w:sz w:val="20"/>
          <w:szCs w:val="20"/>
        </w:rPr>
        <w:t>On January 28, 2021, we announced that our Board of Directors approved a new $6 billion share repurchase authorization under our share repurchase program that was in addition to the remaining unu</w:t>
      </w:r>
      <w:r>
        <w:rPr>
          <w:rFonts w:eastAsia="Times New Roman"/>
          <w:color w:val="000000"/>
          <w:sz w:val="20"/>
          <w:szCs w:val="20"/>
        </w:rPr>
        <w:t>sed authorization of $210 million at January 1, 2021, under our prior share repurchase program, for a total unused authorization of $6.2 billion. Our share repurchase program does not have a stated expiration. At July 1, 2022, we had a remaining unused aut</w:t>
      </w:r>
      <w:r>
        <w:rPr>
          <w:rFonts w:eastAsia="Times New Roman"/>
          <w:color w:val="000000"/>
          <w:sz w:val="20"/>
          <w:szCs w:val="20"/>
        </w:rPr>
        <w:t>horization under our share repurchase program of $1.8 billion. Repurchases under our share repurchase program may be made through open-market transactions, private transactions, transactions structured through investment banking institutions or any combina</w:t>
      </w:r>
      <w:r>
        <w:rPr>
          <w:rFonts w:eastAsia="Times New Roman"/>
          <w:color w:val="000000"/>
          <w:sz w:val="20"/>
          <w:szCs w:val="20"/>
        </w:rPr>
        <w:t>tion thereof. The level of our repurchases depends on a number of factors, including our financial condition, capital requirements, cash flows, results of operations, future business prospects and other factors our Board and management may deem relevant. T</w:t>
      </w:r>
      <w:r>
        <w:rPr>
          <w:rFonts w:eastAsia="Times New Roman"/>
          <w:color w:val="000000"/>
          <w:sz w:val="20"/>
          <w:szCs w:val="20"/>
        </w:rPr>
        <w:t>he timing, volume and nature of repurchases are subject to market conditions, applicable securities laws and other factors and are at our discretion and may be suspended or discontinued at any time. Additional information regarding our current share repurc</w:t>
      </w:r>
      <w:r>
        <w:rPr>
          <w:rFonts w:eastAsia="Times New Roman"/>
          <w:color w:val="000000"/>
          <w:sz w:val="20"/>
          <w:szCs w:val="20"/>
        </w:rPr>
        <w:t>hase program is set forth in this Report under Part II, Item 2. “Unregistered Sales of Equity Securities and Use of Proceeds.”</w:t>
      </w:r>
    </w:p>
    <w:p w:rsidR="00000000" w:rsidRDefault="00E16B33">
      <w:pPr>
        <w:divId w:val="1863936986"/>
        <w:rPr>
          <w:rFonts w:eastAsia="Times New Roman"/>
        </w:rPr>
      </w:pPr>
      <w:r>
        <w:rPr>
          <w:rFonts w:eastAsia="Times New Roman"/>
          <w:b/>
          <w:bCs/>
          <w:color w:val="000000"/>
          <w:sz w:val="20"/>
          <w:szCs w:val="20"/>
        </w:rPr>
        <w:t>Dividends</w:t>
      </w:r>
    </w:p>
    <w:p w:rsidR="00000000" w:rsidRDefault="00E16B33">
      <w:pPr>
        <w:ind w:firstLine="360"/>
        <w:divId w:val="785270526"/>
        <w:rPr>
          <w:rFonts w:eastAsia="Times New Roman"/>
        </w:rPr>
      </w:pPr>
      <w:r>
        <w:rPr>
          <w:rFonts w:eastAsia="Times New Roman"/>
          <w:color w:val="000000"/>
          <w:sz w:val="20"/>
          <w:szCs w:val="20"/>
        </w:rPr>
        <w:t>On February 25, 2022, our Board of Directors increased the quarterly per share cash dividend rate on our common stock f</w:t>
      </w:r>
      <w:r>
        <w:rPr>
          <w:rFonts w:eastAsia="Times New Roman"/>
          <w:color w:val="000000"/>
          <w:sz w:val="20"/>
          <w:szCs w:val="20"/>
        </w:rPr>
        <w:t>rom $1.02 to $1.12,</w:t>
      </w:r>
      <w:r>
        <w:rPr>
          <w:rFonts w:eastAsia="Times New Roman"/>
          <w:color w:val="FF0000"/>
          <w:sz w:val="20"/>
          <w:szCs w:val="20"/>
        </w:rPr>
        <w:t xml:space="preserve"> </w:t>
      </w:r>
      <w:r>
        <w:rPr>
          <w:rFonts w:eastAsia="Times New Roman"/>
          <w:color w:val="000000"/>
          <w:sz w:val="20"/>
          <w:szCs w:val="20"/>
        </w:rPr>
        <w:t>commencing with the dividend declared by our Board of Directors for the first quarter of fiscal 2022, for an annualized per share cash dividend rate</w:t>
      </w:r>
      <w:r>
        <w:rPr>
          <w:rFonts w:eastAsia="Times New Roman"/>
          <w:color w:val="FF0000"/>
          <w:sz w:val="20"/>
          <w:szCs w:val="20"/>
        </w:rPr>
        <w:t xml:space="preserve"> </w:t>
      </w:r>
      <w:r>
        <w:rPr>
          <w:rFonts w:eastAsia="Times New Roman"/>
          <w:color w:val="000000"/>
          <w:sz w:val="20"/>
          <w:szCs w:val="20"/>
        </w:rPr>
        <w:t>of $4.48, which was our twenty-first consecutive annual increase in our quarterly cash dividend rate. Quarterly cash dividends are typically paid in March, June, September and December. We paid $435 million in cash dividends during the two quarters ended J</w:t>
      </w:r>
      <w:r>
        <w:rPr>
          <w:rFonts w:eastAsia="Times New Roman"/>
          <w:color w:val="000000"/>
          <w:sz w:val="20"/>
          <w:szCs w:val="20"/>
        </w:rPr>
        <w:t>uly 1, 2022. We currently expect that cash dividends will continue to be paid in the near future, but we can give no assurances concerning payment of future dividends or future dividend increases</w:t>
      </w:r>
      <w:r>
        <w:rPr>
          <w:rFonts w:eastAsia="Times New Roman"/>
          <w:color w:val="FF0000"/>
          <w:sz w:val="20"/>
          <w:szCs w:val="20"/>
        </w:rPr>
        <w:t xml:space="preserve">. </w:t>
      </w:r>
      <w:r>
        <w:rPr>
          <w:rFonts w:eastAsia="Times New Roman"/>
          <w:color w:val="000000"/>
          <w:sz w:val="20"/>
          <w:szCs w:val="20"/>
        </w:rPr>
        <w:t xml:space="preserve">The declaration </w:t>
      </w:r>
    </w:p>
    <w:p w:rsidR="00000000" w:rsidRDefault="00E16B33">
      <w:pPr>
        <w:ind w:firstLine="360"/>
        <w:jc w:val="center"/>
        <w:divId w:val="143737277"/>
        <w:rPr>
          <w:rFonts w:eastAsia="Times New Roman"/>
        </w:rPr>
      </w:pPr>
      <w:r>
        <w:rPr>
          <w:rFonts w:eastAsia="Times New Roman"/>
          <w:color w:val="000000"/>
          <w:sz w:val="20"/>
          <w:szCs w:val="20"/>
        </w:rPr>
        <w:t>25</w:t>
      </w:r>
    </w:p>
    <w:p w:rsidR="00000000" w:rsidRDefault="00E16B33">
      <w:pPr>
        <w:rPr>
          <w:rFonts w:eastAsia="Times New Roman"/>
        </w:rPr>
      </w:pPr>
      <w:r>
        <w:rPr>
          <w:rFonts w:eastAsia="Times New Roman"/>
        </w:rPr>
        <w:pict>
          <v:rect id="_x0000_i1052" style="width:0;height:1.5pt" o:hralign="center" o:hrstd="t" o:hr="t" fillcolor="#a0a0a0" stroked="f"/>
        </w:pict>
      </w:r>
    </w:p>
    <w:p w:rsidR="00000000" w:rsidRDefault="00E16B33">
      <w:pPr>
        <w:ind w:firstLine="360"/>
        <w:divId w:val="361593627"/>
        <w:rPr>
          <w:rFonts w:eastAsia="Times New Roman"/>
        </w:rPr>
      </w:pPr>
    </w:p>
    <w:p w:rsidR="00000000" w:rsidRDefault="00E16B33">
      <w:pPr>
        <w:divId w:val="1886524946"/>
        <w:rPr>
          <w:rFonts w:eastAsia="Times New Roman"/>
        </w:rPr>
      </w:pPr>
      <w:r>
        <w:rPr>
          <w:rFonts w:eastAsia="Times New Roman"/>
          <w:color w:val="000000"/>
          <w:sz w:val="20"/>
          <w:szCs w:val="20"/>
        </w:rPr>
        <w:t>of dividends and the amount thereof will depend on a number of factors, including our financial condition, capital requirements, cash flows, results of operations, future business prospects and other factors our Board of Directors may deem relevant.</w:t>
      </w:r>
    </w:p>
    <w:p w:rsidR="00000000" w:rsidRDefault="00E16B33">
      <w:pPr>
        <w:divId w:val="750855764"/>
        <w:rPr>
          <w:rFonts w:eastAsia="Times New Roman"/>
        </w:rPr>
      </w:pPr>
      <w:r>
        <w:rPr>
          <w:rFonts w:eastAsia="Times New Roman"/>
          <w:b/>
          <w:bCs/>
          <w:color w:val="000000"/>
          <w:sz w:val="20"/>
          <w:szCs w:val="20"/>
        </w:rPr>
        <w:t>Capita</w:t>
      </w:r>
      <w:r>
        <w:rPr>
          <w:rFonts w:eastAsia="Times New Roman"/>
          <w:b/>
          <w:bCs/>
          <w:color w:val="000000"/>
          <w:sz w:val="20"/>
          <w:szCs w:val="20"/>
        </w:rPr>
        <w:t>l Structure and Resources</w:t>
      </w:r>
    </w:p>
    <w:p w:rsidR="00000000" w:rsidRDefault="00E16B33">
      <w:pPr>
        <w:ind w:firstLine="360"/>
        <w:divId w:val="177933737"/>
        <w:rPr>
          <w:rFonts w:eastAsia="Times New Roman"/>
        </w:rPr>
      </w:pPr>
      <w:r>
        <w:rPr>
          <w:rFonts w:eastAsia="Times New Roman"/>
          <w:b/>
          <w:bCs/>
          <w:i/>
          <w:iCs/>
          <w:color w:val="000000"/>
          <w:sz w:val="20"/>
          <w:szCs w:val="20"/>
        </w:rPr>
        <w:t>2019 Credit Agreement:</w:t>
      </w:r>
      <w:r>
        <w:rPr>
          <w:rFonts w:eastAsia="Times New Roman"/>
          <w:color w:val="000000"/>
          <w:sz w:val="20"/>
          <w:szCs w:val="20"/>
        </w:rPr>
        <w:t> We have a $2 billion, 5-year senior unsecured revolving credit facility (the “2019 Credit Facility”) under a Revolving Credit Agreement (as amended, the “2019 Credit Agreement”) entered into on June 28, 2019</w:t>
      </w:r>
      <w:r>
        <w:rPr>
          <w:rFonts w:eastAsia="Times New Roman"/>
          <w:color w:val="000000"/>
          <w:sz w:val="20"/>
          <w:szCs w:val="20"/>
        </w:rPr>
        <w:t xml:space="preserve"> with a syndicate of lenders. For a description of the 2019 Credit Facility and the 2019 Credit Agreement, see </w:t>
      </w:r>
      <w:r>
        <w:rPr>
          <w:rFonts w:eastAsia="Times New Roman"/>
          <w:i/>
          <w:iCs/>
          <w:color w:val="000000"/>
          <w:sz w:val="20"/>
          <w:szCs w:val="20"/>
        </w:rPr>
        <w:t>Note 12: “Credit Arrangements”</w:t>
      </w:r>
      <w:r>
        <w:rPr>
          <w:rFonts w:eastAsia="Times New Roman"/>
          <w:color w:val="000000"/>
          <w:sz w:val="20"/>
          <w:szCs w:val="20"/>
        </w:rPr>
        <w:t xml:space="preserve"> in the Notes to Consolidated Financial Statements in our Fiscal 2021 Form 10-K.</w:t>
      </w:r>
    </w:p>
    <w:p w:rsidR="00000000" w:rsidRDefault="00E16B33">
      <w:pPr>
        <w:ind w:firstLine="360"/>
        <w:divId w:val="627512153"/>
        <w:rPr>
          <w:rFonts w:eastAsia="Times New Roman"/>
        </w:rPr>
      </w:pPr>
      <w:r>
        <w:rPr>
          <w:rFonts w:eastAsia="Times New Roman"/>
          <w:color w:val="000000"/>
          <w:sz w:val="20"/>
          <w:szCs w:val="20"/>
        </w:rPr>
        <w:t>We were in compliance with the cov</w:t>
      </w:r>
      <w:r>
        <w:rPr>
          <w:rFonts w:eastAsia="Times New Roman"/>
          <w:color w:val="000000"/>
          <w:sz w:val="20"/>
          <w:szCs w:val="20"/>
        </w:rPr>
        <w:t>enants in the 2019 Credit Agreement at July 1, 2022, including the covenant requiring that we not permit our ratio of consolidated total indebtedness to total capital, each as defined in the 2019 Credit Agreement, to be greater than 0.65 to 1.00. At July 1</w:t>
      </w:r>
      <w:r>
        <w:rPr>
          <w:rFonts w:eastAsia="Times New Roman"/>
          <w:color w:val="000000"/>
          <w:sz w:val="20"/>
          <w:szCs w:val="20"/>
        </w:rPr>
        <w:t>, 2022, we had no borrowings outstanding under the 2019 Credit Agreement.</w:t>
      </w:r>
    </w:p>
    <w:p w:rsidR="00000000" w:rsidRDefault="00E16B33">
      <w:pPr>
        <w:ind w:firstLine="360"/>
        <w:divId w:val="1472553525"/>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13: “Debt”</w:t>
      </w:r>
      <w:r>
        <w:rPr>
          <w:rFonts w:eastAsia="Times New Roman"/>
          <w:color w:val="000000"/>
          <w:sz w:val="20"/>
          <w:szCs w:val="20"/>
        </w:rPr>
        <w:t xml:space="preserve"> in the Notes to Consolidated Financial Statements in our Fiscal 2021 Form 10</w:t>
      </w:r>
      <w:r>
        <w:rPr>
          <w:rFonts w:eastAsia="Times New Roman"/>
          <w:color w:val="000000"/>
          <w:sz w:val="20"/>
          <w:szCs w:val="20"/>
        </w:rPr>
        <w:t>-K.</w:t>
      </w:r>
    </w:p>
    <w:p w:rsidR="00000000" w:rsidRDefault="00E16B33">
      <w:pPr>
        <w:ind w:firstLine="360"/>
        <w:divId w:val="872962252"/>
        <w:rPr>
          <w:rFonts w:eastAsia="Times New Roman"/>
        </w:rPr>
      </w:pPr>
      <w:r>
        <w:rPr>
          <w:rFonts w:eastAsia="Times New Roman"/>
          <w:b/>
          <w:bCs/>
          <w:i/>
          <w:iCs/>
          <w:color w:val="000000"/>
          <w:sz w:val="20"/>
          <w:szCs w:val="20"/>
        </w:rPr>
        <w:t>Short-Term Debt:</w:t>
      </w:r>
      <w:r>
        <w:rPr>
          <w:rFonts w:eastAsia="Times New Roman"/>
          <w:color w:val="000000"/>
          <w:sz w:val="20"/>
          <w:szCs w:val="20"/>
        </w:rPr>
        <w:t xml:space="preserve"> Our short-term debt was $2 million at July 1, 2022 and $2 million at December 31, 2021, consisting of local borrowing by international subsidiaries for working capital needs. </w:t>
      </w:r>
    </w:p>
    <w:p w:rsidR="00000000" w:rsidRDefault="00E16B33">
      <w:pPr>
        <w:ind w:firstLine="360"/>
        <w:divId w:val="602766190"/>
        <w:rPr>
          <w:rFonts w:eastAsia="Times New Roman"/>
        </w:rPr>
      </w:pPr>
      <w:r>
        <w:rPr>
          <w:rFonts w:eastAsia="Times New Roman"/>
          <w:b/>
          <w:bCs/>
          <w:i/>
          <w:iCs/>
          <w:color w:val="000000"/>
          <w:sz w:val="20"/>
          <w:szCs w:val="20"/>
        </w:rPr>
        <w:t>Other Agreements:</w:t>
      </w:r>
      <w:r>
        <w:rPr>
          <w:rFonts w:eastAsia="Times New Roman"/>
          <w:color w:val="000000"/>
          <w:sz w:val="20"/>
          <w:szCs w:val="20"/>
        </w:rPr>
        <w:t xml:space="preserve"> We have two RSAs with two separate third-</w:t>
      </w:r>
      <w:r>
        <w:rPr>
          <w:rFonts w:eastAsia="Times New Roman"/>
          <w:color w:val="000000"/>
          <w:sz w:val="20"/>
          <w:szCs w:val="20"/>
        </w:rPr>
        <w:t>party financial institutions that permit us to sell, on a non-recourse basis, up to an aggregate of $100 million of outstanding receivables at any given time. From time to time, we have sold certain customer receivables under the RSAs, which we continue to</w:t>
      </w:r>
      <w:r>
        <w:rPr>
          <w:rFonts w:eastAsia="Times New Roman"/>
          <w:color w:val="000000"/>
          <w:sz w:val="20"/>
          <w:szCs w:val="20"/>
        </w:rPr>
        <w:t xml:space="preserve"> service and collect on behalf of the third-party financial institution and we account for as sales of receivables with sale proceeds included in net cash from operating activities. We did not have outstanding accounts receivable sold pursuant to the RSAs </w:t>
      </w:r>
      <w:r>
        <w:rPr>
          <w:rFonts w:eastAsia="Times New Roman"/>
          <w:color w:val="000000"/>
          <w:sz w:val="20"/>
          <w:szCs w:val="20"/>
        </w:rPr>
        <w:t>at July 1, 2022. Outstanding accounts receivable sold pursuant to the RSAs were $99.9 million at December 31, 2021, with net cash proceeds of $99.8 million.</w:t>
      </w:r>
    </w:p>
    <w:p w:rsidR="00000000" w:rsidRDefault="00E16B33">
      <w:pPr>
        <w:divId w:val="1399858922"/>
        <w:rPr>
          <w:rFonts w:eastAsia="Times New Roman"/>
        </w:rPr>
      </w:pPr>
      <w:r>
        <w:rPr>
          <w:rFonts w:eastAsia="Times New Roman"/>
          <w:b/>
          <w:bCs/>
          <w:color w:val="000000"/>
          <w:sz w:val="20"/>
          <w:szCs w:val="20"/>
        </w:rPr>
        <w:t xml:space="preserve">Material Cash Requirements and Commercial Commitments </w:t>
      </w:r>
    </w:p>
    <w:p w:rsidR="00000000" w:rsidRDefault="00E16B33">
      <w:pPr>
        <w:ind w:firstLine="360"/>
        <w:divId w:val="1950968272"/>
        <w:rPr>
          <w:rFonts w:eastAsia="Times New Roman"/>
        </w:rPr>
      </w:pPr>
      <w:r>
        <w:rPr>
          <w:rFonts w:eastAsia="Times New Roman"/>
          <w:color w:val="000000"/>
          <w:sz w:val="20"/>
          <w:szCs w:val="20"/>
        </w:rPr>
        <w:t>The amounts disclosed in our Fiscal 2021 Form 10-K include our material cash requirements and commercial commitments. There were no material changes during the two quarters ended July 1, 2022 in our ma</w:t>
      </w:r>
      <w:r>
        <w:rPr>
          <w:rFonts w:eastAsia="Times New Roman"/>
          <w:color w:val="000000"/>
          <w:sz w:val="20"/>
          <w:szCs w:val="20"/>
        </w:rPr>
        <w:t>terial cash requirements from contractual cash obligations to repay debt, to purchase goods and services, to make payments under operating leases or our commercial commitments, or in our contingent liabilities on outstanding surety bonds, standby letters o</w:t>
      </w:r>
      <w:r>
        <w:rPr>
          <w:rFonts w:eastAsia="Times New Roman"/>
          <w:color w:val="000000"/>
          <w:sz w:val="20"/>
          <w:szCs w:val="20"/>
        </w:rPr>
        <w:t>f credit or other arrangements as disclosed in our Fiscal 2021 Form 10-K.</w:t>
      </w:r>
    </w:p>
    <w:p w:rsidR="00000000" w:rsidRDefault="00E16B33">
      <w:pPr>
        <w:divId w:val="1733695466"/>
        <w:rPr>
          <w:rFonts w:eastAsia="Times New Roman"/>
        </w:rPr>
      </w:pPr>
      <w:r>
        <w:rPr>
          <w:rFonts w:eastAsia="Times New Roman"/>
          <w:b/>
          <w:bCs/>
          <w:color w:val="000000"/>
          <w:sz w:val="20"/>
          <w:szCs w:val="20"/>
        </w:rPr>
        <w:t>CRITICAL ACCOUNTING POLICIES AND ESTIMATES</w:t>
      </w:r>
    </w:p>
    <w:p w:rsidR="00000000" w:rsidRDefault="00E16B33">
      <w:pPr>
        <w:ind w:firstLine="360"/>
        <w:divId w:val="105665462"/>
        <w:rPr>
          <w:rFonts w:eastAsia="Times New Roman"/>
        </w:rPr>
      </w:pPr>
      <w:r>
        <w:rPr>
          <w:rFonts w:eastAsia="Times New Roman"/>
          <w:color w:val="000000"/>
          <w:sz w:val="20"/>
          <w:szCs w:val="20"/>
        </w:rPr>
        <w:t>Our Condensed Consolidated Financial Statements (Unaudited) and accompanying Notes are prepared in accordance with GAAP. Preparing financia</w:t>
      </w:r>
      <w:r>
        <w:rPr>
          <w:rFonts w:eastAsia="Times New Roman"/>
          <w:color w:val="000000"/>
          <w:sz w:val="20"/>
          <w:szCs w:val="20"/>
        </w:rPr>
        <w:t>l statements requires us to make estimates and assumptions that affect the reported amounts of assets, liabilities, revenue, expenses and backlog as well as disclosures of contingent assets and liabilities. Actual results may differ from our estimates. The</w:t>
      </w:r>
      <w:r>
        <w:rPr>
          <w:rFonts w:eastAsia="Times New Roman"/>
          <w:color w:val="000000"/>
          <w:sz w:val="20"/>
          <w:szCs w:val="20"/>
        </w:rPr>
        <w:t>se estimates and assumptions are affected by the application of our accounting policies. Critical accounting policies and estimates are those that require application of management’s most difficult, subjective or complex judgments, often as a result of mat</w:t>
      </w:r>
      <w:r>
        <w:rPr>
          <w:rFonts w:eastAsia="Times New Roman"/>
          <w:color w:val="000000"/>
          <w:sz w:val="20"/>
          <w:szCs w:val="20"/>
        </w:rPr>
        <w:t xml:space="preserve">ters that are inherently uncertain and may change in subsequent periods. Critical accounting policies and estimates for us include: (i) revenue recognition on contracts and contract estimates; (ii) postretirement benefit plans; (iii) impairment testing of </w:t>
      </w:r>
      <w:r>
        <w:rPr>
          <w:rFonts w:eastAsia="Times New Roman"/>
          <w:color w:val="000000"/>
          <w:sz w:val="20"/>
          <w:szCs w:val="20"/>
        </w:rPr>
        <w:t>goodwill; (iv) accounting for business combinations; and (v) income taxes and tax valuation allowances. For additional discussion of our critical accounting policies and estimates, see “Critical Accounting Policies and Estimates” in Item 7. “Management’s D</w:t>
      </w:r>
      <w:r>
        <w:rPr>
          <w:rFonts w:eastAsia="Times New Roman"/>
          <w:color w:val="000000"/>
          <w:sz w:val="20"/>
          <w:szCs w:val="20"/>
        </w:rPr>
        <w:t>iscussion and Analysis of Financial Condition and Results of Operations” in our Fiscal 2021 Form 10-K.</w:t>
      </w:r>
    </w:p>
    <w:p w:rsidR="00000000" w:rsidRDefault="00E16B33">
      <w:pPr>
        <w:divId w:val="2075348463"/>
        <w:rPr>
          <w:rFonts w:eastAsia="Times New Roman"/>
        </w:rPr>
      </w:pPr>
      <w:r>
        <w:rPr>
          <w:rFonts w:eastAsia="Times New Roman"/>
          <w:b/>
          <w:bCs/>
          <w:color w:val="000000"/>
          <w:sz w:val="20"/>
          <w:szCs w:val="20"/>
        </w:rPr>
        <w:t>Revenue Recognition</w:t>
      </w:r>
    </w:p>
    <w:p w:rsidR="00000000" w:rsidRDefault="00E16B33">
      <w:pPr>
        <w:ind w:firstLine="360"/>
        <w:divId w:val="1558398952"/>
        <w:rPr>
          <w:rFonts w:eastAsia="Times New Roman"/>
        </w:rPr>
      </w:pPr>
      <w:r>
        <w:rPr>
          <w:rFonts w:eastAsia="Times New Roman"/>
          <w:color w:val="000000"/>
          <w:sz w:val="20"/>
          <w:szCs w:val="20"/>
        </w:rPr>
        <w:t>A significant portion of our business is derived from development and production contracts. Revenue and profit related to development</w:t>
      </w:r>
      <w:r>
        <w:rPr>
          <w:rFonts w:eastAsia="Times New Roman"/>
          <w:color w:val="000000"/>
          <w:sz w:val="20"/>
          <w:szCs w:val="20"/>
        </w:rPr>
        <w:t xml:space="preserve"> and production contracts are generally recognized over time, typically using the POC cost-to-cost method of revenue recognition, whereby we measure our progress towards completion of the performance obligation based on the ratio of costs incurred to date </w:t>
      </w:r>
      <w:r>
        <w:rPr>
          <w:rFonts w:eastAsia="Times New Roman"/>
          <w:color w:val="000000"/>
          <w:sz w:val="20"/>
          <w:szCs w:val="20"/>
        </w:rPr>
        <w:t>to estimated costs at completion under the contract. Because costs incurred represent work performed, we believe this method best depicts the transfer of control of the asset to the customer. Under the POC cost-to-cost method of revenue recognition, a sing</w:t>
      </w:r>
      <w:r>
        <w:rPr>
          <w:rFonts w:eastAsia="Times New Roman"/>
          <w:color w:val="000000"/>
          <w:sz w:val="20"/>
          <w:szCs w:val="20"/>
        </w:rPr>
        <w:t>le estimated profit margin is used to recognize profit for each performance obligation over its period of performance. Recognition of profit on a contract requires estimates of the total cost at completion and transaction price and the measurement of progr</w:t>
      </w:r>
      <w:r>
        <w:rPr>
          <w:rFonts w:eastAsia="Times New Roman"/>
          <w:color w:val="000000"/>
          <w:sz w:val="20"/>
          <w:szCs w:val="20"/>
        </w:rPr>
        <w:t>ess towards completion. Due to the long-term nature of many of our contracts, developing the estimated total cost at completion and total transaction price often requires judgment. Factors that must be considered in estimating the cost of the work to be co</w:t>
      </w:r>
      <w:r>
        <w:rPr>
          <w:rFonts w:eastAsia="Times New Roman"/>
          <w:color w:val="000000"/>
          <w:sz w:val="20"/>
          <w:szCs w:val="20"/>
        </w:rPr>
        <w:t>mpleted include: the nature and complexity of the work to be performed, subcontractor performance and the risk and impact of delayed performance. Factors that must be considered in estimating the total transaction price include contractual cost or performa</w:t>
      </w:r>
      <w:r>
        <w:rPr>
          <w:rFonts w:eastAsia="Times New Roman"/>
          <w:color w:val="000000"/>
          <w:sz w:val="20"/>
          <w:szCs w:val="20"/>
        </w:rPr>
        <w:t xml:space="preserve">nce incentives (such as incentive fees, award fees and penalties) and other forms of variable consideration as well as our historical experience and our expectation for performance on the contract. These variable amounts </w:t>
      </w:r>
    </w:p>
    <w:p w:rsidR="00000000" w:rsidRDefault="00E16B33">
      <w:pPr>
        <w:ind w:firstLine="360"/>
        <w:jc w:val="center"/>
        <w:divId w:val="746418010"/>
        <w:rPr>
          <w:rFonts w:eastAsia="Times New Roman"/>
        </w:rPr>
      </w:pPr>
      <w:r>
        <w:rPr>
          <w:rFonts w:eastAsia="Times New Roman"/>
          <w:color w:val="000000"/>
          <w:sz w:val="20"/>
          <w:szCs w:val="20"/>
        </w:rPr>
        <w:t>26</w:t>
      </w:r>
    </w:p>
    <w:p w:rsidR="00000000" w:rsidRDefault="00E16B33">
      <w:pPr>
        <w:rPr>
          <w:rFonts w:eastAsia="Times New Roman"/>
        </w:rPr>
      </w:pPr>
      <w:r>
        <w:rPr>
          <w:rFonts w:eastAsia="Times New Roman"/>
        </w:rPr>
        <w:pict>
          <v:rect id="_x0000_i1053" style="width:0;height:1.5pt" o:hralign="center" o:hrstd="t" o:hr="t" fillcolor="#a0a0a0" stroked="f"/>
        </w:pict>
      </w:r>
    </w:p>
    <w:p w:rsidR="00000000" w:rsidRDefault="00E16B33">
      <w:pPr>
        <w:ind w:firstLine="360"/>
        <w:divId w:val="1972710393"/>
        <w:rPr>
          <w:rFonts w:eastAsia="Times New Roman"/>
        </w:rPr>
      </w:pPr>
    </w:p>
    <w:p w:rsidR="00000000" w:rsidRDefault="00E16B33">
      <w:pPr>
        <w:divId w:val="1931892779"/>
        <w:rPr>
          <w:rFonts w:eastAsia="Times New Roman"/>
        </w:rPr>
      </w:pPr>
      <w:r>
        <w:rPr>
          <w:rFonts w:eastAsia="Times New Roman"/>
          <w:color w:val="000000"/>
          <w:sz w:val="20"/>
          <w:szCs w:val="20"/>
        </w:rPr>
        <w:t xml:space="preserve">generally are awarded upon achievement of certain negotiated performance metrics, program milestones or cost targets and can be based upon customer discretion. We include such estimated amounts in the transaction price to the extent it is probable </w:t>
      </w:r>
      <w:r>
        <w:rPr>
          <w:rFonts w:eastAsia="Times New Roman"/>
          <w:color w:val="000000"/>
          <w:sz w:val="20"/>
          <w:szCs w:val="20"/>
        </w:rPr>
        <w:t>that a significant reversal of cumulative revenue recognized will not occur when the uncertainty associated with the variable consideration is resolved.</w:t>
      </w:r>
    </w:p>
    <w:p w:rsidR="00000000" w:rsidRDefault="00E16B33">
      <w:pPr>
        <w:ind w:firstLine="360"/>
        <w:divId w:val="336805931"/>
        <w:rPr>
          <w:rFonts w:eastAsia="Times New Roman"/>
        </w:rPr>
      </w:pPr>
      <w:r>
        <w:rPr>
          <w:rFonts w:eastAsia="Times New Roman"/>
          <w:color w:val="000000"/>
          <w:sz w:val="20"/>
          <w:szCs w:val="20"/>
        </w:rPr>
        <w:t xml:space="preserve">At the outset of each contract, we gauge its complexity and perceived risks and establish an estimated </w:t>
      </w:r>
      <w:r>
        <w:rPr>
          <w:rFonts w:eastAsia="Times New Roman"/>
          <w:color w:val="000000"/>
          <w:sz w:val="20"/>
          <w:szCs w:val="20"/>
        </w:rPr>
        <w:t>total cost at completion in line with these expectations. After establishing the estimated total cost at completion, we follow a standard EAC process in which we review the progress and performance on our ongoing contracts at least quarterly and, in many c</w:t>
      </w:r>
      <w:r>
        <w:rPr>
          <w:rFonts w:eastAsia="Times New Roman"/>
          <w:color w:val="000000"/>
          <w:sz w:val="20"/>
          <w:szCs w:val="20"/>
        </w:rPr>
        <w:t>ases, more frequently. If we successfully retire risks associated with the technical, schedule and cost aspects of a contract, we may lower our estimated total cost at completion commensurate with the retirement of these risks. Conversely, if we are not su</w:t>
      </w:r>
      <w:r>
        <w:rPr>
          <w:rFonts w:eastAsia="Times New Roman"/>
          <w:color w:val="000000"/>
          <w:sz w:val="20"/>
          <w:szCs w:val="20"/>
        </w:rPr>
        <w:t xml:space="preserve">ccessful in retiring these risks, we may increase our estimated total cost at completion. Additionally, as the contract progresses, our estimates of total transaction price may increase or decrease if, for example, we receive award fees that are higher or </w:t>
      </w:r>
      <w:r>
        <w:rPr>
          <w:rFonts w:eastAsia="Times New Roman"/>
          <w:color w:val="000000"/>
          <w:sz w:val="20"/>
          <w:szCs w:val="20"/>
        </w:rPr>
        <w:t xml:space="preserve">lower than expected. When adjustments in estimated total costs at completion or in estimated total transaction price are determined, the related impact on operating income is recognized using the cumulative catch-up method, which recognizes in the current </w:t>
      </w:r>
      <w:r>
        <w:rPr>
          <w:rFonts w:eastAsia="Times New Roman"/>
          <w:color w:val="000000"/>
          <w:sz w:val="20"/>
          <w:szCs w:val="20"/>
        </w:rPr>
        <w:t>period the cumulative effect of such adjustments for all prior periods. Any anticipated losses on these contracts are fully recognized in the period in which the losses become evident.</w:t>
      </w:r>
    </w:p>
    <w:p w:rsidR="00000000" w:rsidRDefault="00E16B33">
      <w:pPr>
        <w:ind w:firstLine="360"/>
        <w:divId w:val="1057050117"/>
        <w:rPr>
          <w:rFonts w:eastAsia="Times New Roman"/>
        </w:rPr>
      </w:pPr>
      <w:r>
        <w:rPr>
          <w:rFonts w:eastAsia="Times New Roman"/>
          <w:color w:val="000000"/>
          <w:sz w:val="20"/>
          <w:szCs w:val="20"/>
        </w:rPr>
        <w:t>EAC adjustments had the following impacts to operating income for the p</w:t>
      </w:r>
      <w:r>
        <w:rPr>
          <w:rFonts w:eastAsia="Times New Roman"/>
          <w:color w:val="000000"/>
          <w:sz w:val="20"/>
          <w:szCs w:val="20"/>
        </w:rPr>
        <w:t>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662"/>
        <w:gridCol w:w="36"/>
        <w:gridCol w:w="120"/>
        <w:gridCol w:w="833"/>
        <w:gridCol w:w="36"/>
        <w:gridCol w:w="36"/>
        <w:gridCol w:w="36"/>
        <w:gridCol w:w="36"/>
        <w:gridCol w:w="120"/>
        <w:gridCol w:w="833"/>
        <w:gridCol w:w="36"/>
        <w:gridCol w:w="36"/>
        <w:gridCol w:w="36"/>
        <w:gridCol w:w="36"/>
        <w:gridCol w:w="120"/>
        <w:gridCol w:w="834"/>
        <w:gridCol w:w="36"/>
        <w:gridCol w:w="36"/>
        <w:gridCol w:w="36"/>
        <w:gridCol w:w="36"/>
        <w:gridCol w:w="120"/>
        <w:gridCol w:w="834"/>
        <w:gridCol w:w="36"/>
        <w:gridCol w:w="36"/>
        <w:gridCol w:w="36"/>
        <w:gridCol w:w="36"/>
        <w:gridCol w:w="36"/>
        <w:gridCol w:w="36"/>
        <w:gridCol w:w="36"/>
        <w:gridCol w:w="36"/>
        <w:gridCol w:w="36"/>
      </w:tblGrid>
      <w:tr w:rsidR="00000000">
        <w:trPr>
          <w:divId w:val="289827756"/>
        </w:trPr>
        <w:tc>
          <w:tcPr>
            <w:tcW w:w="50" w:type="pct"/>
            <w:vAlign w:val="center"/>
            <w:hideMark/>
          </w:tcPr>
          <w:p w:rsidR="00000000" w:rsidRDefault="00E16B33">
            <w:pPr>
              <w:ind w:firstLine="360"/>
              <w:rPr>
                <w:rFonts w:eastAsia="Times New Roman"/>
              </w:rPr>
            </w:pPr>
          </w:p>
        </w:tc>
        <w:tc>
          <w:tcPr>
            <w:tcW w:w="235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89827756"/>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r>
      <w:tr w:rsidR="00000000">
        <w:trPr>
          <w:divId w:val="28982775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July 2, 2021</w:t>
            </w:r>
          </w:p>
        </w:tc>
        <w:tc>
          <w:tcPr>
            <w:tcW w:w="0" w:type="auto"/>
            <w:vAlign w:val="center"/>
            <w:hideMark/>
          </w:tcPr>
          <w:p w:rsidR="00000000" w:rsidRDefault="00E16B33">
            <w:pPr>
              <w:spacing w:after="100"/>
              <w:jc w:val="center"/>
              <w:rPr>
                <w:rFonts w:eastAsia="Times New Roman"/>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89827756"/>
          <w:trHeight w:val="60"/>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8982775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89827756"/>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(176)</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28982775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vAlign w:val="center"/>
            <w:hideMark/>
          </w:tcPr>
          <w:p w:rsidR="00000000" w:rsidRDefault="00E16B33">
            <w:pPr>
              <w:spacing w:after="100"/>
              <w:jc w:val="right"/>
              <w:rPr>
                <w:rFonts w:eastAsia="Times New Roman"/>
                <w:sz w:val="20"/>
                <w:szCs w:val="20"/>
              </w:rPr>
            </w:pPr>
          </w:p>
        </w:tc>
        <w:tc>
          <w:tcPr>
            <w:tcW w:w="0" w:type="auto"/>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firstLine="360"/>
        <w:divId w:val="1486166772"/>
        <w:rPr>
          <w:rFonts w:eastAsia="Times New Roman"/>
        </w:rPr>
      </w:pPr>
      <w:r>
        <w:rPr>
          <w:rFonts w:eastAsia="Times New Roman"/>
          <w:color w:val="000000"/>
          <w:sz w:val="20"/>
          <w:szCs w:val="20"/>
        </w:rPr>
        <w:t xml:space="preserve">The net favorable impact to operating income from EAC adjustments in the quarter and two quarters ended July 1, 2022 reflected benefits of operational performance on </w:t>
      </w:r>
      <w:r>
        <w:rPr>
          <w:rFonts w:eastAsia="Times New Roman"/>
          <w:color w:val="000000"/>
          <w:sz w:val="20"/>
          <w:szCs w:val="20"/>
        </w:rPr>
        <w:t xml:space="preserve">programs, including additional retirement of risks and material and labor cost savings. There were no individual impacts to operating income due to EAC adjustments in the quarter or two quarters ended July 1, 2022 or July 2, 2021 that were material to our </w:t>
      </w:r>
      <w:r>
        <w:rPr>
          <w:rFonts w:eastAsia="Times New Roman"/>
          <w:color w:val="000000"/>
          <w:sz w:val="20"/>
          <w:szCs w:val="20"/>
        </w:rPr>
        <w:t>results of operations on a consolidated or segment basis for such periods.</w:t>
      </w:r>
    </w:p>
    <w:p w:rsidR="00000000" w:rsidRDefault="00E16B33">
      <w:pPr>
        <w:ind w:firstLine="360"/>
        <w:divId w:val="534582825"/>
        <w:rPr>
          <w:rFonts w:eastAsia="Times New Roman"/>
        </w:rPr>
      </w:pPr>
      <w:r>
        <w:rPr>
          <w:rFonts w:eastAsia="Times New Roman"/>
          <w:color w:val="000000"/>
          <w:sz w:val="20"/>
          <w:szCs w:val="20"/>
        </w:rPr>
        <w:t>We recognize revenue from numerous contracts with multiple performance obligations. For these contracts, we allocate the transaction price to each performance obligation based on th</w:t>
      </w:r>
      <w:r>
        <w:rPr>
          <w:rFonts w:eastAsia="Times New Roman"/>
          <w:color w:val="000000"/>
          <w:sz w:val="20"/>
          <w:szCs w:val="20"/>
        </w:rPr>
        <w:t>e relative standalone selling price of the good or service underlying each performance obligation. The standalone selling price represents the amount for which we would sell the good or service to a customer on a standalone basis (i.e., not sold as bundled</w:t>
      </w:r>
      <w:r>
        <w:rPr>
          <w:rFonts w:eastAsia="Times New Roman"/>
          <w:color w:val="000000"/>
          <w:sz w:val="20"/>
          <w:szCs w:val="20"/>
        </w:rPr>
        <w:t xml:space="preserve"> sale with any other products or services). The allocation of transaction price among separate performance obligations may impact the timing of revenue recognition but will not change the total revenue recognized on the contract. </w:t>
      </w:r>
    </w:p>
    <w:p w:rsidR="00000000" w:rsidRDefault="00E16B33">
      <w:pPr>
        <w:ind w:firstLine="360"/>
        <w:divId w:val="989410510"/>
        <w:rPr>
          <w:rFonts w:eastAsia="Times New Roman"/>
        </w:rPr>
      </w:pPr>
      <w:r>
        <w:rPr>
          <w:rFonts w:eastAsia="Times New Roman"/>
          <w:color w:val="000000"/>
          <w:sz w:val="20"/>
          <w:szCs w:val="20"/>
        </w:rPr>
        <w:t>A substantial majority of</w:t>
      </w:r>
      <w:r>
        <w:rPr>
          <w:rFonts w:eastAsia="Times New Roman"/>
          <w:color w:val="000000"/>
          <w:sz w:val="20"/>
          <w:szCs w:val="20"/>
        </w:rPr>
        <w:t xml:space="preserve"> our revenue is derived from contracts with the U.S. Government, including foreign military sales contracts. These contracts are subject to the Federal Acquisition Regulation (“FAR”) and the prices of our contract deliverables are typically based on our es</w:t>
      </w:r>
      <w:r>
        <w:rPr>
          <w:rFonts w:eastAsia="Times New Roman"/>
          <w:color w:val="000000"/>
          <w:sz w:val="20"/>
          <w:szCs w:val="20"/>
        </w:rPr>
        <w:t xml:space="preserve">timated or actual costs plus a reasonable profit margin. As a result, the standalone selling prices of the goods and services in these contracts are typically equal to the selling prices stated in the contract, thereby eliminating the need to allocate (or </w:t>
      </w:r>
      <w:r>
        <w:rPr>
          <w:rFonts w:eastAsia="Times New Roman"/>
          <w:color w:val="000000"/>
          <w:sz w:val="20"/>
          <w:szCs w:val="20"/>
        </w:rPr>
        <w:t>reallocate) the transaction price to the multiple performance obligations. In our non-U.S. Government contracts, when standalone selling prices are not directly observable, we also generally use the expected cost plus margin approach to determine standalon</w:t>
      </w:r>
      <w:r>
        <w:rPr>
          <w:rFonts w:eastAsia="Times New Roman"/>
          <w:color w:val="000000"/>
          <w:sz w:val="20"/>
          <w:szCs w:val="20"/>
        </w:rPr>
        <w:t>e selling price. In determining the appropriate margin under the cost plus margin approach, we consider historical margins on similar products sold to similar customers or within similar geographies where objective evidence is available. We may also consid</w:t>
      </w:r>
      <w:r>
        <w:rPr>
          <w:rFonts w:eastAsia="Times New Roman"/>
          <w:color w:val="000000"/>
          <w:sz w:val="20"/>
          <w:szCs w:val="20"/>
        </w:rPr>
        <w:t>er our cost structure and profit objectives, the nature of the proposal, the effects of customization of pricing, our practices used to establish pricing of bundled products, the expected technological life of the product, margins earned on similar contrac</w:t>
      </w:r>
      <w:r>
        <w:rPr>
          <w:rFonts w:eastAsia="Times New Roman"/>
          <w:color w:val="000000"/>
          <w:sz w:val="20"/>
          <w:szCs w:val="20"/>
        </w:rPr>
        <w:t xml:space="preserve">ts with different customers and other factors to determine the appropriate margin. </w:t>
      </w:r>
    </w:p>
    <w:p w:rsidR="00000000" w:rsidRDefault="00E16B33">
      <w:pPr>
        <w:ind w:firstLine="360"/>
        <w:jc w:val="center"/>
        <w:divId w:val="1242063476"/>
        <w:rPr>
          <w:rFonts w:eastAsia="Times New Roman"/>
        </w:rPr>
      </w:pPr>
      <w:r>
        <w:rPr>
          <w:rFonts w:eastAsia="Times New Roman"/>
          <w:color w:val="000000"/>
          <w:sz w:val="20"/>
          <w:szCs w:val="20"/>
        </w:rPr>
        <w:t>27</w:t>
      </w:r>
    </w:p>
    <w:p w:rsidR="00000000" w:rsidRDefault="00E16B33">
      <w:pPr>
        <w:rPr>
          <w:rFonts w:eastAsia="Times New Roman"/>
        </w:rPr>
      </w:pPr>
      <w:r>
        <w:rPr>
          <w:rFonts w:eastAsia="Times New Roman"/>
        </w:rPr>
        <w:pict>
          <v:rect id="_x0000_i1054" style="width:0;height:1.5pt" o:hralign="center" o:hrstd="t" o:hr="t" fillcolor="#a0a0a0" stroked="f"/>
        </w:pict>
      </w:r>
    </w:p>
    <w:p w:rsidR="00000000" w:rsidRDefault="00E16B33">
      <w:pPr>
        <w:ind w:firstLine="360"/>
        <w:divId w:val="870726904"/>
        <w:rPr>
          <w:rFonts w:eastAsia="Times New Roman"/>
        </w:rPr>
      </w:pPr>
    </w:p>
    <w:p w:rsidR="00000000" w:rsidRDefault="00E16B33">
      <w:pPr>
        <w:divId w:val="1450663034"/>
        <w:rPr>
          <w:rFonts w:eastAsia="Times New Roman"/>
        </w:rPr>
      </w:pPr>
      <w:r>
        <w:rPr>
          <w:rFonts w:eastAsia="Times New Roman"/>
          <w:b/>
          <w:bCs/>
          <w:color w:val="000000"/>
          <w:sz w:val="20"/>
          <w:szCs w:val="20"/>
        </w:rPr>
        <w:t>FORWARD-LOOKING STATEMENTS AND FACTORS THAT MAY AFFECT FUTURE RESULTS</w:t>
      </w:r>
    </w:p>
    <w:p w:rsidR="00000000" w:rsidRDefault="00E16B33">
      <w:pPr>
        <w:ind w:firstLine="360"/>
        <w:divId w:val="1662539297"/>
        <w:rPr>
          <w:rFonts w:eastAsia="Times New Roman"/>
        </w:rPr>
      </w:pPr>
      <w:r>
        <w:rPr>
          <w:rFonts w:eastAsia="Times New Roman"/>
          <w:color w:val="000000"/>
          <w:sz w:val="20"/>
          <w:szCs w:val="20"/>
        </w:rPr>
        <w:t>This Report contains forward-looking statements that involve risks and uncertainties, as well as assumptions that may not materialize or prove to be correct, which could cause our result</w:t>
      </w:r>
      <w:r>
        <w:rPr>
          <w:rFonts w:eastAsia="Times New Roman"/>
          <w:color w:val="000000"/>
          <w:sz w:val="20"/>
          <w:szCs w:val="20"/>
        </w:rPr>
        <w:t xml:space="preserve">s to differ materially from those expressed in or implied by such forward-looking statements. All statements other than statements of historical fact are statements that could be deemed forward-looking statements, including, but not limited to, statements </w:t>
      </w:r>
      <w:r>
        <w:rPr>
          <w:rFonts w:eastAsia="Times New Roman"/>
          <w:color w:val="000000"/>
          <w:sz w:val="20"/>
          <w:szCs w:val="20"/>
        </w:rPr>
        <w:t>concerning: our plans, strategies and objectives for future operations; new products, systems, technologies, services or developments; future economic conditions, performance or outlook; future political conditions; the outcome of contingencies; the potent</w:t>
      </w:r>
      <w:r>
        <w:rPr>
          <w:rFonts w:eastAsia="Times New Roman"/>
          <w:color w:val="000000"/>
          <w:sz w:val="20"/>
          <w:szCs w:val="20"/>
        </w:rPr>
        <w:t>ial level of share repurchases, dividends or pension contributions; potential acquisitions or divestitures; the value of contract awards and programs; expected cash flows or capital expenditures; our beliefs or expectations; activities, events or developme</w:t>
      </w:r>
      <w:r>
        <w:rPr>
          <w:rFonts w:eastAsia="Times New Roman"/>
          <w:color w:val="000000"/>
          <w:sz w:val="20"/>
          <w:szCs w:val="20"/>
        </w:rPr>
        <w:t>nts that we intend, expect, project, believe or anticipate will or may occur in the future, including expected COVID-related impacts to our businesses; and assumptions underlying any of the foregoing. Forward-looking statements may be identified by their u</w:t>
      </w:r>
      <w:r>
        <w:rPr>
          <w:rFonts w:eastAsia="Times New Roman"/>
          <w:color w:val="000000"/>
          <w:sz w:val="20"/>
          <w:szCs w:val="20"/>
        </w:rPr>
        <w:t>se of forward-looking terminology, such as “believes,” “expects,” “may,” “should,” “would,” “will,” “intends,” “plans,” “estimates,” “anticipates,” “projects” and similar words or expressions. You should not place undue reliance on these forward-looking st</w:t>
      </w:r>
      <w:r>
        <w:rPr>
          <w:rFonts w:eastAsia="Times New Roman"/>
          <w:color w:val="000000"/>
          <w:sz w:val="20"/>
          <w:szCs w:val="20"/>
        </w:rPr>
        <w:t>atements, which reflect our management’s opinions only as of the date of filing of this Report and are not guarantees of future performance or actual results. Forward-looking statements are made in reliance on the safe harbor provisions of Section 27A of t</w:t>
      </w:r>
      <w:r>
        <w:rPr>
          <w:rFonts w:eastAsia="Times New Roman"/>
          <w:color w:val="000000"/>
          <w:sz w:val="20"/>
          <w:szCs w:val="20"/>
        </w:rPr>
        <w:t>he Securities Act of 1933, as amended (the “Securities Act”), and Section 21E of the Securities Exchange Act of 1934, as amended (the “Exchange Act”). The following are some of the factors we believe could cause our actual results to differ materially from</w:t>
      </w:r>
      <w:r>
        <w:rPr>
          <w:rFonts w:eastAsia="Times New Roman"/>
          <w:color w:val="000000"/>
          <w:sz w:val="20"/>
          <w:szCs w:val="20"/>
        </w:rPr>
        <w:t xml:space="preserve"> our historical results or our current expectations or projections:</w:t>
      </w:r>
    </w:p>
    <w:p w:rsidR="00000000" w:rsidRDefault="00E16B33">
      <w:pPr>
        <w:ind w:hanging="360"/>
        <w:divId w:val="1169977951"/>
        <w:rPr>
          <w:rFonts w:eastAsia="Times New Roman"/>
        </w:rPr>
      </w:pPr>
      <w:r>
        <w:rPr>
          <w:rFonts w:eastAsia="Times New Roman"/>
          <w:color w:val="000000"/>
          <w:sz w:val="20"/>
          <w:szCs w:val="20"/>
        </w:rPr>
        <w:t>•The effects of COVID could have a material adverse effect on our business operations, financial condition, results of operations, cash flows and equity.</w:t>
      </w:r>
    </w:p>
    <w:p w:rsidR="00000000" w:rsidRDefault="00E16B33">
      <w:pPr>
        <w:ind w:hanging="360"/>
        <w:divId w:val="1642811566"/>
        <w:rPr>
          <w:rFonts w:eastAsia="Times New Roman"/>
        </w:rPr>
      </w:pPr>
      <w:r>
        <w:rPr>
          <w:rFonts w:eastAsia="Times New Roman"/>
          <w:color w:val="000000"/>
          <w:sz w:val="20"/>
          <w:szCs w:val="20"/>
        </w:rPr>
        <w:t>•</w:t>
      </w:r>
      <w:r>
        <w:rPr>
          <w:rFonts w:eastAsia="Times New Roman"/>
          <w:color w:val="000000"/>
          <w:sz w:val="20"/>
          <w:szCs w:val="20"/>
        </w:rPr>
        <w:t>We depend on U.S. Government customers for a significant portion of our revenue, and the loss of these relationships, a reduction in U.S. Government funding or a change in U.S. Government spending priorities could have an adverse impact on our business, fi</w:t>
      </w:r>
      <w:r>
        <w:rPr>
          <w:rFonts w:eastAsia="Times New Roman"/>
          <w:color w:val="000000"/>
          <w:sz w:val="20"/>
          <w:szCs w:val="20"/>
        </w:rPr>
        <w:t>nancial condition, results of operations, cash flows and equity.</w:t>
      </w:r>
    </w:p>
    <w:p w:rsidR="00000000" w:rsidRDefault="00E16B33">
      <w:pPr>
        <w:ind w:hanging="360"/>
        <w:divId w:val="1371416516"/>
        <w:rPr>
          <w:rFonts w:eastAsia="Times New Roman"/>
        </w:rPr>
      </w:pPr>
      <w:r>
        <w:rPr>
          <w:rFonts w:eastAsia="Times New Roman"/>
          <w:color w:val="000000"/>
          <w:sz w:val="20"/>
          <w:szCs w:val="20"/>
        </w:rPr>
        <w:t>•We depend significantly on U.S. Government contracts, which often are only partially funded, subject to immediate termination, and heavily regulated and audited. The termination or failure t</w:t>
      </w:r>
      <w:r>
        <w:rPr>
          <w:rFonts w:eastAsia="Times New Roman"/>
          <w:color w:val="000000"/>
          <w:sz w:val="20"/>
          <w:szCs w:val="20"/>
        </w:rPr>
        <w:t>o fund, or negative audit findings for, one or more of these contracts could have an adverse impact on our business, financial condition, results of operations, cash flows and equity.</w:t>
      </w:r>
    </w:p>
    <w:p w:rsidR="00000000" w:rsidRDefault="00E16B33">
      <w:pPr>
        <w:ind w:hanging="360"/>
        <w:divId w:val="437409753"/>
        <w:rPr>
          <w:rFonts w:eastAsia="Times New Roman"/>
        </w:rPr>
      </w:pPr>
      <w:r>
        <w:rPr>
          <w:rFonts w:eastAsia="Times New Roman"/>
          <w:color w:val="000000"/>
          <w:sz w:val="20"/>
          <w:szCs w:val="20"/>
        </w:rPr>
        <w:t xml:space="preserve">•The U.S. Government’s budget deficit and the national debt, as well as </w:t>
      </w:r>
      <w:r>
        <w:rPr>
          <w:rFonts w:eastAsia="Times New Roman"/>
          <w:color w:val="000000"/>
          <w:sz w:val="20"/>
          <w:szCs w:val="20"/>
        </w:rPr>
        <w:t>any inability of the U.S. Government to complete its budget process for any government fiscal year and consequently having to shut down or operate on funding levels equivalent to its prior fiscal year pursuant to a “continuing resolution,” could have an ad</w:t>
      </w:r>
      <w:r>
        <w:rPr>
          <w:rFonts w:eastAsia="Times New Roman"/>
          <w:color w:val="000000"/>
          <w:sz w:val="20"/>
          <w:szCs w:val="20"/>
        </w:rPr>
        <w:t>verse impact on our business, financial condition, results of operations, cash flows and equity.</w:t>
      </w:r>
    </w:p>
    <w:p w:rsidR="00000000" w:rsidRDefault="00E16B33">
      <w:pPr>
        <w:ind w:hanging="360"/>
        <w:divId w:val="1097945781"/>
        <w:rPr>
          <w:rFonts w:eastAsia="Times New Roman"/>
        </w:rPr>
      </w:pPr>
      <w:r>
        <w:rPr>
          <w:rFonts w:eastAsia="Times New Roman"/>
          <w:color w:val="000000"/>
          <w:sz w:val="20"/>
          <w:szCs w:val="20"/>
        </w:rPr>
        <w:t xml:space="preserve">•Our results of operations and cash flows are substantially affected by our mix of fixed-price, cost-plus and time-and-material type contracts. In particular, </w:t>
      </w:r>
      <w:r>
        <w:rPr>
          <w:rFonts w:eastAsia="Times New Roman"/>
          <w:color w:val="000000"/>
          <w:sz w:val="20"/>
          <w:szCs w:val="20"/>
        </w:rPr>
        <w:t>our fixed-price contracts could subject us to losses in the event of cost overruns or a significant increase in inflation.</w:t>
      </w:r>
    </w:p>
    <w:p w:rsidR="00000000" w:rsidRDefault="00E16B33">
      <w:pPr>
        <w:ind w:hanging="360"/>
        <w:divId w:val="453788399"/>
        <w:rPr>
          <w:rFonts w:eastAsia="Times New Roman"/>
        </w:rPr>
      </w:pPr>
      <w:r>
        <w:rPr>
          <w:rFonts w:eastAsia="Times New Roman"/>
          <w:color w:val="000000"/>
          <w:sz w:val="20"/>
          <w:szCs w:val="20"/>
        </w:rPr>
        <w:t>•Our commercial aviation products, systems and services businesses are affected by global demand and economic factors that could nega</w:t>
      </w:r>
      <w:r>
        <w:rPr>
          <w:rFonts w:eastAsia="Times New Roman"/>
          <w:color w:val="000000"/>
          <w:sz w:val="20"/>
          <w:szCs w:val="20"/>
        </w:rPr>
        <w:t>tively impact our financial results.</w:t>
      </w:r>
    </w:p>
    <w:p w:rsidR="00000000" w:rsidRDefault="00E16B33">
      <w:pPr>
        <w:ind w:hanging="360"/>
        <w:divId w:val="1617174623"/>
        <w:rPr>
          <w:rFonts w:eastAsia="Times New Roman"/>
        </w:rPr>
      </w:pPr>
      <w:r>
        <w:rPr>
          <w:rFonts w:eastAsia="Times New Roman"/>
          <w:color w:val="000000"/>
          <w:sz w:val="20"/>
          <w:szCs w:val="20"/>
        </w:rPr>
        <w:t>•We participate in markets that are often subject to uncertain economic conditions, which makes it difficult to estimate growth in our markets and, as a result, future income and expenditures.</w:t>
      </w:r>
    </w:p>
    <w:p w:rsidR="00000000" w:rsidRDefault="00E16B33">
      <w:pPr>
        <w:ind w:hanging="360"/>
        <w:divId w:val="1646161108"/>
        <w:rPr>
          <w:rFonts w:eastAsia="Times New Roman"/>
        </w:rPr>
      </w:pPr>
      <w:r>
        <w:rPr>
          <w:rFonts w:eastAsia="Times New Roman"/>
          <w:color w:val="000000"/>
          <w:sz w:val="20"/>
          <w:szCs w:val="20"/>
        </w:rPr>
        <w:t>•We cannot predict the con</w:t>
      </w:r>
      <w:r>
        <w:rPr>
          <w:rFonts w:eastAsia="Times New Roman"/>
          <w:color w:val="000000"/>
          <w:sz w:val="20"/>
          <w:szCs w:val="20"/>
        </w:rPr>
        <w:t>sequences of future geo-political events, but they may adversely affect the markets in which we operate, our ability to insure against risks, our operations or our profitability.</w:t>
      </w:r>
    </w:p>
    <w:p w:rsidR="00000000" w:rsidRDefault="00E16B33">
      <w:pPr>
        <w:ind w:hanging="360"/>
        <w:divId w:val="402069915"/>
        <w:rPr>
          <w:rFonts w:eastAsia="Times New Roman"/>
        </w:rPr>
      </w:pPr>
      <w:r>
        <w:rPr>
          <w:rFonts w:eastAsia="Times New Roman"/>
          <w:color w:val="000000"/>
          <w:sz w:val="20"/>
          <w:szCs w:val="20"/>
        </w:rPr>
        <w:t>•We derive a significant portion of our revenue from international operations</w:t>
      </w:r>
      <w:r>
        <w:rPr>
          <w:rFonts w:eastAsia="Times New Roman"/>
          <w:color w:val="000000"/>
          <w:sz w:val="20"/>
          <w:szCs w:val="20"/>
        </w:rPr>
        <w:t xml:space="preserve"> and are subject to the risks of doing business internationally, including fluctuations in currency exchange rates.</w:t>
      </w:r>
    </w:p>
    <w:p w:rsidR="00000000" w:rsidRDefault="00E16B33">
      <w:pPr>
        <w:ind w:hanging="360"/>
        <w:divId w:val="1366830049"/>
        <w:rPr>
          <w:rFonts w:eastAsia="Times New Roman"/>
        </w:rPr>
      </w:pPr>
      <w:r>
        <w:rPr>
          <w:rFonts w:eastAsia="Times New Roman"/>
          <w:color w:val="000000"/>
          <w:sz w:val="20"/>
          <w:szCs w:val="20"/>
        </w:rPr>
        <w:t>•We are subject to government investigations, which could have a material adverse effect on our business, financial condition, results of op</w:t>
      </w:r>
      <w:r>
        <w:rPr>
          <w:rFonts w:eastAsia="Times New Roman"/>
          <w:color w:val="000000"/>
          <w:sz w:val="20"/>
          <w:szCs w:val="20"/>
        </w:rPr>
        <w:t>erations, cash flows and equity.</w:t>
      </w:r>
    </w:p>
    <w:p w:rsidR="00000000" w:rsidRDefault="00E16B33">
      <w:pPr>
        <w:ind w:hanging="360"/>
        <w:divId w:val="1567840862"/>
        <w:rPr>
          <w:rFonts w:eastAsia="Times New Roman"/>
        </w:rPr>
      </w:pPr>
      <w:r>
        <w:rPr>
          <w:rFonts w:eastAsia="Times New Roman"/>
          <w:color w:val="000000"/>
          <w:sz w:val="20"/>
          <w:szCs w:val="20"/>
        </w:rPr>
        <w:t>•We could be negatively impacted by a security breach, through cyber attack, cyber intrusion, insider threats or otherwise, or other significant disruption of our IT networks and related systems or of those we operate for c</w:t>
      </w:r>
      <w:r>
        <w:rPr>
          <w:rFonts w:eastAsia="Times New Roman"/>
          <w:color w:val="000000"/>
          <w:sz w:val="20"/>
          <w:szCs w:val="20"/>
        </w:rPr>
        <w:t>ertain of our customers.</w:t>
      </w:r>
    </w:p>
    <w:p w:rsidR="00000000" w:rsidRDefault="00E16B33">
      <w:pPr>
        <w:ind w:hanging="360"/>
        <w:divId w:val="2057925116"/>
        <w:rPr>
          <w:rFonts w:eastAsia="Times New Roman"/>
        </w:rPr>
      </w:pPr>
      <w:r>
        <w:rPr>
          <w:rFonts w:eastAsia="Times New Roman"/>
          <w:color w:val="000000"/>
          <w:sz w:val="20"/>
          <w:szCs w:val="20"/>
        </w:rPr>
        <w:t>•Our future success will depend on our ability to develop new products, systems, services and technologies that achieve market acceptance in our current and future markets.</w:t>
      </w:r>
    </w:p>
    <w:p w:rsidR="00000000" w:rsidRDefault="00E16B33">
      <w:pPr>
        <w:ind w:hanging="360"/>
        <w:divId w:val="1921716798"/>
        <w:rPr>
          <w:rFonts w:eastAsia="Times New Roman"/>
        </w:rPr>
      </w:pPr>
      <w:r>
        <w:rPr>
          <w:rFonts w:eastAsia="Times New Roman"/>
          <w:color w:val="000000"/>
          <w:sz w:val="20"/>
          <w:szCs w:val="20"/>
        </w:rPr>
        <w:t>•We must attract and retain key employees, and any failure</w:t>
      </w:r>
      <w:r>
        <w:rPr>
          <w:rFonts w:eastAsia="Times New Roman"/>
          <w:color w:val="000000"/>
          <w:sz w:val="20"/>
          <w:szCs w:val="20"/>
        </w:rPr>
        <w:t xml:space="preserve"> to do so could seriously harm us.</w:t>
      </w:r>
    </w:p>
    <w:p w:rsidR="00000000" w:rsidRDefault="00E16B33">
      <w:pPr>
        <w:ind w:hanging="360"/>
        <w:divId w:val="1867139381"/>
        <w:rPr>
          <w:rFonts w:eastAsia="Times New Roman"/>
        </w:rPr>
      </w:pPr>
      <w:r>
        <w:rPr>
          <w:rFonts w:eastAsia="Times New Roman"/>
          <w:color w:val="000000"/>
          <w:sz w:val="20"/>
          <w:szCs w:val="20"/>
        </w:rPr>
        <w:t>•To the extent some of our workforce is or becomes represented by labor unions, a prolonged work stoppage could harm our business.</w:t>
      </w:r>
    </w:p>
    <w:p w:rsidR="00000000" w:rsidRDefault="00E16B33">
      <w:pPr>
        <w:ind w:hanging="360"/>
        <w:divId w:val="476187519"/>
        <w:rPr>
          <w:rFonts w:eastAsia="Times New Roman"/>
        </w:rPr>
      </w:pPr>
      <w:r>
        <w:rPr>
          <w:rFonts w:eastAsia="Times New Roman"/>
          <w:color w:val="000000"/>
          <w:sz w:val="20"/>
          <w:szCs w:val="20"/>
        </w:rPr>
        <w:t>•Disputes with our subcontractors or key suppliers, or their inability to perform or timel</w:t>
      </w:r>
      <w:r>
        <w:rPr>
          <w:rFonts w:eastAsia="Times New Roman"/>
          <w:color w:val="000000"/>
          <w:sz w:val="20"/>
          <w:szCs w:val="20"/>
        </w:rPr>
        <w:t>y deliver our components, parts or services, could cause our products, systems or services to be produced or delivered in an untimely or unsatisfactory manner.</w:t>
      </w:r>
    </w:p>
    <w:p w:rsidR="00000000" w:rsidRDefault="00E16B33">
      <w:pPr>
        <w:ind w:hanging="360"/>
        <w:divId w:val="92475938"/>
        <w:rPr>
          <w:rFonts w:eastAsia="Times New Roman"/>
        </w:rPr>
      </w:pPr>
      <w:r>
        <w:rPr>
          <w:rFonts w:eastAsia="Times New Roman"/>
          <w:color w:val="000000"/>
          <w:sz w:val="20"/>
          <w:szCs w:val="20"/>
        </w:rPr>
        <w:t xml:space="preserve">•We have significant operations in locations that could be materially and adversely impacted in </w:t>
      </w:r>
      <w:r>
        <w:rPr>
          <w:rFonts w:eastAsia="Times New Roman"/>
          <w:color w:val="000000"/>
          <w:sz w:val="20"/>
          <w:szCs w:val="20"/>
        </w:rPr>
        <w:t>the event of a natural disaster or other significant disruption.</w:t>
      </w:r>
    </w:p>
    <w:p w:rsidR="00000000" w:rsidRDefault="00E16B33">
      <w:pPr>
        <w:ind w:hanging="360"/>
        <w:divId w:val="510416422"/>
        <w:rPr>
          <w:rFonts w:eastAsia="Times New Roman"/>
        </w:rPr>
      </w:pPr>
      <w:r>
        <w:rPr>
          <w:rFonts w:eastAsia="Times New Roman"/>
          <w:color w:val="000000"/>
          <w:sz w:val="20"/>
          <w:szCs w:val="20"/>
        </w:rPr>
        <w:t>•Changes in estimates we use in accounting for many of our programs could adversely affect our future financial results.</w:t>
      </w:r>
    </w:p>
    <w:p w:rsidR="00000000" w:rsidRDefault="00E16B33">
      <w:pPr>
        <w:ind w:firstLine="360"/>
        <w:jc w:val="center"/>
        <w:divId w:val="39403624"/>
        <w:rPr>
          <w:rFonts w:eastAsia="Times New Roman"/>
        </w:rPr>
      </w:pPr>
      <w:r>
        <w:rPr>
          <w:rFonts w:eastAsia="Times New Roman"/>
          <w:color w:val="000000"/>
          <w:sz w:val="20"/>
          <w:szCs w:val="20"/>
        </w:rPr>
        <w:t>28</w:t>
      </w:r>
    </w:p>
    <w:p w:rsidR="00000000" w:rsidRDefault="00E16B33">
      <w:pPr>
        <w:rPr>
          <w:rFonts w:eastAsia="Times New Roman"/>
        </w:rPr>
      </w:pPr>
      <w:r>
        <w:rPr>
          <w:rFonts w:eastAsia="Times New Roman"/>
        </w:rPr>
        <w:pict>
          <v:rect id="_x0000_i1055" style="width:0;height:1.5pt" o:hralign="center" o:hrstd="t" o:hr="t" fillcolor="#a0a0a0" stroked="f"/>
        </w:pict>
      </w:r>
    </w:p>
    <w:p w:rsidR="00000000" w:rsidRDefault="00E16B33">
      <w:pPr>
        <w:ind w:firstLine="360"/>
        <w:divId w:val="304699561"/>
        <w:rPr>
          <w:rFonts w:eastAsia="Times New Roman"/>
        </w:rPr>
      </w:pPr>
    </w:p>
    <w:p w:rsidR="00000000" w:rsidRDefault="00E16B33">
      <w:pPr>
        <w:ind w:hanging="360"/>
        <w:divId w:val="2014259743"/>
        <w:rPr>
          <w:rFonts w:eastAsia="Times New Roman"/>
        </w:rPr>
      </w:pPr>
      <w:r>
        <w:rPr>
          <w:rFonts w:eastAsia="Times New Roman"/>
          <w:color w:val="000000"/>
          <w:sz w:val="20"/>
          <w:szCs w:val="20"/>
        </w:rPr>
        <w:t>•Our level of indebtedness a</w:t>
      </w:r>
      <w:r>
        <w:rPr>
          <w:rFonts w:eastAsia="Times New Roman"/>
          <w:color w:val="000000"/>
          <w:sz w:val="20"/>
          <w:szCs w:val="20"/>
        </w:rPr>
        <w:t>nd our ability to make payments on or service our indebtedness and our unfunded defined benefit plans liability may materially adversely affect our financial and operating activities or our ability to incur additional debt.</w:t>
      </w:r>
    </w:p>
    <w:p w:rsidR="00000000" w:rsidRDefault="00E16B33">
      <w:pPr>
        <w:ind w:hanging="360"/>
        <w:divId w:val="1788742882"/>
        <w:rPr>
          <w:rFonts w:eastAsia="Times New Roman"/>
        </w:rPr>
      </w:pPr>
      <w:r>
        <w:rPr>
          <w:rFonts w:eastAsia="Times New Roman"/>
          <w:color w:val="000000"/>
          <w:sz w:val="20"/>
          <w:szCs w:val="20"/>
        </w:rPr>
        <w:t>•A downgrade in our credit ratin</w:t>
      </w:r>
      <w:r>
        <w:rPr>
          <w:rFonts w:eastAsia="Times New Roman"/>
          <w:color w:val="000000"/>
          <w:sz w:val="20"/>
          <w:szCs w:val="20"/>
        </w:rPr>
        <w:t>gs could materially adversely affect our business.</w:t>
      </w:r>
    </w:p>
    <w:p w:rsidR="00000000" w:rsidRDefault="00E16B33">
      <w:pPr>
        <w:ind w:hanging="360"/>
        <w:divId w:val="1114251502"/>
        <w:rPr>
          <w:rFonts w:eastAsia="Times New Roman"/>
        </w:rPr>
      </w:pPr>
      <w:r>
        <w:rPr>
          <w:rFonts w:eastAsia="Times New Roman"/>
          <w:color w:val="000000"/>
          <w:sz w:val="20"/>
          <w:szCs w:val="20"/>
        </w:rPr>
        <w:t xml:space="preserve">•The level of returns on defined benefit plan assets, changes in interest rates and other factors could materially adversely affect our financial condition, results of operations, cash flows and equity in </w:t>
      </w:r>
      <w:r>
        <w:rPr>
          <w:rFonts w:eastAsia="Times New Roman"/>
          <w:color w:val="000000"/>
          <w:sz w:val="20"/>
          <w:szCs w:val="20"/>
        </w:rPr>
        <w:t>future periods.</w:t>
      </w:r>
    </w:p>
    <w:p w:rsidR="00000000" w:rsidRDefault="00E16B33">
      <w:pPr>
        <w:ind w:hanging="360"/>
        <w:divId w:val="1768043672"/>
        <w:rPr>
          <w:rFonts w:eastAsia="Times New Roman"/>
        </w:rPr>
      </w:pPr>
      <w:r>
        <w:rPr>
          <w:rFonts w:eastAsia="Times New Roman"/>
          <w:color w:val="000000"/>
          <w:sz w:val="20"/>
          <w:szCs w:val="20"/>
        </w:rPr>
        <w:t>•Changes in our effective tax rate may have an adverse effect on our results of operations.</w:t>
      </w:r>
    </w:p>
    <w:p w:rsidR="00000000" w:rsidRDefault="00E16B33">
      <w:pPr>
        <w:ind w:hanging="360"/>
        <w:divId w:val="889220171"/>
        <w:rPr>
          <w:rFonts w:eastAsia="Times New Roman"/>
        </w:rPr>
      </w:pPr>
      <w:r>
        <w:rPr>
          <w:rFonts w:eastAsia="Times New Roman"/>
          <w:color w:val="000000"/>
          <w:sz w:val="20"/>
          <w:szCs w:val="20"/>
        </w:rPr>
        <w:t>•We may not be successful in obtaining the necessary export licenses to conduct certain operations abroad, and Congress may prevent proposed sales t</w:t>
      </w:r>
      <w:r>
        <w:rPr>
          <w:rFonts w:eastAsia="Times New Roman"/>
          <w:color w:val="000000"/>
          <w:sz w:val="20"/>
          <w:szCs w:val="20"/>
        </w:rPr>
        <w:t>o certain foreign governments.</w:t>
      </w:r>
    </w:p>
    <w:p w:rsidR="00000000" w:rsidRDefault="00E16B33">
      <w:pPr>
        <w:ind w:hanging="360"/>
        <w:divId w:val="827937092"/>
        <w:rPr>
          <w:rFonts w:eastAsia="Times New Roman"/>
        </w:rPr>
      </w:pPr>
      <w:r>
        <w:rPr>
          <w:rFonts w:eastAsia="Times New Roman"/>
          <w:color w:val="000000"/>
          <w:sz w:val="20"/>
          <w:szCs w:val="20"/>
        </w:rPr>
        <w:t>•Our reputation and ability to do business may be impacted by the improper conduct of our employees, agents or business partners.</w:t>
      </w:r>
    </w:p>
    <w:p w:rsidR="00000000" w:rsidRDefault="00E16B33">
      <w:pPr>
        <w:ind w:hanging="360"/>
        <w:divId w:val="1297368681"/>
        <w:rPr>
          <w:rFonts w:eastAsia="Times New Roman"/>
        </w:rPr>
      </w:pPr>
      <w:r>
        <w:rPr>
          <w:rFonts w:eastAsia="Times New Roman"/>
          <w:color w:val="000000"/>
          <w:sz w:val="20"/>
          <w:szCs w:val="20"/>
        </w:rPr>
        <w:t>•The outcome of litigation or arbitration in which we are involved from time to time is unpredi</w:t>
      </w:r>
      <w:r>
        <w:rPr>
          <w:rFonts w:eastAsia="Times New Roman"/>
          <w:color w:val="000000"/>
          <w:sz w:val="20"/>
          <w:szCs w:val="20"/>
        </w:rPr>
        <w:t>ctable, and an adverse decision in any such matter could have a material adverse effect on our financial condition, results of operations, cash flows and equity.</w:t>
      </w:r>
    </w:p>
    <w:p w:rsidR="00000000" w:rsidRDefault="00E16B33">
      <w:pPr>
        <w:ind w:hanging="360"/>
        <w:divId w:val="947153398"/>
        <w:rPr>
          <w:rFonts w:eastAsia="Times New Roman"/>
        </w:rPr>
      </w:pPr>
      <w:r>
        <w:rPr>
          <w:rFonts w:eastAsia="Times New Roman"/>
          <w:color w:val="000000"/>
          <w:sz w:val="20"/>
          <w:szCs w:val="20"/>
        </w:rPr>
        <w:t>•Third parties have claimed in the past and may claim in the future that we are infringing dir</w:t>
      </w:r>
      <w:r>
        <w:rPr>
          <w:rFonts w:eastAsia="Times New Roman"/>
          <w:color w:val="000000"/>
          <w:sz w:val="20"/>
          <w:szCs w:val="20"/>
        </w:rPr>
        <w:t>ectly or indirectly upon their intellectual property rights, and third parties may infringe upon our intellectual property rights.</w:t>
      </w:r>
    </w:p>
    <w:p w:rsidR="00000000" w:rsidRDefault="00E16B33">
      <w:pPr>
        <w:ind w:hanging="360"/>
        <w:divId w:val="976227475"/>
        <w:rPr>
          <w:rFonts w:eastAsia="Times New Roman"/>
        </w:rPr>
      </w:pPr>
      <w:r>
        <w:rPr>
          <w:rFonts w:eastAsia="Times New Roman"/>
          <w:color w:val="000000"/>
          <w:sz w:val="20"/>
          <w:szCs w:val="20"/>
        </w:rPr>
        <w:t>•</w:t>
      </w:r>
      <w:r>
        <w:rPr>
          <w:rFonts w:eastAsia="Times New Roman"/>
          <w:color w:val="000000"/>
          <w:sz w:val="20"/>
          <w:szCs w:val="20"/>
        </w:rPr>
        <w:t>We face certain significant risk exposures and potential liabilities that may not be covered adequately by insurance or indemnity.</w:t>
      </w:r>
    </w:p>
    <w:p w:rsidR="00000000" w:rsidRDefault="00E16B33">
      <w:pPr>
        <w:ind w:hanging="360"/>
        <w:divId w:val="1612398060"/>
        <w:rPr>
          <w:rFonts w:eastAsia="Times New Roman"/>
        </w:rPr>
      </w:pPr>
      <w:r>
        <w:rPr>
          <w:rFonts w:eastAsia="Times New Roman"/>
          <w:color w:val="000000"/>
          <w:sz w:val="20"/>
          <w:szCs w:val="20"/>
        </w:rPr>
        <w:t>•Unforeseen environmental issues, including regulations related to greenhouse gas emissions or change in customer sentiment r</w:t>
      </w:r>
      <w:r>
        <w:rPr>
          <w:rFonts w:eastAsia="Times New Roman"/>
          <w:color w:val="000000"/>
          <w:sz w:val="20"/>
          <w:szCs w:val="20"/>
        </w:rPr>
        <w:t>elated to environmental sustainability, could have a material adverse effect on our business, financial condition, results of operations, cash flows and equity.</w:t>
      </w:r>
    </w:p>
    <w:p w:rsidR="00000000" w:rsidRDefault="00E16B33">
      <w:pPr>
        <w:ind w:hanging="360"/>
        <w:divId w:val="417603521"/>
        <w:rPr>
          <w:rFonts w:eastAsia="Times New Roman"/>
        </w:rPr>
      </w:pPr>
      <w:r>
        <w:rPr>
          <w:rFonts w:eastAsia="Times New Roman"/>
          <w:color w:val="000000"/>
          <w:sz w:val="20"/>
          <w:szCs w:val="20"/>
        </w:rPr>
        <w:t xml:space="preserve">•Strategic transactions, including mergers, acquisitions and divestitures, involve significant </w:t>
      </w:r>
      <w:r>
        <w:rPr>
          <w:rFonts w:eastAsia="Times New Roman"/>
          <w:color w:val="000000"/>
          <w:sz w:val="20"/>
          <w:szCs w:val="20"/>
        </w:rPr>
        <w:t>risks and uncertainties that could adversely affect our business, financial condition, results of operations, cash flows and equity.</w:t>
      </w:r>
    </w:p>
    <w:p w:rsidR="00000000" w:rsidRDefault="00E16B33">
      <w:pPr>
        <w:ind w:hanging="360"/>
        <w:divId w:val="797071484"/>
        <w:rPr>
          <w:rFonts w:eastAsia="Times New Roman"/>
        </w:rPr>
      </w:pPr>
      <w:r>
        <w:rPr>
          <w:rFonts w:eastAsia="Times New Roman"/>
          <w:color w:val="000000"/>
          <w:sz w:val="20"/>
          <w:szCs w:val="20"/>
        </w:rPr>
        <w:t>•Changes in future business or other market conditions could cause business investments and/or recorded goodwill or other l</w:t>
      </w:r>
      <w:r>
        <w:rPr>
          <w:rFonts w:eastAsia="Times New Roman"/>
          <w:color w:val="000000"/>
          <w:sz w:val="20"/>
          <w:szCs w:val="20"/>
        </w:rPr>
        <w:t>ong-term assets to become impaired, resulting in substantial losses and write-downs that would materially adversely affect our results of operations and financial condition.</w:t>
      </w:r>
    </w:p>
    <w:p w:rsidR="00000000" w:rsidRDefault="00E16B33">
      <w:pPr>
        <w:ind w:firstLine="360"/>
        <w:divId w:val="1030494630"/>
        <w:rPr>
          <w:rFonts w:eastAsia="Times New Roman"/>
        </w:rPr>
      </w:pPr>
      <w:r>
        <w:rPr>
          <w:rFonts w:eastAsia="Times New Roman"/>
          <w:color w:val="000000"/>
          <w:sz w:val="20"/>
          <w:szCs w:val="20"/>
        </w:rPr>
        <w:t>Additional details and discussions concerning some of the factors that could affec</w:t>
      </w:r>
      <w:r>
        <w:rPr>
          <w:rFonts w:eastAsia="Times New Roman"/>
          <w:color w:val="000000"/>
          <w:sz w:val="20"/>
          <w:szCs w:val="20"/>
        </w:rPr>
        <w:t>t our forward-looking statements or future results are set forth in our Fiscal 2021 Form 10-K under Item 1A. “Risk Factors” and in Part II, Item 1A. “Risk Factors” in this Report. The foregoing list of factors and the factors set forth in Item 1A. “Risk Fa</w:t>
      </w:r>
      <w:r>
        <w:rPr>
          <w:rFonts w:eastAsia="Times New Roman"/>
          <w:color w:val="000000"/>
          <w:sz w:val="20"/>
          <w:szCs w:val="20"/>
        </w:rPr>
        <w:t>ctors” included in our Fiscal 2021 Form 10-K and in Part II, Item 1A. “Risk Factors” in this Report are not exhaustive. Additional risks and uncertainties not known to us or that we currently believe not to be material also may adversely impact our busines</w:t>
      </w:r>
      <w:r>
        <w:rPr>
          <w:rFonts w:eastAsia="Times New Roman"/>
          <w:color w:val="000000"/>
          <w:sz w:val="20"/>
          <w:szCs w:val="20"/>
        </w:rPr>
        <w:t>s, financial condition, results of operations, cash flows and equity. Should any risks or uncertainties develop into actual events, these developments could have a material adverse effect on our business, financial condition, results of operations, cash fl</w:t>
      </w:r>
      <w:r>
        <w:rPr>
          <w:rFonts w:eastAsia="Times New Roman"/>
          <w:color w:val="000000"/>
          <w:sz w:val="20"/>
          <w:szCs w:val="20"/>
        </w:rPr>
        <w:t>ows and equity. The forward-looking statements contained in this Report are made as of the date of filing of this Report, and we disclaim any intention or obligation, other than imposed by law, to update or revise any forward-looking statements or to updat</w:t>
      </w:r>
      <w:r>
        <w:rPr>
          <w:rFonts w:eastAsia="Times New Roman"/>
          <w:color w:val="000000"/>
          <w:sz w:val="20"/>
          <w:szCs w:val="20"/>
        </w:rPr>
        <w:t>e the reasons actual results could differ materially from those projected in the forward-looking statements, whether as a result of new information, future events or developments or otherwise.</w:t>
      </w:r>
    </w:p>
    <w:tbl>
      <w:tblPr>
        <w:tblW w:w="4288" w:type="pct"/>
        <w:tblCellMar>
          <w:top w:w="15" w:type="dxa"/>
          <w:left w:w="15" w:type="dxa"/>
          <w:bottom w:w="15" w:type="dxa"/>
          <w:right w:w="15" w:type="dxa"/>
        </w:tblCellMar>
        <w:tblLook w:val="04A0" w:firstRow="1" w:lastRow="0" w:firstColumn="1" w:lastColumn="0" w:noHBand="0" w:noVBand="1"/>
      </w:tblPr>
      <w:tblGrid>
        <w:gridCol w:w="56"/>
        <w:gridCol w:w="957"/>
        <w:gridCol w:w="36"/>
        <w:gridCol w:w="57"/>
        <w:gridCol w:w="5981"/>
        <w:gridCol w:w="36"/>
      </w:tblGrid>
      <w:tr w:rsidR="00000000">
        <w:trPr>
          <w:divId w:val="786244172"/>
        </w:trPr>
        <w:tc>
          <w:tcPr>
            <w:tcW w:w="50" w:type="pct"/>
            <w:vAlign w:val="center"/>
            <w:hideMark/>
          </w:tcPr>
          <w:p w:rsidR="00000000" w:rsidRDefault="00E16B33">
            <w:pPr>
              <w:ind w:firstLine="360"/>
              <w:rPr>
                <w:rFonts w:eastAsia="Times New Roman"/>
              </w:rPr>
            </w:pPr>
          </w:p>
        </w:tc>
        <w:tc>
          <w:tcPr>
            <w:tcW w:w="68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20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786244172"/>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QUANTITATIVE AND QUALITATIVE DISCLOSURES ABOUT</w:t>
            </w:r>
            <w:r>
              <w:rPr>
                <w:rFonts w:eastAsia="Times New Roman"/>
                <w:b/>
                <w:bCs/>
                <w:color w:val="000000"/>
                <w:sz w:val="20"/>
                <w:szCs w:val="20"/>
              </w:rPr>
              <w:t xml:space="preserve"> MARKET RISK.</w:t>
            </w:r>
          </w:p>
        </w:tc>
      </w:tr>
    </w:tbl>
    <w:p w:rsidR="00000000" w:rsidRDefault="00E16B33">
      <w:pPr>
        <w:ind w:firstLine="360"/>
        <w:divId w:val="1618220017"/>
        <w:rPr>
          <w:rFonts w:eastAsia="Times New Roman"/>
        </w:rPr>
      </w:pPr>
      <w:r>
        <w:rPr>
          <w:rFonts w:eastAsia="Times New Roman"/>
          <w:color w:val="000000"/>
          <w:sz w:val="20"/>
          <w:szCs w:val="20"/>
        </w:rPr>
        <w:t xml:space="preserve">In the normal course of business, we are exposed to the risks associated with foreign currency exchange rates and changes in interest rates. We employ established policies and procedures governing the use of financial instruments to manage our exposure to </w:t>
      </w:r>
      <w:r>
        <w:rPr>
          <w:rFonts w:eastAsia="Times New Roman"/>
          <w:color w:val="000000"/>
          <w:sz w:val="20"/>
          <w:szCs w:val="20"/>
        </w:rPr>
        <w:t>such risks. There were no material changes during the two quarters ended July 1, 2022 with respect to the information appearing in Part II, Item 7A, “Quantitative and Qualitative Disclosures about Market Risk” of our Fiscal 2021 Form 10-K.</w:t>
      </w:r>
    </w:p>
    <w:tbl>
      <w:tblPr>
        <w:tblW w:w="2162"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470"/>
        <w:gridCol w:w="36"/>
      </w:tblGrid>
      <w:tr w:rsidR="00000000">
        <w:trPr>
          <w:divId w:val="2072538593"/>
        </w:trPr>
        <w:tc>
          <w:tcPr>
            <w:tcW w:w="50" w:type="pct"/>
            <w:vAlign w:val="center"/>
            <w:hideMark/>
          </w:tcPr>
          <w:p w:rsidR="00000000" w:rsidRDefault="00E16B33">
            <w:pPr>
              <w:ind w:firstLine="360"/>
              <w:rPr>
                <w:rFonts w:eastAsia="Times New Roman"/>
              </w:rPr>
            </w:pPr>
          </w:p>
        </w:tc>
        <w:tc>
          <w:tcPr>
            <w:tcW w:w="140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48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2072538593"/>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CONTROLS AND PROCEDURES.</w:t>
            </w:r>
          </w:p>
        </w:tc>
      </w:tr>
    </w:tbl>
    <w:p w:rsidR="00000000" w:rsidRDefault="00E16B33">
      <w:pPr>
        <w:ind w:firstLine="360"/>
        <w:divId w:val="1797675415"/>
        <w:rPr>
          <w:rFonts w:eastAsia="Times New Roman"/>
        </w:rPr>
      </w:pPr>
      <w:r>
        <w:rPr>
          <w:rFonts w:eastAsia="Times New Roman"/>
          <w:b/>
          <w:bCs/>
          <w:color w:val="000000"/>
          <w:sz w:val="20"/>
          <w:szCs w:val="20"/>
        </w:rPr>
        <w:t>(a) Evaluation of Disclosure Controls and Procedures:</w:t>
      </w:r>
      <w:r>
        <w:rPr>
          <w:rFonts w:eastAsia="Times New Roman"/>
          <w:color w:val="000000"/>
          <w:sz w:val="20"/>
          <w:szCs w:val="20"/>
        </w:rPr>
        <w:t> </w:t>
      </w:r>
      <w:r>
        <w:rPr>
          <w:rFonts w:eastAsia="Times New Roman"/>
          <w:color w:val="000000"/>
          <w:sz w:val="20"/>
          <w:szCs w:val="20"/>
        </w:rPr>
        <w:t xml:space="preserve">We maintain disclosure controls and procedures that are designed to ensure that information required to be disclosed in our reports filed or submitted under the Exchange Act is recorded, processed, summarized and reported within the time periods specified </w:t>
      </w:r>
      <w:r>
        <w:rPr>
          <w:rFonts w:eastAsia="Times New Roman"/>
          <w:color w:val="000000"/>
          <w:sz w:val="20"/>
          <w:szCs w:val="20"/>
        </w:rPr>
        <w:t>in SEC rules and forms. Our disclosure controls and procedures include, without limitation, controls and procedures designed to ensure that information required to be disclosed in our reports filed or submitted under the Exchange Act is accumulated and com</w:t>
      </w:r>
      <w:r>
        <w:rPr>
          <w:rFonts w:eastAsia="Times New Roman"/>
          <w:color w:val="000000"/>
          <w:sz w:val="20"/>
          <w:szCs w:val="20"/>
        </w:rPr>
        <w:t>municated to management, including our Chief Executive Officer and Chief Financial Officer, as appropriate to allow timely decisions regarding required disclosures. There are inherent limitations to the effectiveness of any system of disclosure controls an</w:t>
      </w:r>
      <w:r>
        <w:rPr>
          <w:rFonts w:eastAsia="Times New Roman"/>
          <w:color w:val="000000"/>
          <w:sz w:val="20"/>
          <w:szCs w:val="20"/>
        </w:rPr>
        <w:t>d procedures, including the possibility of human error and the circumvention or overriding of the controls and procedures. Accordingly, even effective disclosure controls and procedures can provide only reasonable assurance of achieving their control objec</w:t>
      </w:r>
      <w:r>
        <w:rPr>
          <w:rFonts w:eastAsia="Times New Roman"/>
          <w:color w:val="000000"/>
          <w:sz w:val="20"/>
          <w:szCs w:val="20"/>
        </w:rPr>
        <w:t>tives, and management necessarily is required to use its judgment in evaluating the cost-benefit relationship of possible controls and procedures. As required by Rule 13a-15 under the Exchange Act, as of July 1, 2022, we carried out an evaluation of the ef</w:t>
      </w:r>
      <w:r>
        <w:rPr>
          <w:rFonts w:eastAsia="Times New Roman"/>
          <w:color w:val="000000"/>
          <w:sz w:val="20"/>
          <w:szCs w:val="20"/>
        </w:rPr>
        <w:t xml:space="preserve">fectiveness of the design and operation of our disclosure controls and procedures. This evaluation was carried out under the supervision and with the participation of our </w:t>
      </w:r>
    </w:p>
    <w:p w:rsidR="00000000" w:rsidRDefault="00E16B33">
      <w:pPr>
        <w:ind w:firstLine="360"/>
        <w:jc w:val="center"/>
        <w:divId w:val="360086623"/>
        <w:rPr>
          <w:rFonts w:eastAsia="Times New Roman"/>
        </w:rPr>
      </w:pPr>
      <w:r>
        <w:rPr>
          <w:rFonts w:eastAsia="Times New Roman"/>
          <w:color w:val="000000"/>
          <w:sz w:val="20"/>
          <w:szCs w:val="20"/>
        </w:rPr>
        <w:t>29</w:t>
      </w:r>
    </w:p>
    <w:p w:rsidR="00000000" w:rsidRDefault="00E16B33">
      <w:pPr>
        <w:rPr>
          <w:rFonts w:eastAsia="Times New Roman"/>
        </w:rPr>
      </w:pPr>
      <w:r>
        <w:rPr>
          <w:rFonts w:eastAsia="Times New Roman"/>
        </w:rPr>
        <w:pict>
          <v:rect id="_x0000_i1056" style="width:0;height:1.5pt" o:hralign="center" o:hrstd="t" o:hr="t" fillcolor="#a0a0a0" stroked="f"/>
        </w:pict>
      </w:r>
    </w:p>
    <w:p w:rsidR="00000000" w:rsidRDefault="00E16B33">
      <w:pPr>
        <w:ind w:firstLine="360"/>
        <w:divId w:val="900754451"/>
        <w:rPr>
          <w:rFonts w:eastAsia="Times New Roman"/>
        </w:rPr>
      </w:pPr>
    </w:p>
    <w:p w:rsidR="00000000" w:rsidRDefault="00E16B33">
      <w:pPr>
        <w:divId w:val="1705519543"/>
        <w:rPr>
          <w:rFonts w:eastAsia="Times New Roman"/>
        </w:rPr>
      </w:pPr>
      <w:r>
        <w:rPr>
          <w:rFonts w:eastAsia="Times New Roman"/>
          <w:color w:val="000000"/>
          <w:sz w:val="20"/>
          <w:szCs w:val="20"/>
        </w:rPr>
        <w:t xml:space="preserve">management, including our Chief Executive </w:t>
      </w:r>
      <w:r>
        <w:rPr>
          <w:rFonts w:eastAsia="Times New Roman"/>
          <w:color w:val="000000"/>
          <w:sz w:val="20"/>
          <w:szCs w:val="20"/>
        </w:rPr>
        <w:t>Officer and our Chief Financial Officer. Based on this work and other evaluation procedures, our management, including our Chief Executive Officer and our Chief Financial Officer, has concluded that as of July 1, 2022 our disclosure controls and procedures</w:t>
      </w:r>
      <w:r>
        <w:rPr>
          <w:rFonts w:eastAsia="Times New Roman"/>
          <w:color w:val="000000"/>
          <w:sz w:val="20"/>
          <w:szCs w:val="20"/>
        </w:rPr>
        <w:t xml:space="preserve"> were effective at the reasonable assurance level.</w:t>
      </w:r>
    </w:p>
    <w:p w:rsidR="00000000" w:rsidRDefault="00E16B33">
      <w:pPr>
        <w:ind w:firstLine="360"/>
        <w:divId w:val="1652442064"/>
        <w:rPr>
          <w:rFonts w:eastAsia="Times New Roman"/>
        </w:rPr>
      </w:pPr>
      <w:r>
        <w:rPr>
          <w:rFonts w:eastAsia="Times New Roman"/>
          <w:b/>
          <w:bCs/>
          <w:color w:val="000000"/>
          <w:sz w:val="20"/>
          <w:szCs w:val="20"/>
        </w:rPr>
        <w:t>(b) Changes in Internal Control:</w:t>
      </w:r>
      <w:r>
        <w:rPr>
          <w:rFonts w:eastAsia="Times New Roman"/>
          <w:color w:val="000000"/>
          <w:sz w:val="20"/>
          <w:szCs w:val="20"/>
        </w:rPr>
        <w:t xml:space="preserve"> We periodically review our internal control over financial reporting as part of our efforts to ensure compliance with the requirements of Section 404 of the Sarbanes-Oxley </w:t>
      </w:r>
      <w:r>
        <w:rPr>
          <w:rFonts w:eastAsia="Times New Roman"/>
          <w:color w:val="000000"/>
          <w:sz w:val="20"/>
          <w:szCs w:val="20"/>
        </w:rPr>
        <w:t>Act of 2002. In addition, we routinely review our system of internal control over financial reporting to identify potential changes to our processes and systems that may improve controls and increase efficiency, while ensuring that we maintain an effective</w:t>
      </w:r>
      <w:r>
        <w:rPr>
          <w:rFonts w:eastAsia="Times New Roman"/>
          <w:color w:val="000000"/>
          <w:sz w:val="20"/>
          <w:szCs w:val="20"/>
        </w:rPr>
        <w:t xml:space="preserve"> internal control environment. Changes may include such activities as implementing new, more efficient systems, consolidating the activities of business units, migrating certain processes to our shared services organizations, formalizing policies and proce</w:t>
      </w:r>
      <w:r>
        <w:rPr>
          <w:rFonts w:eastAsia="Times New Roman"/>
          <w:color w:val="000000"/>
          <w:sz w:val="20"/>
          <w:szCs w:val="20"/>
        </w:rPr>
        <w:t xml:space="preserve">dures, improving segregation of duties and increasing monitoring controls. In addition, when we acquire new businesses, we incorporate our controls and procedures into the acquired business as part of our integration activities. There have been no changes </w:t>
      </w:r>
      <w:r>
        <w:rPr>
          <w:rFonts w:eastAsia="Times New Roman"/>
          <w:color w:val="000000"/>
          <w:sz w:val="20"/>
          <w:szCs w:val="20"/>
        </w:rPr>
        <w:t>in our internal control over financial reporting that occurred during the quarter ended July 1, 2022 that have materially affected, or are reasonably likely to materially affect, our internal control over financial reporting.</w:t>
      </w:r>
    </w:p>
    <w:p w:rsidR="00000000" w:rsidRDefault="00E16B33">
      <w:pPr>
        <w:ind w:firstLine="360"/>
        <w:divId w:val="349986652"/>
        <w:rPr>
          <w:rFonts w:eastAsia="Times New Roman"/>
        </w:rPr>
      </w:pPr>
    </w:p>
    <w:p w:rsidR="00000000" w:rsidRDefault="00E16B33">
      <w:pPr>
        <w:ind w:firstLine="360"/>
        <w:jc w:val="center"/>
        <w:divId w:val="1939292288"/>
        <w:rPr>
          <w:rFonts w:eastAsia="Times New Roman"/>
        </w:rPr>
      </w:pPr>
      <w:r>
        <w:rPr>
          <w:rFonts w:eastAsia="Times New Roman"/>
          <w:color w:val="000000"/>
          <w:sz w:val="20"/>
          <w:szCs w:val="20"/>
        </w:rPr>
        <w:t>30</w:t>
      </w:r>
    </w:p>
    <w:p w:rsidR="00000000" w:rsidRDefault="00E16B33">
      <w:pPr>
        <w:rPr>
          <w:rFonts w:eastAsia="Times New Roman"/>
        </w:rPr>
      </w:pPr>
      <w:r>
        <w:rPr>
          <w:rFonts w:eastAsia="Times New Roman"/>
        </w:rPr>
        <w:pict>
          <v:rect id="_x0000_i1057" style="width:0;height:1.5pt" o:hralign="center" o:hrstd="t" o:hr="t" fillcolor="#a0a0a0" stroked="f"/>
        </w:pict>
      </w:r>
    </w:p>
    <w:p w:rsidR="00000000" w:rsidRDefault="00E16B33">
      <w:pPr>
        <w:ind w:firstLine="360"/>
        <w:divId w:val="1993409562"/>
        <w:rPr>
          <w:rFonts w:eastAsia="Times New Roman"/>
        </w:rPr>
      </w:pPr>
    </w:p>
    <w:p w:rsidR="00000000" w:rsidRDefault="00E16B33">
      <w:pPr>
        <w:ind w:firstLine="360"/>
        <w:jc w:val="center"/>
        <w:divId w:val="723598033"/>
        <w:rPr>
          <w:rFonts w:eastAsia="Times New Roman"/>
        </w:rPr>
      </w:pPr>
      <w:r>
        <w:rPr>
          <w:rFonts w:eastAsia="Times New Roman"/>
          <w:b/>
          <w:bCs/>
          <w:color w:val="000000"/>
          <w:sz w:val="20"/>
          <w:szCs w:val="20"/>
        </w:rPr>
        <w:t>PART II. OTHER INFORMATION</w:t>
      </w:r>
    </w:p>
    <w:tbl>
      <w:tblPr>
        <w:tblW w:w="1724"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825"/>
        <w:gridCol w:w="36"/>
      </w:tblGrid>
      <w:tr w:rsidR="00000000">
        <w:trPr>
          <w:divId w:val="1472865416"/>
        </w:trPr>
        <w:tc>
          <w:tcPr>
            <w:tcW w:w="50" w:type="pct"/>
            <w:vAlign w:val="center"/>
            <w:hideMark/>
          </w:tcPr>
          <w:p w:rsidR="00000000" w:rsidRDefault="00E16B33">
            <w:pPr>
              <w:ind w:firstLine="360"/>
              <w:jc w:val="center"/>
              <w:rPr>
                <w:rFonts w:eastAsia="Times New Roman"/>
              </w:rPr>
            </w:pPr>
          </w:p>
        </w:tc>
        <w:tc>
          <w:tcPr>
            <w:tcW w:w="163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25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472865416"/>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LEGAL PROCEEDINGS.</w:t>
            </w:r>
          </w:p>
        </w:tc>
      </w:tr>
    </w:tbl>
    <w:p w:rsidR="00000000" w:rsidRDefault="00E16B33">
      <w:pPr>
        <w:ind w:firstLine="360"/>
        <w:divId w:val="81025876"/>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S — Legal Proceedings and Contingencies </w:t>
      </w:r>
      <w:r>
        <w:rPr>
          <w:rFonts w:eastAsia="Times New Roman"/>
          <w:color w:val="000000"/>
          <w:sz w:val="20"/>
          <w:szCs w:val="20"/>
        </w:rPr>
        <w:t>in the Notes for discussion regarding material legal proceedings and contingencies. Except as set forth in such discussion, there have been no material developments in legal proceedings as reported in Item 3. “Legal Proceedings” of our Fiscal 2021 Form 10-</w:t>
      </w:r>
      <w:r>
        <w:rPr>
          <w:rFonts w:eastAsia="Times New Roman"/>
          <w:color w:val="000000"/>
          <w:sz w:val="20"/>
          <w:szCs w:val="20"/>
        </w:rPr>
        <w:t>K.</w:t>
      </w:r>
    </w:p>
    <w:tbl>
      <w:tblPr>
        <w:tblW w:w="158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514"/>
        <w:gridCol w:w="36"/>
      </w:tblGrid>
      <w:tr w:rsidR="00000000">
        <w:trPr>
          <w:divId w:val="594485423"/>
        </w:trPr>
        <w:tc>
          <w:tcPr>
            <w:tcW w:w="50" w:type="pct"/>
            <w:vAlign w:val="center"/>
            <w:hideMark/>
          </w:tcPr>
          <w:p w:rsidR="00000000" w:rsidRDefault="00E16B33">
            <w:pPr>
              <w:ind w:firstLine="360"/>
              <w:rPr>
                <w:rFonts w:eastAsia="Times New Roman"/>
              </w:rPr>
            </w:pPr>
          </w:p>
        </w:tc>
        <w:tc>
          <w:tcPr>
            <w:tcW w:w="193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295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594485423"/>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RISK FACTORS.</w:t>
            </w:r>
          </w:p>
        </w:tc>
      </w:tr>
    </w:tbl>
    <w:p w:rsidR="00000000" w:rsidRDefault="00E16B33">
      <w:pPr>
        <w:ind w:firstLine="360"/>
        <w:divId w:val="1735007490"/>
        <w:rPr>
          <w:rFonts w:eastAsia="Times New Roman"/>
        </w:rPr>
      </w:pPr>
      <w:r>
        <w:rPr>
          <w:rFonts w:eastAsia="Times New Roman"/>
          <w:color w:val="000000"/>
          <w:sz w:val="20"/>
          <w:szCs w:val="20"/>
        </w:rPr>
        <w:t>Investors should carefully review and consider the information regarding certain factors that could materially affect our business, results of operations, financial condition, cash flows and equity as set forth in Item 1A. “Risk Factors” of our Fiscal 2021</w:t>
      </w:r>
      <w:r>
        <w:rPr>
          <w:rFonts w:eastAsia="Times New Roman"/>
          <w:color w:val="000000"/>
          <w:sz w:val="20"/>
          <w:szCs w:val="20"/>
        </w:rPr>
        <w:t xml:space="preserve"> Form 10-K. There have been no material changes, other than the amendment below, to the risk factors disclosed in our Fiscal 2021 Form 10-K. We may disclose changes to our risk factors or disclose additional risk factors from time to time in our future fil</w:t>
      </w:r>
      <w:r>
        <w:rPr>
          <w:rFonts w:eastAsia="Times New Roman"/>
          <w:color w:val="000000"/>
          <w:sz w:val="20"/>
          <w:szCs w:val="20"/>
        </w:rPr>
        <w:t>ings with the SEC. Additional risks and uncertainties not presently known to us or that we currently believe not to be material also may adversely impact our business, financial condition, results of operations, cash flows and equity.</w:t>
      </w:r>
    </w:p>
    <w:p w:rsidR="00000000" w:rsidRDefault="00E16B33">
      <w:pPr>
        <w:divId w:val="1775779721"/>
        <w:rPr>
          <w:rFonts w:eastAsia="Times New Roman"/>
        </w:rPr>
      </w:pPr>
      <w:r>
        <w:rPr>
          <w:rFonts w:eastAsia="Times New Roman"/>
          <w:b/>
          <w:bCs/>
          <w:i/>
          <w:iCs/>
          <w:color w:val="000000"/>
          <w:sz w:val="20"/>
          <w:szCs w:val="20"/>
        </w:rPr>
        <w:t>Our results of operat</w:t>
      </w:r>
      <w:r>
        <w:rPr>
          <w:rFonts w:eastAsia="Times New Roman"/>
          <w:b/>
          <w:bCs/>
          <w:i/>
          <w:iCs/>
          <w:color w:val="000000"/>
          <w:sz w:val="20"/>
          <w:szCs w:val="20"/>
        </w:rPr>
        <w:t>ions and cash flows are substantially affected by our mix of fixed-price, cost-plus and time-and-material type contracts. In particular, our fixed-price contracts could subject us to losses in the event of cost overruns or a significant increase in or sust</w:t>
      </w:r>
      <w:r>
        <w:rPr>
          <w:rFonts w:eastAsia="Times New Roman"/>
          <w:b/>
          <w:bCs/>
          <w:i/>
          <w:iCs/>
          <w:color w:val="000000"/>
          <w:sz w:val="20"/>
          <w:szCs w:val="20"/>
        </w:rPr>
        <w:t>ained period of increased inflation.</w:t>
      </w:r>
    </w:p>
    <w:p w:rsidR="00000000" w:rsidRDefault="00E16B33">
      <w:pPr>
        <w:ind w:firstLine="360"/>
        <w:divId w:val="2096512736"/>
        <w:rPr>
          <w:rFonts w:eastAsia="Times New Roman"/>
        </w:rPr>
      </w:pPr>
      <w:r>
        <w:rPr>
          <w:rFonts w:eastAsia="Times New Roman"/>
          <w:color w:val="000000"/>
          <w:sz w:val="20"/>
          <w:szCs w:val="20"/>
        </w:rPr>
        <w:t>We generate revenue through various fixed-price, cost-plus and time-and-material contracts. For a general description of our U.S. Government contracts and subcontracts, including a discussion of revenue generated thereu</w:t>
      </w:r>
      <w:r>
        <w:rPr>
          <w:rFonts w:eastAsia="Times New Roman"/>
          <w:color w:val="000000"/>
          <w:sz w:val="20"/>
          <w:szCs w:val="20"/>
        </w:rPr>
        <w:t>nder and of cost-reimbursable versus fixed-price contracts, see “Item 1. Business - Principal Customers; Government Contracts” of our Fiscal 2021 Form 10-K. For a description of our revenue recognition policies, see “Item 7. Management’s Discussion and Ana</w:t>
      </w:r>
      <w:r>
        <w:rPr>
          <w:rFonts w:eastAsia="Times New Roman"/>
          <w:color w:val="000000"/>
          <w:sz w:val="20"/>
          <w:szCs w:val="20"/>
        </w:rPr>
        <w:t>lysis of Financial Conditions and Results of Operations - Critical Accounting Policies and Estimates - Revenue Recognition” of our Fiscal 2021 Form 10-K.</w:t>
      </w:r>
    </w:p>
    <w:p w:rsidR="00000000" w:rsidRDefault="00E16B33">
      <w:pPr>
        <w:ind w:firstLine="360"/>
        <w:divId w:val="1032728765"/>
        <w:rPr>
          <w:rFonts w:eastAsia="Times New Roman"/>
        </w:rPr>
      </w:pPr>
      <w:r>
        <w:rPr>
          <w:rFonts w:eastAsia="Times New Roman"/>
          <w:color w:val="000000"/>
          <w:sz w:val="20"/>
          <w:szCs w:val="20"/>
        </w:rPr>
        <w:t>In fiscal 2021, 74% of our revenue was derived from fixed-price contracts which allow us to benefit fr</w:t>
      </w:r>
      <w:r>
        <w:rPr>
          <w:rFonts w:eastAsia="Times New Roman"/>
          <w:color w:val="000000"/>
          <w:sz w:val="20"/>
          <w:szCs w:val="20"/>
        </w:rPr>
        <w:t>om cost savings, but subject us to the risk of potential cost overruns, including due to greater than anticipated or a sustained period of increased inflation or unexpected delays, particularly for firm fixed-price contracts because we assume all of the co</w:t>
      </w:r>
      <w:r>
        <w:rPr>
          <w:rFonts w:eastAsia="Times New Roman"/>
          <w:color w:val="000000"/>
          <w:sz w:val="20"/>
          <w:szCs w:val="20"/>
        </w:rPr>
        <w:t>st burden. If our initial estimates are incorrect, we can lose money (or make more or less money than estimated) on these contracts. U.S. Government contracts can expose us to potentially large losses because the U.S. Government can hold us responsible for</w:t>
      </w:r>
      <w:r>
        <w:rPr>
          <w:rFonts w:eastAsia="Times New Roman"/>
          <w:color w:val="000000"/>
          <w:sz w:val="20"/>
          <w:szCs w:val="20"/>
        </w:rPr>
        <w:t xml:space="preserve"> completing a project or, in certain circumstances, paying the entire cost of its replacement by another provider regardless of the size or foreseeability of any cost overruns that occur over the life of the contract. Because many of these contracts involv</w:t>
      </w:r>
      <w:r>
        <w:rPr>
          <w:rFonts w:eastAsia="Times New Roman"/>
          <w:color w:val="000000"/>
          <w:sz w:val="20"/>
          <w:szCs w:val="20"/>
        </w:rPr>
        <w:t>e new technologies and applications and can last for years, unforeseen events, such as technological difficulties, fluctuations in the price of raw materials, a significant increase in or sustained period of increased inflation, problems with our suppliers</w:t>
      </w:r>
      <w:r>
        <w:rPr>
          <w:rFonts w:eastAsia="Times New Roman"/>
          <w:color w:val="000000"/>
          <w:sz w:val="20"/>
          <w:szCs w:val="20"/>
        </w:rPr>
        <w:t xml:space="preserve"> and cost overruns, can result in the contractual price becoming less favorable or even unprofitable to us over time (which, especially in the case of sharp and significant sustained inflation, could happen quickly). Furthermore, if we do not meet contract</w:t>
      </w:r>
      <w:r>
        <w:rPr>
          <w:rFonts w:eastAsia="Times New Roman"/>
          <w:color w:val="000000"/>
          <w:sz w:val="20"/>
          <w:szCs w:val="20"/>
        </w:rPr>
        <w:t xml:space="preserve"> deadlines or specifications, we may need to renegotiate contracts on less favorable terms, be forced to pay penalties or liquidated damages or suffer major losses if the customer exercises its right to terminate. In addition, some of our contracts have pr</w:t>
      </w:r>
      <w:r>
        <w:rPr>
          <w:rFonts w:eastAsia="Times New Roman"/>
          <w:color w:val="000000"/>
          <w:sz w:val="20"/>
          <w:szCs w:val="20"/>
        </w:rPr>
        <w:t>ovisions relating to cost controls and audit rights, and if we fail to meet the terms specified in those contracts, we may not realize their full benefits. Cost overruns would adversely impact our results of operations, which are dependent on our ability t</w:t>
      </w:r>
      <w:r>
        <w:rPr>
          <w:rFonts w:eastAsia="Times New Roman"/>
          <w:color w:val="000000"/>
          <w:sz w:val="20"/>
          <w:szCs w:val="20"/>
        </w:rPr>
        <w:t>o maximize our earnings from our contracts, and the potential risk would be greater if our contracts shifted toward a greater percentage of fixed-price contracts, particularly firm fixed-price contracts. In addition, changes in contract financing policy fo</w:t>
      </w:r>
      <w:r>
        <w:rPr>
          <w:rFonts w:eastAsia="Times New Roman"/>
          <w:color w:val="000000"/>
          <w:sz w:val="20"/>
          <w:szCs w:val="20"/>
        </w:rPr>
        <w:t xml:space="preserve">r fixed-price contracts, such as changes in performance and progress payments policies, including a reversal or modification of the DoD’s March 2020 increase to the applicable progress payment rate from 80% to 90%, could significantly affect the timing of </w:t>
      </w:r>
      <w:r>
        <w:rPr>
          <w:rFonts w:eastAsia="Times New Roman"/>
          <w:color w:val="000000"/>
          <w:sz w:val="20"/>
          <w:szCs w:val="20"/>
        </w:rPr>
        <w:t xml:space="preserve">our cash flows. </w:t>
      </w:r>
    </w:p>
    <w:p w:rsidR="00000000" w:rsidRDefault="00E16B33">
      <w:pPr>
        <w:ind w:firstLine="360"/>
        <w:divId w:val="1625575357"/>
        <w:rPr>
          <w:rFonts w:eastAsia="Times New Roman"/>
        </w:rPr>
      </w:pPr>
      <w:r>
        <w:rPr>
          <w:rFonts w:eastAsia="Times New Roman"/>
          <w:color w:val="000000"/>
          <w:sz w:val="20"/>
          <w:szCs w:val="20"/>
        </w:rPr>
        <w:t>In fiscal 2021, 26% of our revenue was derived from cost-plus and time-and-material contracts, substantially all of which are with U.S. Government customers. Sales to foreign government and commercial customers are generally under fixed-pr</w:t>
      </w:r>
      <w:r>
        <w:rPr>
          <w:rFonts w:eastAsia="Times New Roman"/>
          <w:color w:val="000000"/>
          <w:sz w:val="20"/>
          <w:szCs w:val="20"/>
        </w:rPr>
        <w:t>ice arrangements and are included in our fixed-price contract sales. For a cost-plus contract, we are paid our allowable incurred costs plus a profit, which can be fixed or variable depending on the contract’s fee arrangement up to predetermined funding le</w:t>
      </w:r>
      <w:r>
        <w:rPr>
          <w:rFonts w:eastAsia="Times New Roman"/>
          <w:color w:val="000000"/>
          <w:sz w:val="20"/>
          <w:szCs w:val="20"/>
        </w:rPr>
        <w:t>vels established by our customers. For a time-and-material contract, we are paid on the basis of direct labor hours expended at specified fixed-price hourly rates (which include wages, overhead, allowable general and administrative expenses and profit) and</w:t>
      </w:r>
      <w:r>
        <w:rPr>
          <w:rFonts w:eastAsia="Times New Roman"/>
          <w:color w:val="000000"/>
          <w:sz w:val="20"/>
          <w:szCs w:val="20"/>
        </w:rPr>
        <w:t xml:space="preserve"> materials at cost. Therefore, on cost-plus and time-and-material type contracts, we do not bear the risks of unexpected cost overruns, provided that we do not incur costs that exceed the predetermined funded amounts.</w:t>
      </w:r>
    </w:p>
    <w:p w:rsidR="00000000" w:rsidRDefault="00E16B33">
      <w:pPr>
        <w:ind w:firstLine="360"/>
        <w:divId w:val="561255580"/>
        <w:rPr>
          <w:rFonts w:eastAsia="Times New Roman"/>
        </w:rPr>
      </w:pPr>
      <w:r>
        <w:rPr>
          <w:rFonts w:eastAsia="Times New Roman"/>
          <w:color w:val="000000"/>
          <w:sz w:val="20"/>
          <w:szCs w:val="20"/>
        </w:rPr>
        <w:t>To the extent feasible, we have consis</w:t>
      </w:r>
      <w:r>
        <w:rPr>
          <w:rFonts w:eastAsia="Times New Roman"/>
          <w:color w:val="000000"/>
          <w:sz w:val="20"/>
          <w:szCs w:val="20"/>
        </w:rPr>
        <w:t xml:space="preserve">tently followed the practice of adjusting our prices to reflect the impact of inflation on salaries and fringe benefits for employees and the cost of purchased materials and services. However, reports show a sharp increase in inflation since in late 2021. </w:t>
      </w:r>
      <w:r>
        <w:rPr>
          <w:rFonts w:eastAsia="Times New Roman"/>
          <w:color w:val="000000"/>
          <w:sz w:val="20"/>
          <w:szCs w:val="20"/>
        </w:rPr>
        <w:t>Our fixed-price contracts could subject us to losses in the event of cost overruns or such a significant increase in or a sustained period of increased inflation.</w:t>
      </w:r>
    </w:p>
    <w:p w:rsidR="00000000" w:rsidRDefault="00E16B33">
      <w:pPr>
        <w:ind w:firstLine="360"/>
        <w:jc w:val="center"/>
        <w:divId w:val="737753423"/>
        <w:rPr>
          <w:rFonts w:eastAsia="Times New Roman"/>
        </w:rPr>
      </w:pPr>
      <w:r>
        <w:rPr>
          <w:rFonts w:eastAsia="Times New Roman"/>
          <w:color w:val="000000"/>
          <w:sz w:val="20"/>
          <w:szCs w:val="20"/>
        </w:rPr>
        <w:t>31</w:t>
      </w:r>
    </w:p>
    <w:p w:rsidR="00000000" w:rsidRDefault="00E16B33">
      <w:pPr>
        <w:rPr>
          <w:rFonts w:eastAsia="Times New Roman"/>
        </w:rPr>
      </w:pPr>
      <w:r>
        <w:rPr>
          <w:rFonts w:eastAsia="Times New Roman"/>
        </w:rPr>
        <w:pict>
          <v:rect id="_x0000_i1058" style="width:0;height:1.5pt" o:hralign="center" o:hrstd="t" o:hr="t" fillcolor="#a0a0a0" stroked="f"/>
        </w:pict>
      </w:r>
    </w:p>
    <w:p w:rsidR="00000000" w:rsidRDefault="00E16B33">
      <w:pPr>
        <w:ind w:firstLine="360"/>
        <w:divId w:val="1903448672"/>
        <w:rPr>
          <w:rFonts w:eastAsia="Times New Roman"/>
        </w:rPr>
      </w:pPr>
    </w:p>
    <w:p w:rsidR="00000000" w:rsidRDefault="00E16B33">
      <w:pPr>
        <w:ind w:firstLine="360"/>
        <w:divId w:val="741372469"/>
        <w:rPr>
          <w:rFonts w:eastAsia="Times New Roman"/>
        </w:rPr>
      </w:pPr>
      <w:r>
        <w:rPr>
          <w:rFonts w:eastAsia="Times New Roman"/>
          <w:color w:val="000000"/>
          <w:sz w:val="20"/>
          <w:szCs w:val="20"/>
        </w:rPr>
        <w:t>Any or all of the foregoing could have a negative im</w:t>
      </w:r>
      <w:r>
        <w:rPr>
          <w:rFonts w:eastAsia="Times New Roman"/>
          <w:color w:val="000000"/>
          <w:sz w:val="20"/>
          <w:szCs w:val="20"/>
        </w:rPr>
        <w:t>pact on our business, financial condition, results of operations, cash flows and equity.</w:t>
      </w:r>
    </w:p>
    <w:tbl>
      <w:tblPr>
        <w:tblW w:w="4899" w:type="pct"/>
        <w:tblCellMar>
          <w:top w:w="15" w:type="dxa"/>
          <w:left w:w="15" w:type="dxa"/>
          <w:bottom w:w="15" w:type="dxa"/>
          <w:right w:w="15" w:type="dxa"/>
        </w:tblCellMar>
        <w:tblLook w:val="04A0" w:firstRow="1" w:lastRow="0" w:firstColumn="1" w:lastColumn="0" w:noHBand="0" w:noVBand="1"/>
      </w:tblPr>
      <w:tblGrid>
        <w:gridCol w:w="67"/>
        <w:gridCol w:w="862"/>
        <w:gridCol w:w="36"/>
        <w:gridCol w:w="67"/>
        <w:gridCol w:w="7070"/>
        <w:gridCol w:w="36"/>
      </w:tblGrid>
      <w:tr w:rsidR="00000000">
        <w:trPr>
          <w:divId w:val="2036807682"/>
        </w:trPr>
        <w:tc>
          <w:tcPr>
            <w:tcW w:w="50" w:type="pct"/>
            <w:vAlign w:val="center"/>
            <w:hideMark/>
          </w:tcPr>
          <w:p w:rsidR="00000000" w:rsidRDefault="00E16B33">
            <w:pPr>
              <w:ind w:firstLine="360"/>
              <w:rPr>
                <w:rFonts w:eastAsia="Times New Roman"/>
              </w:rPr>
            </w:pPr>
          </w:p>
        </w:tc>
        <w:tc>
          <w:tcPr>
            <w:tcW w:w="53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351"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2036807682"/>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UNREGISTERED SALES OF EQUITY SECURITIES AND USE OF PROCEEDS.</w:t>
            </w:r>
          </w:p>
        </w:tc>
      </w:tr>
    </w:tbl>
    <w:p w:rsidR="00000000" w:rsidRDefault="00E16B33">
      <w:pPr>
        <w:ind w:firstLine="360"/>
        <w:divId w:val="2036807682"/>
        <w:rPr>
          <w:rFonts w:eastAsia="Times New Roman"/>
        </w:rPr>
      </w:pPr>
      <w:r>
        <w:rPr>
          <w:rFonts w:eastAsia="Times New Roman"/>
          <w:b/>
          <w:bCs/>
          <w:color w:val="000000"/>
          <w:sz w:val="20"/>
          <w:szCs w:val="20"/>
        </w:rPr>
        <w:t>Issuer Purchases of Equity Securities</w:t>
      </w:r>
    </w:p>
    <w:p w:rsidR="00000000" w:rsidRDefault="00E16B33">
      <w:pPr>
        <w:ind w:firstLine="360"/>
        <w:divId w:val="1171719947"/>
        <w:rPr>
          <w:rFonts w:eastAsia="Times New Roman"/>
        </w:rPr>
      </w:pPr>
      <w:r>
        <w:rPr>
          <w:rFonts w:eastAsia="Times New Roman"/>
          <w:color w:val="000000"/>
          <w:sz w:val="20"/>
          <w:szCs w:val="20"/>
        </w:rPr>
        <w:t>During the quarter ended July 1, 2022, we repurchased 1.8 million shares of our common stock under our share repurchase program for $421 million at an average share price of $237.28, excluding commissions of $0.02 per share. The level and timing of our rep</w:t>
      </w:r>
      <w:r>
        <w:rPr>
          <w:rFonts w:eastAsia="Times New Roman"/>
          <w:color w:val="000000"/>
          <w:sz w:val="20"/>
          <w:szCs w:val="20"/>
        </w:rPr>
        <w:t>urchases depends on a number of factors, including our financial condition, capital requirements, cash flows, results of operations, future business prospects and other factors our Board of Directors and management may deem relevant. We have announced that</w:t>
      </w:r>
      <w:r>
        <w:rPr>
          <w:rFonts w:eastAsia="Times New Roman"/>
          <w:color w:val="000000"/>
          <w:sz w:val="20"/>
          <w:szCs w:val="20"/>
        </w:rPr>
        <w:t xml:space="preserve"> we currently expect to repurchase up to $1.5 billion in shares under our repurchase program in fiscal 2022, but we can give no assurances regarding the level and timing of share repurchases. The timing, volume and nature of repurchases are subject to mark</w:t>
      </w:r>
      <w:r>
        <w:rPr>
          <w:rFonts w:eastAsia="Times New Roman"/>
          <w:color w:val="000000"/>
          <w:sz w:val="20"/>
          <w:szCs w:val="20"/>
        </w:rPr>
        <w:t xml:space="preserve">et conditions, applicable securities laws and other factors and are at our discretion and may be suspended or discontinued at any time. Shares repurchased by us are cancelled and retired. </w:t>
      </w:r>
    </w:p>
    <w:p w:rsidR="00000000" w:rsidRDefault="00E16B33">
      <w:pPr>
        <w:ind w:firstLine="360"/>
        <w:divId w:val="374358586"/>
        <w:rPr>
          <w:rFonts w:eastAsia="Times New Roman"/>
        </w:rPr>
      </w:pPr>
      <w:r>
        <w:rPr>
          <w:rFonts w:eastAsia="Times New Roman"/>
          <w:color w:val="000000"/>
          <w:sz w:val="20"/>
          <w:szCs w:val="20"/>
        </w:rPr>
        <w:t>The following table sets forth information with respect to repurcha</w:t>
      </w:r>
      <w:r>
        <w:rPr>
          <w:rFonts w:eastAsia="Times New Roman"/>
          <w:color w:val="000000"/>
          <w:sz w:val="20"/>
          <w:szCs w:val="20"/>
        </w:rPr>
        <w:t>ses by us of our common stock during the quarter ended July 1, 2022:</w:t>
      </w:r>
    </w:p>
    <w:tbl>
      <w:tblPr>
        <w:tblW w:w="5000" w:type="pct"/>
        <w:tblCellMar>
          <w:top w:w="15" w:type="dxa"/>
          <w:left w:w="15" w:type="dxa"/>
          <w:bottom w:w="15" w:type="dxa"/>
          <w:right w:w="15" w:type="dxa"/>
        </w:tblCellMar>
        <w:tblLook w:val="04A0" w:firstRow="1" w:lastRow="0" w:firstColumn="1" w:lastColumn="0" w:noHBand="0" w:noVBand="1"/>
      </w:tblPr>
      <w:tblGrid>
        <w:gridCol w:w="38"/>
        <w:gridCol w:w="2466"/>
        <w:gridCol w:w="37"/>
        <w:gridCol w:w="86"/>
        <w:gridCol w:w="1133"/>
        <w:gridCol w:w="36"/>
        <w:gridCol w:w="36"/>
        <w:gridCol w:w="36"/>
        <w:gridCol w:w="36"/>
        <w:gridCol w:w="121"/>
        <w:gridCol w:w="981"/>
        <w:gridCol w:w="36"/>
        <w:gridCol w:w="36"/>
        <w:gridCol w:w="36"/>
        <w:gridCol w:w="36"/>
        <w:gridCol w:w="99"/>
        <w:gridCol w:w="1302"/>
        <w:gridCol w:w="36"/>
        <w:gridCol w:w="36"/>
        <w:gridCol w:w="36"/>
        <w:gridCol w:w="36"/>
        <w:gridCol w:w="60"/>
        <w:gridCol w:w="1515"/>
        <w:gridCol w:w="36"/>
      </w:tblGrid>
      <w:tr w:rsidR="00000000">
        <w:trPr>
          <w:divId w:val="374358586"/>
        </w:trPr>
        <w:tc>
          <w:tcPr>
            <w:tcW w:w="50" w:type="pct"/>
            <w:vAlign w:val="center"/>
            <w:hideMark/>
          </w:tcPr>
          <w:p w:rsidR="00000000" w:rsidRDefault="00E16B33">
            <w:pPr>
              <w:ind w:firstLine="360"/>
              <w:rPr>
                <w:rFonts w:eastAsia="Times New Roman"/>
              </w:rPr>
            </w:pPr>
          </w:p>
        </w:tc>
        <w:tc>
          <w:tcPr>
            <w:tcW w:w="160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663"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044"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Total number of</w:t>
            </w:r>
          </w:p>
          <w:p w:rsidR="00000000" w:rsidRDefault="00E16B33">
            <w:pPr>
              <w:spacing w:after="100"/>
              <w:jc w:val="center"/>
              <w:rPr>
                <w:rFonts w:eastAsia="Times New Roman"/>
              </w:rPr>
            </w:pPr>
            <w:r>
              <w:rPr>
                <w:rFonts w:eastAsia="Times New Roman"/>
                <w:b/>
                <w:bCs/>
                <w:color w:val="000000"/>
                <w:sz w:val="16"/>
                <w:szCs w:val="16"/>
              </w:rPr>
              <w:t>shares purchased as part of publicly</w:t>
            </w:r>
          </w:p>
          <w:p w:rsidR="00000000" w:rsidRDefault="00E16B33">
            <w:pPr>
              <w:spacing w:after="100"/>
              <w:jc w:val="center"/>
              <w:rPr>
                <w:rFonts w:eastAsia="Times New Roman"/>
              </w:rPr>
            </w:pPr>
            <w:r>
              <w:rPr>
                <w:rFonts w:eastAsia="Times New Roman"/>
                <w:b/>
                <w:bCs/>
                <w:color w:val="000000"/>
                <w:sz w:val="16"/>
                <w:szCs w:val="16"/>
              </w:rPr>
              <w:t>announced plans or program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16B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jc w:val="center"/>
              <w:rPr>
                <w:rFonts w:eastAsia="Times New Roman"/>
              </w:rPr>
            </w:pPr>
            <w:r>
              <w:rPr>
                <w:rFonts w:eastAsia="Times New Roman"/>
                <w:b/>
                <w:bCs/>
                <w:color w:val="000000"/>
                <w:sz w:val="16"/>
                <w:szCs w:val="16"/>
              </w:rPr>
              <w:t>Maximum approximate dollar value of shares that may</w:t>
            </w:r>
          </w:p>
          <w:p w:rsidR="00000000" w:rsidRDefault="00E16B33">
            <w:pPr>
              <w:spacing w:after="100"/>
              <w:jc w:val="center"/>
              <w:rPr>
                <w:rFonts w:eastAsia="Times New Roman"/>
              </w:rPr>
            </w:pPr>
            <w:r>
              <w:rPr>
                <w:rFonts w:eastAsia="Times New Roman"/>
                <w:b/>
                <w:bCs/>
                <w:color w:val="000000"/>
                <w:sz w:val="16"/>
                <w:szCs w:val="16"/>
              </w:rPr>
              <w:t>yet be purchased under the plans or program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r>
              <w:rPr>
                <w:rFonts w:eastAsia="Times New Roman"/>
                <w:b/>
                <w:bCs/>
                <w:color w:val="000000"/>
                <w:sz w:val="16"/>
                <w:szCs w:val="16"/>
              </w:rPr>
              <w:t xml:space="preserve"> </w:t>
            </w:r>
          </w:p>
          <w:p w:rsidR="00000000" w:rsidRDefault="00E16B33">
            <w:pPr>
              <w:spacing w:after="100"/>
              <w:jc w:val="center"/>
              <w:rPr>
                <w:rFonts w:eastAsia="Times New Roman"/>
              </w:rPr>
            </w:pPr>
            <w:r>
              <w:rPr>
                <w:rFonts w:eastAsia="Times New Roman"/>
                <w:b/>
                <w:bCs/>
                <w:color w:val="000000"/>
                <w:sz w:val="16"/>
                <w:szCs w:val="16"/>
              </w:rPr>
              <w:t>($ in millions)</w:t>
            </w:r>
          </w:p>
        </w:tc>
      </w:tr>
      <w:tr w:rsidR="00000000">
        <w:trPr>
          <w:divId w:val="37435858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r>
      <w:tr w:rsidR="00000000">
        <w:trPr>
          <w:divId w:val="374358586"/>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(April 2, 2022-April 29, 2022)</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firstLine="180"/>
              <w:divId w:val="1146167637"/>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20,931 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243.44 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20,931 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$2,223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4358586"/>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ind w:firstLine="180"/>
              <w:divId w:val="1102800331"/>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6,517 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250.99 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435858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(April 30, 2022-May 27, 2022)</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firstLine="180"/>
              <w:divId w:val="993289940"/>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1,645,000 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237.98 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1,645,000 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$1,831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4358586"/>
        </w:trPr>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c>
          <w:tcPr>
            <w:tcW w:w="0" w:type="auto"/>
            <w:gridSpan w:val="3"/>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ind w:firstLine="180"/>
              <w:divId w:val="14581439"/>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3,167 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237.73 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435858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shd w:val="clear" w:color="auto" w:fill="FFFF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(May 28, 2022-July 1, 2022)</w:t>
            </w: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rPr>
                <w:rFonts w:eastAsia="Times New Roman"/>
                <w:sz w:val="20"/>
                <w:szCs w:val="20"/>
              </w:rPr>
            </w:pPr>
          </w:p>
        </w:tc>
      </w:tr>
      <w:tr w:rsidR="00000000">
        <w:trPr>
          <w:divId w:val="374358586"/>
        </w:trPr>
        <w:tc>
          <w:tcPr>
            <w:tcW w:w="0" w:type="auto"/>
            <w:gridSpan w:val="3"/>
            <w:shd w:val="clear" w:color="auto" w:fill="CCEEFF"/>
            <w:tcMar>
              <w:top w:w="30" w:type="dxa"/>
              <w:left w:w="20" w:type="dxa"/>
              <w:bottom w:w="30" w:type="dxa"/>
              <w:right w:w="20" w:type="dxa"/>
            </w:tcMar>
            <w:vAlign w:val="bottom"/>
            <w:hideMark/>
          </w:tcPr>
          <w:p w:rsidR="00000000" w:rsidRDefault="00E16B33">
            <w:pPr>
              <w:spacing w:after="100"/>
              <w:ind w:firstLine="180"/>
              <w:divId w:val="329451702"/>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109,319 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225.61 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109,319 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4358586"/>
        </w:trPr>
        <w:tc>
          <w:tcPr>
            <w:tcW w:w="0" w:type="auto"/>
            <w:gridSpan w:val="3"/>
            <w:shd w:val="clear" w:color="auto" w:fill="FFFFFF"/>
            <w:tcMar>
              <w:top w:w="30" w:type="dxa"/>
              <w:left w:w="20" w:type="dxa"/>
              <w:bottom w:w="30" w:type="dxa"/>
              <w:right w:w="20" w:type="dxa"/>
            </w:tcMar>
            <w:vAlign w:val="bottom"/>
            <w:hideMark/>
          </w:tcPr>
          <w:p w:rsidR="00000000" w:rsidRDefault="00E16B33">
            <w:pPr>
              <w:spacing w:after="100"/>
              <w:ind w:firstLine="180"/>
              <w:divId w:val="90348948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136,772 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16B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242.76 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16B33">
            <w:pPr>
              <w:spacing w:after="100"/>
              <w:jc w:val="right"/>
              <w:rPr>
                <w:rFonts w:eastAsia="Times New Roman"/>
              </w:rPr>
            </w:pPr>
          </w:p>
        </w:tc>
      </w:tr>
      <w:tr w:rsidR="00000000">
        <w:trPr>
          <w:divId w:val="374358586"/>
        </w:trPr>
        <w:tc>
          <w:tcPr>
            <w:tcW w:w="0" w:type="auto"/>
            <w:gridSpan w:val="3"/>
            <w:shd w:val="clear" w:color="auto" w:fill="CCEEFF"/>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1,921,706 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1,775,250 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16B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16B33">
            <w:pPr>
              <w:spacing w:after="100"/>
              <w:jc w:val="right"/>
              <w:rPr>
                <w:rFonts w:eastAsia="Times New Roman"/>
              </w:rPr>
            </w:pPr>
            <w:r>
              <w:rPr>
                <w:rFonts w:eastAsia="Times New Roman"/>
                <w:color w:val="000000"/>
                <w:sz w:val="20"/>
                <w:szCs w:val="20"/>
              </w:rPr>
              <w:t>$1,807 </w:t>
            </w:r>
          </w:p>
        </w:tc>
        <w:tc>
          <w:tcPr>
            <w:tcW w:w="0" w:type="auto"/>
            <w:shd w:val="clear" w:color="auto" w:fill="CCEEFF"/>
            <w:tcMar>
              <w:top w:w="30" w:type="dxa"/>
              <w:left w:w="0" w:type="dxa"/>
              <w:bottom w:w="30" w:type="dxa"/>
              <w:right w:w="20" w:type="dxa"/>
            </w:tcMar>
            <w:vAlign w:val="bottom"/>
            <w:hideMark/>
          </w:tcPr>
          <w:p w:rsidR="00000000" w:rsidRDefault="00E16B33">
            <w:pPr>
              <w:spacing w:after="100"/>
              <w:jc w:val="right"/>
              <w:rPr>
                <w:rFonts w:eastAsia="Times New Roman"/>
              </w:rPr>
            </w:pPr>
          </w:p>
        </w:tc>
      </w:tr>
    </w:tbl>
    <w:p w:rsidR="00000000" w:rsidRDefault="00E16B33">
      <w:pPr>
        <w:ind w:hanging="360"/>
        <w:divId w:val="896821078"/>
        <w:rPr>
          <w:rFonts w:eastAsia="Times New Roman"/>
        </w:rPr>
      </w:pPr>
      <w:r>
        <w:rPr>
          <w:rFonts w:eastAsia="Times New Roman"/>
          <w:color w:val="000000"/>
          <w:sz w:val="16"/>
          <w:szCs w:val="16"/>
        </w:rPr>
        <w:t>_______________</w:t>
      </w:r>
    </w:p>
    <w:p w:rsidR="00000000" w:rsidRDefault="00E16B33">
      <w:pPr>
        <w:ind w:hanging="360"/>
        <w:divId w:val="1820345902"/>
        <w:rPr>
          <w:rFonts w:eastAsia="Times New Roman"/>
        </w:rPr>
      </w:pPr>
      <w:r>
        <w:rPr>
          <w:rFonts w:eastAsia="Times New Roman"/>
          <w:color w:val="000000"/>
          <w:sz w:val="16"/>
          <w:szCs w:val="16"/>
        </w:rPr>
        <w:t>* Periods represent our fiscal months.</w:t>
      </w:r>
    </w:p>
    <w:p w:rsidR="00000000" w:rsidRDefault="00E16B33">
      <w:pPr>
        <w:ind w:hanging="360"/>
        <w:divId w:val="1785492580"/>
        <w:rPr>
          <w:rFonts w:eastAsia="Times New Roman"/>
        </w:rPr>
      </w:pPr>
      <w:r>
        <w:rPr>
          <w:rFonts w:eastAsia="Times New Roman"/>
          <w:color w:val="000000"/>
          <w:sz w:val="16"/>
          <w:szCs w:val="16"/>
        </w:rPr>
        <w:t>(1) On January 28, 2021, we announced that our Board of</w:t>
      </w:r>
      <w:r>
        <w:rPr>
          <w:rFonts w:eastAsia="Times New Roman"/>
          <w:color w:val="000000"/>
          <w:sz w:val="16"/>
          <w:szCs w:val="16"/>
        </w:rPr>
        <w:t xml:space="preserve"> Directors approved a $6 billion share repurchase authorization under our share repurchase program that was in addition to the remaining unused authorization of $210 million as of January 1, 2021. We repurchase shares of our common stock through open-marke</w:t>
      </w:r>
      <w:r>
        <w:rPr>
          <w:rFonts w:eastAsia="Times New Roman"/>
          <w:color w:val="000000"/>
          <w:sz w:val="16"/>
          <w:szCs w:val="16"/>
        </w:rPr>
        <w:t>t purchases, private transactions, transactions structured through investment banking institutions or any combination thereof. As of July 1, 2022, $1.8 billion (as reflected in the table above) was the approximate dollar amount of our common stock that can</w:t>
      </w:r>
      <w:r>
        <w:rPr>
          <w:rFonts w:eastAsia="Times New Roman"/>
          <w:color w:val="000000"/>
          <w:sz w:val="16"/>
          <w:szCs w:val="16"/>
        </w:rPr>
        <w:t xml:space="preserve"> still be purchased under our share repurchase program, which does not have a stated expiration date. </w:t>
      </w:r>
    </w:p>
    <w:p w:rsidR="00000000" w:rsidRDefault="00E16B33">
      <w:pPr>
        <w:ind w:hanging="360"/>
        <w:divId w:val="1340086733"/>
        <w:rPr>
          <w:rFonts w:eastAsia="Times New Roman"/>
        </w:rPr>
      </w:pPr>
      <w:r>
        <w:rPr>
          <w:rFonts w:eastAsia="Times New Roman"/>
          <w:color w:val="000000"/>
          <w:sz w:val="16"/>
          <w:szCs w:val="16"/>
        </w:rPr>
        <w:t>(2) Represents a combination of (a) shares of our common stock delivered to us in satisfaction of the tax withholding obligation of holders of performanc</w:t>
      </w:r>
      <w:r>
        <w:rPr>
          <w:rFonts w:eastAsia="Times New Roman"/>
          <w:color w:val="000000"/>
          <w:sz w:val="16"/>
          <w:szCs w:val="16"/>
        </w:rPr>
        <w:t>e units, restricted units or restricted shares that vested during the quarter and (b) performance units, restricted units or restricted shares returned to us upon retirement or employment termination of employees. Our equity incentive plans provide that th</w:t>
      </w:r>
      <w:r>
        <w:rPr>
          <w:rFonts w:eastAsia="Times New Roman"/>
          <w:color w:val="000000"/>
          <w:sz w:val="16"/>
          <w:szCs w:val="16"/>
        </w:rPr>
        <w:t>e value of shares delivered to us to pay the exercise price of options or to cover tax withholding obligations shall be the closing price of our common stock on the date the relevant transaction occurs.</w:t>
      </w:r>
    </w:p>
    <w:p w:rsidR="00000000" w:rsidRDefault="00E16B33">
      <w:pPr>
        <w:divId w:val="1392777013"/>
        <w:rPr>
          <w:rFonts w:eastAsia="Times New Roman"/>
        </w:rPr>
      </w:pPr>
      <w:r>
        <w:rPr>
          <w:rFonts w:eastAsia="Times New Roman"/>
          <w:b/>
          <w:bCs/>
          <w:color w:val="000000"/>
          <w:sz w:val="20"/>
          <w:szCs w:val="20"/>
        </w:rPr>
        <w:t>Sales of Unregistered Equity Securities</w:t>
      </w:r>
    </w:p>
    <w:p w:rsidR="00000000" w:rsidRDefault="00E16B33">
      <w:pPr>
        <w:ind w:firstLine="360"/>
        <w:divId w:val="1818064808"/>
        <w:rPr>
          <w:rFonts w:eastAsia="Times New Roman"/>
        </w:rPr>
      </w:pPr>
      <w:r>
        <w:rPr>
          <w:rFonts w:eastAsia="Times New Roman"/>
          <w:color w:val="000000"/>
          <w:sz w:val="20"/>
          <w:szCs w:val="20"/>
        </w:rPr>
        <w:t>During the se</w:t>
      </w:r>
      <w:r>
        <w:rPr>
          <w:rFonts w:eastAsia="Times New Roman"/>
          <w:color w:val="000000"/>
          <w:sz w:val="20"/>
          <w:szCs w:val="20"/>
        </w:rPr>
        <w:t>cond quarter of fiscal 2022, we did not issue or sell any unregistered equity securities.</w:t>
      </w:r>
    </w:p>
    <w:tbl>
      <w:tblPr>
        <w:tblW w:w="2413" w:type="pct"/>
        <w:tblCellMar>
          <w:top w:w="15" w:type="dxa"/>
          <w:left w:w="15" w:type="dxa"/>
          <w:bottom w:w="15" w:type="dxa"/>
          <w:right w:w="15" w:type="dxa"/>
        </w:tblCellMar>
        <w:tblLook w:val="04A0" w:firstRow="1" w:lastRow="0" w:firstColumn="1" w:lastColumn="0" w:noHBand="0" w:noVBand="1"/>
      </w:tblPr>
      <w:tblGrid>
        <w:gridCol w:w="37"/>
        <w:gridCol w:w="845"/>
        <w:gridCol w:w="36"/>
        <w:gridCol w:w="37"/>
        <w:gridCol w:w="3017"/>
        <w:gridCol w:w="36"/>
      </w:tblGrid>
      <w:tr w:rsidR="00000000">
        <w:trPr>
          <w:divId w:val="266356925"/>
        </w:trPr>
        <w:tc>
          <w:tcPr>
            <w:tcW w:w="50" w:type="pct"/>
            <w:vAlign w:val="center"/>
            <w:hideMark/>
          </w:tcPr>
          <w:p w:rsidR="00000000" w:rsidRDefault="00E16B33">
            <w:pPr>
              <w:ind w:firstLine="360"/>
              <w:rPr>
                <w:rFonts w:eastAsia="Times New Roman"/>
              </w:rPr>
            </w:pPr>
          </w:p>
        </w:tc>
        <w:tc>
          <w:tcPr>
            <w:tcW w:w="109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79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266356925"/>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DEFAULTS UPON SENIOR SECURITIES</w:t>
            </w:r>
          </w:p>
        </w:tc>
      </w:tr>
      <w:tr w:rsidR="00000000">
        <w:trPr>
          <w:divId w:val="266356925"/>
        </w:trPr>
        <w:tc>
          <w:tcPr>
            <w:tcW w:w="0" w:type="auto"/>
            <w:gridSpan w:val="3"/>
            <w:vAlign w:val="center"/>
            <w:hideMark/>
          </w:tcPr>
          <w:p w:rsidR="00000000" w:rsidRDefault="00E16B33">
            <w:pPr>
              <w:spacing w:after="100"/>
              <w:rPr>
                <w:rFonts w:eastAsia="Times New Roman"/>
              </w:rPr>
            </w:pPr>
          </w:p>
        </w:tc>
        <w:tc>
          <w:tcPr>
            <w:tcW w:w="0" w:type="auto"/>
            <w:gridSpan w:val="3"/>
            <w:vAlign w:val="center"/>
            <w:hideMark/>
          </w:tcPr>
          <w:p w:rsidR="00000000" w:rsidRDefault="00E16B33">
            <w:pPr>
              <w:spacing w:after="100"/>
              <w:rPr>
                <w:rFonts w:eastAsia="Times New Roman"/>
                <w:sz w:val="20"/>
                <w:szCs w:val="20"/>
              </w:rPr>
            </w:pPr>
          </w:p>
        </w:tc>
      </w:tr>
    </w:tbl>
    <w:p w:rsidR="00000000" w:rsidRDefault="00E16B33">
      <w:pPr>
        <w:ind w:firstLine="360"/>
        <w:divId w:val="246351006"/>
        <w:rPr>
          <w:rFonts w:eastAsia="Times New Roman"/>
        </w:rPr>
      </w:pPr>
      <w:r>
        <w:rPr>
          <w:rFonts w:eastAsia="Times New Roman"/>
          <w:color w:val="000000"/>
          <w:sz w:val="20"/>
          <w:szCs w:val="20"/>
        </w:rPr>
        <w:t>None.</w:t>
      </w:r>
    </w:p>
    <w:tbl>
      <w:tblPr>
        <w:tblW w:w="2025"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2325"/>
        <w:gridCol w:w="36"/>
      </w:tblGrid>
      <w:tr w:rsidR="00000000">
        <w:trPr>
          <w:divId w:val="2032485114"/>
        </w:trPr>
        <w:tc>
          <w:tcPr>
            <w:tcW w:w="50" w:type="pct"/>
            <w:vAlign w:val="center"/>
            <w:hideMark/>
          </w:tcPr>
          <w:p w:rsidR="00000000" w:rsidRDefault="00E16B33">
            <w:pPr>
              <w:ind w:firstLine="360"/>
              <w:rPr>
                <w:rFonts w:eastAsia="Times New Roman"/>
              </w:rPr>
            </w:pPr>
          </w:p>
        </w:tc>
        <w:tc>
          <w:tcPr>
            <w:tcW w:w="1381"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508"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2032485114"/>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MINE SAFETY DISCLOSURES.</w:t>
            </w:r>
          </w:p>
        </w:tc>
      </w:tr>
    </w:tbl>
    <w:p w:rsidR="00000000" w:rsidRDefault="00E16B33">
      <w:pPr>
        <w:ind w:firstLine="360"/>
        <w:divId w:val="353658127"/>
        <w:rPr>
          <w:rFonts w:eastAsia="Times New Roman"/>
        </w:rPr>
      </w:pPr>
      <w:r>
        <w:rPr>
          <w:rFonts w:eastAsia="Times New Roman"/>
          <w:color w:val="000000"/>
          <w:sz w:val="20"/>
          <w:szCs w:val="20"/>
        </w:rPr>
        <w:t>Not applicable.</w:t>
      </w:r>
    </w:p>
    <w:tbl>
      <w:tblPr>
        <w:tblW w:w="1788"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848"/>
        <w:gridCol w:w="36"/>
      </w:tblGrid>
      <w:tr w:rsidR="00000000">
        <w:trPr>
          <w:divId w:val="2075540831"/>
        </w:trPr>
        <w:tc>
          <w:tcPr>
            <w:tcW w:w="50" w:type="pct"/>
            <w:vAlign w:val="center"/>
            <w:hideMark/>
          </w:tcPr>
          <w:p w:rsidR="00000000" w:rsidRDefault="00E16B33">
            <w:pPr>
              <w:ind w:firstLine="360"/>
              <w:rPr>
                <w:rFonts w:eastAsia="Times New Roman"/>
              </w:rPr>
            </w:pPr>
          </w:p>
        </w:tc>
        <w:tc>
          <w:tcPr>
            <w:tcW w:w="17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3177"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2075540831"/>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OTHER INFORMATION.</w:t>
            </w:r>
          </w:p>
        </w:tc>
      </w:tr>
    </w:tbl>
    <w:p w:rsidR="00000000" w:rsidRDefault="00E16B33">
      <w:pPr>
        <w:ind w:firstLine="360"/>
        <w:jc w:val="center"/>
        <w:divId w:val="2003005791"/>
        <w:rPr>
          <w:rFonts w:eastAsia="Times New Roman"/>
        </w:rPr>
      </w:pPr>
      <w:r>
        <w:rPr>
          <w:rFonts w:eastAsia="Times New Roman"/>
          <w:color w:val="000000"/>
          <w:sz w:val="20"/>
          <w:szCs w:val="20"/>
        </w:rPr>
        <w:t>32</w:t>
      </w:r>
    </w:p>
    <w:p w:rsidR="00000000" w:rsidRDefault="00E16B33">
      <w:pPr>
        <w:rPr>
          <w:rFonts w:eastAsia="Times New Roman"/>
        </w:rPr>
      </w:pPr>
      <w:r>
        <w:rPr>
          <w:rFonts w:eastAsia="Times New Roman"/>
        </w:rPr>
        <w:pict>
          <v:rect id="_x0000_i1059" style="width:0;height:1.5pt" o:hralign="center" o:hrstd="t" o:hr="t" fillcolor="#a0a0a0" stroked="f"/>
        </w:pict>
      </w:r>
    </w:p>
    <w:p w:rsidR="00000000" w:rsidRDefault="00E16B33">
      <w:pPr>
        <w:ind w:firstLine="360"/>
        <w:divId w:val="1634288289"/>
        <w:rPr>
          <w:rFonts w:eastAsia="Times New Roman"/>
        </w:rPr>
      </w:pPr>
    </w:p>
    <w:p w:rsidR="00000000" w:rsidRDefault="00E16B33">
      <w:pPr>
        <w:ind w:firstLine="360"/>
        <w:divId w:val="1198276271"/>
        <w:rPr>
          <w:rFonts w:eastAsia="Times New Roman"/>
        </w:rPr>
      </w:pPr>
      <w:r>
        <w:rPr>
          <w:rFonts w:eastAsia="Times New Roman"/>
          <w:color w:val="000000"/>
          <w:sz w:val="20"/>
          <w:szCs w:val="20"/>
        </w:rPr>
        <w:t>None.</w:t>
      </w:r>
    </w:p>
    <w:p w:rsidR="00000000" w:rsidRDefault="00E16B33">
      <w:pPr>
        <w:ind w:firstLine="360"/>
        <w:divId w:val="1727223019"/>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67"/>
        <w:gridCol w:w="946"/>
        <w:gridCol w:w="36"/>
        <w:gridCol w:w="68"/>
        <w:gridCol w:w="6997"/>
        <w:gridCol w:w="36"/>
      </w:tblGrid>
      <w:tr w:rsidR="00000000">
        <w:trPr>
          <w:divId w:val="1460029726"/>
        </w:trPr>
        <w:tc>
          <w:tcPr>
            <w:tcW w:w="50" w:type="pct"/>
            <w:vAlign w:val="center"/>
            <w:hideMark/>
          </w:tcPr>
          <w:p w:rsidR="00000000" w:rsidRDefault="00E16B33">
            <w:pPr>
              <w:ind w:firstLine="360"/>
              <w:rPr>
                <w:rFonts w:eastAsia="Times New Roman"/>
              </w:rPr>
            </w:pPr>
          </w:p>
        </w:tc>
        <w:tc>
          <w:tcPr>
            <w:tcW w:w="58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430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460029726"/>
        </w:trPr>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b/>
                <w:bCs/>
                <w:color w:val="000000"/>
                <w:sz w:val="20"/>
                <w:szCs w:val="20"/>
              </w:rPr>
              <w:t>EXHIBITS.</w:t>
            </w:r>
          </w:p>
        </w:tc>
      </w:tr>
    </w:tbl>
    <w:p w:rsidR="00000000" w:rsidRDefault="00E16B33">
      <w:pPr>
        <w:ind w:firstLine="360"/>
        <w:divId w:val="705301192"/>
        <w:rPr>
          <w:rFonts w:eastAsia="Times New Roman"/>
        </w:rPr>
      </w:pPr>
      <w:r>
        <w:rPr>
          <w:rFonts w:eastAsia="Times New Roman"/>
          <w:color w:val="000000"/>
          <w:sz w:val="20"/>
          <w:szCs w:val="20"/>
        </w:rPr>
        <w:t>The following exhibits are filed herewith or are incorporated herein by reference to exhibits previously filed with the SEC:</w:t>
      </w:r>
    </w:p>
    <w:p w:rsidR="00000000" w:rsidRDefault="00E16B33">
      <w:pPr>
        <w:ind w:hanging="900"/>
        <w:divId w:val="619922762"/>
        <w:rPr>
          <w:rFonts w:eastAsia="Times New Roman"/>
        </w:rPr>
      </w:pPr>
      <w:hyperlink r:id="rId5" w:history="1">
        <w:r>
          <w:rPr>
            <w:rStyle w:val="a3"/>
            <w:rFonts w:eastAsia="Times New Roman"/>
            <w:sz w:val="20"/>
            <w:szCs w:val="20"/>
          </w:rPr>
          <w:t>(3)(a</w:t>
        </w:r>
      </w:hyperlink>
      <w:hyperlink r:id="rId6" w:history="1">
        <w:r>
          <w:rPr>
            <w:rStyle w:val="a3"/>
            <w:rFonts w:eastAsia="Times New Roman"/>
            <w:sz w:val="20"/>
            <w:szCs w:val="20"/>
          </w:rPr>
          <w:t>) Restated Certificate of Incorporation of L3Harris Technologies, Inc. (1995), as amended</w:t>
        </w:r>
      </w:hyperlink>
      <w:r>
        <w:rPr>
          <w:rFonts w:eastAsia="Times New Roman"/>
          <w:color w:val="000000"/>
          <w:sz w:val="20"/>
          <w:szCs w:val="20"/>
        </w:rPr>
        <w:t>.</w:t>
      </w:r>
    </w:p>
    <w:p w:rsidR="00000000" w:rsidRDefault="00E16B33">
      <w:pPr>
        <w:ind w:hanging="900"/>
        <w:divId w:val="1142193339"/>
        <w:rPr>
          <w:rFonts w:eastAsia="Times New Roman"/>
        </w:rPr>
      </w:pPr>
      <w:hyperlink r:id="rId7" w:history="1">
        <w:r>
          <w:rPr>
            <w:rStyle w:val="a3"/>
            <w:rFonts w:eastAsia="Times New Roman"/>
            <w:sz w:val="20"/>
            <w:szCs w:val="20"/>
          </w:rPr>
          <w:t>(3)(b) Amended and Restated By-Laws of L3Harris Technologies, Inc., as amended.</w:t>
        </w:r>
      </w:hyperlink>
    </w:p>
    <w:p w:rsidR="00000000" w:rsidRDefault="00E16B33">
      <w:pPr>
        <w:ind w:hanging="900"/>
        <w:divId w:val="1033312329"/>
        <w:rPr>
          <w:rFonts w:eastAsia="Times New Roman"/>
        </w:rPr>
      </w:pPr>
      <w:hyperlink r:id="rId8" w:history="1">
        <w:r>
          <w:rPr>
            <w:rStyle w:val="a3"/>
            <w:rFonts w:eastAsia="Times New Roman"/>
            <w:sz w:val="20"/>
            <w:szCs w:val="20"/>
          </w:rPr>
          <w:t>(15)    Letter Regarding Unaudited Interim Financial Information.</w:t>
        </w:r>
      </w:hyperlink>
    </w:p>
    <w:p w:rsidR="00000000" w:rsidRDefault="00E16B33">
      <w:pPr>
        <w:ind w:hanging="900"/>
        <w:divId w:val="792675766"/>
        <w:rPr>
          <w:rFonts w:eastAsia="Times New Roman"/>
        </w:rPr>
      </w:pPr>
      <w:hyperlink r:id="rId9" w:history="1">
        <w:r>
          <w:rPr>
            <w:rStyle w:val="a3"/>
            <w:rFonts w:eastAsia="Times New Roman"/>
            <w:sz w:val="20"/>
            <w:szCs w:val="20"/>
          </w:rPr>
          <w:t>(31.1)    Rule 13a-14(a)/15d-14(a) Certification of Chief Executive Officer.</w:t>
        </w:r>
      </w:hyperlink>
    </w:p>
    <w:p w:rsidR="00000000" w:rsidRDefault="00E16B33">
      <w:pPr>
        <w:ind w:hanging="900"/>
        <w:divId w:val="2138713614"/>
        <w:rPr>
          <w:rFonts w:eastAsia="Times New Roman"/>
        </w:rPr>
      </w:pPr>
      <w:hyperlink r:id="rId10" w:history="1">
        <w:r>
          <w:rPr>
            <w:rStyle w:val="a3"/>
            <w:rFonts w:eastAsia="Times New Roman"/>
            <w:sz w:val="20"/>
            <w:szCs w:val="20"/>
          </w:rPr>
          <w:t>(31.2)    Rule 13a-14(a)/15d-14(a) Certification of Chief Financial Officer.</w:t>
        </w:r>
      </w:hyperlink>
    </w:p>
    <w:p w:rsidR="00000000" w:rsidRDefault="00E16B33">
      <w:pPr>
        <w:ind w:hanging="900"/>
        <w:divId w:val="1932741722"/>
        <w:rPr>
          <w:rFonts w:eastAsia="Times New Roman"/>
        </w:rPr>
      </w:pPr>
      <w:hyperlink r:id="rId11" w:history="1">
        <w:r>
          <w:rPr>
            <w:rStyle w:val="a3"/>
            <w:rFonts w:eastAsia="Times New Roman"/>
            <w:sz w:val="20"/>
            <w:szCs w:val="20"/>
          </w:rPr>
          <w:t>(32.1)    Section 1350 Certification of Chief Executive Officer.</w:t>
        </w:r>
      </w:hyperlink>
    </w:p>
    <w:p w:rsidR="00000000" w:rsidRDefault="00E16B33">
      <w:pPr>
        <w:ind w:hanging="900"/>
        <w:divId w:val="652293986"/>
        <w:rPr>
          <w:rFonts w:eastAsia="Times New Roman"/>
        </w:rPr>
      </w:pPr>
      <w:hyperlink r:id="rId12" w:history="1">
        <w:r>
          <w:rPr>
            <w:rStyle w:val="a3"/>
            <w:rFonts w:eastAsia="Times New Roman"/>
            <w:sz w:val="20"/>
            <w:szCs w:val="20"/>
          </w:rPr>
          <w:t>(32.2)    Section 1350 Certification of Chief Financial Officer.</w:t>
        </w:r>
      </w:hyperlink>
    </w:p>
    <w:p w:rsidR="00000000" w:rsidRDefault="00E16B33">
      <w:pPr>
        <w:ind w:hanging="900"/>
        <w:divId w:val="1184590637"/>
        <w:rPr>
          <w:rFonts w:eastAsia="Times New Roman"/>
        </w:rPr>
      </w:pPr>
      <w:r>
        <w:rPr>
          <w:rFonts w:eastAsia="Times New Roman"/>
          <w:color w:val="000000"/>
          <w:sz w:val="20"/>
          <w:szCs w:val="20"/>
        </w:rPr>
        <w:t>(101) The financial information from L3Harris Technologies, Inc.’</w:t>
      </w:r>
      <w:r>
        <w:rPr>
          <w:rFonts w:eastAsia="Times New Roman"/>
          <w:color w:val="000000"/>
          <w:sz w:val="20"/>
          <w:szCs w:val="20"/>
        </w:rPr>
        <w:t>s Quarterly Report on Form 10-Q for the fiscal quarter ended July 1, 2022 formatted in Inline XBRL (Extensible Business Reporting Language) includes: (i) the Condensed Consolidated Statement of Income, (ii) the Condensed Consolidated Statement of Comprehen</w:t>
      </w:r>
      <w:r>
        <w:rPr>
          <w:rFonts w:eastAsia="Times New Roman"/>
          <w:color w:val="000000"/>
          <w:sz w:val="20"/>
          <w:szCs w:val="20"/>
        </w:rPr>
        <w:t>sive Income, (iii) the Condensed Consolidated Balance Sheet, (iv) the Condensed Consolidated Statement of Cash Flows, (v) the Condensed Consolidated Statement of Equity, and (vi) the Notes to Condensed Consolidated Financial Statements.</w:t>
      </w:r>
    </w:p>
    <w:p w:rsidR="00000000" w:rsidRDefault="00E16B33">
      <w:pPr>
        <w:ind w:hanging="900"/>
        <w:divId w:val="1221984764"/>
        <w:rPr>
          <w:rFonts w:eastAsia="Times New Roman"/>
        </w:rPr>
      </w:pPr>
      <w:r>
        <w:rPr>
          <w:rFonts w:eastAsia="Times New Roman"/>
          <w:color w:val="000000"/>
          <w:sz w:val="20"/>
          <w:szCs w:val="20"/>
        </w:rPr>
        <w:t>(104) Cover Page In</w:t>
      </w:r>
      <w:r>
        <w:rPr>
          <w:rFonts w:eastAsia="Times New Roman"/>
          <w:color w:val="000000"/>
          <w:sz w:val="20"/>
          <w:szCs w:val="20"/>
        </w:rPr>
        <w:t>teractive Data File formatted in Inline XBRL and contained in Exhibit 101.</w:t>
      </w:r>
    </w:p>
    <w:p w:rsidR="00000000" w:rsidRDefault="00E16B33">
      <w:pPr>
        <w:ind w:hanging="360"/>
        <w:divId w:val="415329003"/>
        <w:rPr>
          <w:rFonts w:eastAsia="Times New Roman"/>
        </w:rPr>
      </w:pPr>
    </w:p>
    <w:p w:rsidR="00000000" w:rsidRDefault="00E16B33">
      <w:pPr>
        <w:ind w:firstLine="360"/>
        <w:jc w:val="center"/>
        <w:divId w:val="1511292705"/>
        <w:rPr>
          <w:rFonts w:eastAsia="Times New Roman"/>
        </w:rPr>
      </w:pPr>
      <w:r>
        <w:rPr>
          <w:rFonts w:eastAsia="Times New Roman"/>
          <w:color w:val="000000"/>
          <w:sz w:val="20"/>
          <w:szCs w:val="20"/>
        </w:rPr>
        <w:t>33</w:t>
      </w:r>
    </w:p>
    <w:p w:rsidR="00000000" w:rsidRDefault="00E16B33">
      <w:pPr>
        <w:rPr>
          <w:rFonts w:eastAsia="Times New Roman"/>
        </w:rPr>
      </w:pPr>
      <w:r>
        <w:rPr>
          <w:rFonts w:eastAsia="Times New Roman"/>
        </w:rPr>
        <w:pict>
          <v:rect id="_x0000_i1060" style="width:0;height:1.5pt" o:hralign="center" o:hrstd="t" o:hr="t" fillcolor="#a0a0a0" stroked="f"/>
        </w:pict>
      </w:r>
    </w:p>
    <w:p w:rsidR="00000000" w:rsidRDefault="00E16B33">
      <w:pPr>
        <w:ind w:firstLine="360"/>
        <w:divId w:val="1402169622"/>
        <w:rPr>
          <w:rFonts w:eastAsia="Times New Roman"/>
        </w:rPr>
      </w:pPr>
    </w:p>
    <w:p w:rsidR="00000000" w:rsidRDefault="00E16B33">
      <w:pPr>
        <w:ind w:firstLine="360"/>
        <w:jc w:val="center"/>
        <w:divId w:val="1854412954"/>
        <w:rPr>
          <w:rFonts w:eastAsia="Times New Roman"/>
        </w:rPr>
      </w:pPr>
      <w:r>
        <w:rPr>
          <w:rFonts w:eastAsia="Times New Roman"/>
          <w:b/>
          <w:bCs/>
          <w:color w:val="000000"/>
          <w:sz w:val="20"/>
          <w:szCs w:val="20"/>
        </w:rPr>
        <w:t>SIGNATURES</w:t>
      </w:r>
    </w:p>
    <w:p w:rsidR="00000000" w:rsidRDefault="00E16B33">
      <w:pPr>
        <w:ind w:firstLine="360"/>
        <w:divId w:val="1266041536"/>
        <w:rPr>
          <w:rFonts w:eastAsia="Times New Roman"/>
        </w:rPr>
      </w:pPr>
      <w:r>
        <w:rPr>
          <w:rFonts w:eastAsia="Times New Roman"/>
          <w:color w:val="000000"/>
          <w:sz w:val="20"/>
          <w:szCs w:val="20"/>
        </w:rPr>
        <w:t>Pursuant to the requirements of the Securities Exchange Act of 1934, the registrant has duly caused this Report to be signed on</w:t>
      </w:r>
      <w:r>
        <w:rPr>
          <w:rFonts w:eastAsia="Times New Roman"/>
          <w:color w:val="000000"/>
          <w:sz w:val="20"/>
          <w:szCs w:val="20"/>
        </w:rPr>
        <w:t xml:space="preserve">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087"/>
        <w:gridCol w:w="36"/>
        <w:gridCol w:w="36"/>
        <w:gridCol w:w="167"/>
        <w:gridCol w:w="36"/>
        <w:gridCol w:w="82"/>
        <w:gridCol w:w="239"/>
        <w:gridCol w:w="37"/>
        <w:gridCol w:w="37"/>
        <w:gridCol w:w="829"/>
        <w:gridCol w:w="36"/>
        <w:gridCol w:w="65"/>
        <w:gridCol w:w="3519"/>
        <w:gridCol w:w="36"/>
      </w:tblGrid>
      <w:tr w:rsidR="00000000">
        <w:trPr>
          <w:divId w:val="1208378157"/>
        </w:trPr>
        <w:tc>
          <w:tcPr>
            <w:tcW w:w="50" w:type="pct"/>
            <w:vAlign w:val="center"/>
            <w:hideMark/>
          </w:tcPr>
          <w:p w:rsidR="00000000" w:rsidRDefault="00E16B33">
            <w:pPr>
              <w:ind w:firstLine="360"/>
              <w:rPr>
                <w:rFonts w:eastAsia="Times New Roman"/>
              </w:rPr>
            </w:pPr>
          </w:p>
        </w:tc>
        <w:tc>
          <w:tcPr>
            <w:tcW w:w="1870"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1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146"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512"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c>
          <w:tcPr>
            <w:tcW w:w="50" w:type="pct"/>
            <w:vAlign w:val="center"/>
            <w:hideMark/>
          </w:tcPr>
          <w:p w:rsidR="00000000" w:rsidRDefault="00E16B33">
            <w:pPr>
              <w:spacing w:after="100"/>
              <w:rPr>
                <w:rFonts w:eastAsia="Times New Roman"/>
                <w:sz w:val="20"/>
                <w:szCs w:val="20"/>
              </w:rPr>
            </w:pPr>
          </w:p>
        </w:tc>
        <w:tc>
          <w:tcPr>
            <w:tcW w:w="2129" w:type="pct"/>
            <w:vAlign w:val="center"/>
            <w:hideMark/>
          </w:tcPr>
          <w:p w:rsidR="00000000" w:rsidRDefault="00E16B33">
            <w:pPr>
              <w:spacing w:after="100"/>
              <w:rPr>
                <w:rFonts w:eastAsia="Times New Roman"/>
                <w:sz w:val="20"/>
                <w:szCs w:val="20"/>
              </w:rPr>
            </w:pPr>
          </w:p>
        </w:tc>
        <w:tc>
          <w:tcPr>
            <w:tcW w:w="5" w:type="pct"/>
            <w:vAlign w:val="center"/>
            <w:hideMark/>
          </w:tcPr>
          <w:p w:rsidR="00000000" w:rsidRDefault="00E16B33">
            <w:pPr>
              <w:spacing w:after="100"/>
              <w:rPr>
                <w:rFonts w:eastAsia="Times New Roman"/>
                <w:sz w:val="20"/>
                <w:szCs w:val="20"/>
              </w:rPr>
            </w:pPr>
          </w:p>
        </w:tc>
      </w:tr>
      <w:tr w:rsidR="00000000">
        <w:trPr>
          <w:divId w:val="120837815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b/>
                <w:bCs/>
                <w:color w:val="000000"/>
                <w:sz w:val="20"/>
                <w:szCs w:val="20"/>
              </w:rPr>
              <w:t>L3HARRIS TECHNOLOGIES, INC.</w:t>
            </w:r>
          </w:p>
        </w:tc>
      </w:tr>
      <w:tr w:rsidR="00000000">
        <w:trPr>
          <w:divId w:val="1208378157"/>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(Registrant)</w:t>
            </w:r>
          </w:p>
        </w:tc>
      </w:tr>
      <w:tr w:rsidR="00000000">
        <w:trPr>
          <w:divId w:val="1208378157"/>
        </w:trPr>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Date: July 29, 2022</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16B33">
            <w:pPr>
              <w:spacing w:after="100"/>
              <w:divId w:val="1556774356"/>
              <w:rPr>
                <w:rFonts w:eastAsia="Times New Roman"/>
              </w:rPr>
            </w:pPr>
            <w:r>
              <w:rPr>
                <w:rFonts w:eastAsia="Times New Roman"/>
                <w:color w:val="000000"/>
                <w:sz w:val="20"/>
                <w:szCs w:val="20"/>
              </w:rPr>
              <w:t>/s/    M</w:t>
            </w:r>
            <w:r>
              <w:rPr>
                <w:rFonts w:eastAsia="Times New Roman"/>
                <w:color w:val="000000"/>
                <w:sz w:val="16"/>
                <w:szCs w:val="16"/>
              </w:rPr>
              <w:t>ICHELLE</w:t>
            </w:r>
            <w:r>
              <w:rPr>
                <w:rFonts w:eastAsia="Times New Roman"/>
                <w:color w:val="000000"/>
                <w:sz w:val="20"/>
                <w:szCs w:val="20"/>
              </w:rPr>
              <w:t xml:space="preserve"> L. T</w:t>
            </w:r>
            <w:r>
              <w:rPr>
                <w:rFonts w:eastAsia="Times New Roman"/>
                <w:color w:val="000000"/>
                <w:sz w:val="16"/>
                <w:szCs w:val="16"/>
              </w:rPr>
              <w:t>URNER</w:t>
            </w:r>
          </w:p>
        </w:tc>
      </w:tr>
      <w:tr w:rsidR="00000000">
        <w:trPr>
          <w:divId w:val="1208378157"/>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Michelle L. Turner</w:t>
            </w:r>
          </w:p>
        </w:tc>
      </w:tr>
      <w:tr w:rsidR="00000000">
        <w:trPr>
          <w:divId w:val="1208378157"/>
        </w:trPr>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16B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16B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16B33">
            <w:pPr>
              <w:spacing w:after="100"/>
              <w:rPr>
                <w:rFonts w:eastAsia="Times New Roman"/>
              </w:rPr>
            </w:pPr>
            <w:r>
              <w:rPr>
                <w:rFonts w:eastAsia="Times New Roman"/>
                <w:color w:val="000000"/>
                <w:sz w:val="20"/>
                <w:szCs w:val="20"/>
              </w:rPr>
              <w:t>Senior Vice President and Chief Financial Officer</w:t>
            </w:r>
            <w:r>
              <w:rPr>
                <w:rFonts w:eastAsia="Times New Roman"/>
                <w:color w:val="000000"/>
                <w:sz w:val="20"/>
                <w:szCs w:val="20"/>
              </w:rPr>
              <w:br/>
              <w:t>(Principal Financial Officer)</w:t>
            </w:r>
          </w:p>
        </w:tc>
      </w:tr>
    </w:tbl>
    <w:p w:rsidR="00000000" w:rsidRDefault="00E16B33">
      <w:pPr>
        <w:ind w:firstLine="360"/>
        <w:divId w:val="1729307678"/>
        <w:rPr>
          <w:rFonts w:eastAsia="Times New Roman"/>
        </w:rPr>
      </w:pPr>
    </w:p>
    <w:p w:rsidR="00E16B33" w:rsidRDefault="00E16B33">
      <w:pPr>
        <w:ind w:firstLine="360"/>
        <w:jc w:val="center"/>
        <w:divId w:val="673264341"/>
        <w:rPr>
          <w:rFonts w:eastAsia="Times New Roman"/>
        </w:rPr>
      </w:pPr>
      <w:r>
        <w:rPr>
          <w:rFonts w:eastAsia="Times New Roman"/>
          <w:color w:val="000000"/>
          <w:sz w:val="20"/>
          <w:szCs w:val="20"/>
        </w:rPr>
        <w:t>34</w:t>
      </w:r>
    </w:p>
    <w:sectPr w:rsidR="00E16B3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6B33"/>
    <w:rsid w:val="00E16B33"/>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sec.gov/inlineXBRL/transformation/2015-08-31"/>
  <w:attachedSchema w:val="http://xbrl.sec.gov/dei/2022"/>
  <w:attachedSchema w:val="http://www.xbrl.org/2003/instance"/>
  <w:attachedSchema w:val="http://fasb.org/us-gaap/2022"/>
  <w:attachedSchema w:val="http://www.xbrl.org/2013/inlineXBRL"/>
  <w:attachedSchema w:val="http://www.w3.org/1999/xlink"/>
  <w:attachedSchema w:val="http://www.xbrl.org/2003/linkbase"/>
  <w:attachedSchema w:val="http://www.xbrl.org/2003/iso4217"/>
  <w:attachedSchema w:val="http://xbrl.sec.gov/country/2022"/>
  <w:attachedSchema w:val="http://fasb.org/srt/2022"/>
  <w:attachedSchema w:val="http://harris.com/20220701"/>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524">
      <w:marLeft w:val="0"/>
      <w:marRight w:val="0"/>
      <w:marTop w:val="100"/>
      <w:marBottom w:val="0"/>
      <w:divBdr>
        <w:top w:val="none" w:sz="0" w:space="0" w:color="auto"/>
        <w:left w:val="none" w:sz="0" w:space="0" w:color="auto"/>
        <w:bottom w:val="none" w:sz="0" w:space="0" w:color="auto"/>
        <w:right w:val="none" w:sz="0" w:space="0" w:color="auto"/>
      </w:divBdr>
    </w:div>
    <w:div w:id="8413610">
      <w:marLeft w:val="0"/>
      <w:marRight w:val="0"/>
      <w:marTop w:val="100"/>
      <w:marBottom w:val="100"/>
      <w:divBdr>
        <w:top w:val="none" w:sz="0" w:space="0" w:color="auto"/>
        <w:left w:val="none" w:sz="0" w:space="0" w:color="auto"/>
        <w:bottom w:val="none" w:sz="0" w:space="0" w:color="auto"/>
        <w:right w:val="none" w:sz="0" w:space="0" w:color="auto"/>
      </w:divBdr>
    </w:div>
    <w:div w:id="19204044">
      <w:marLeft w:val="0"/>
      <w:marRight w:val="0"/>
      <w:marTop w:val="180"/>
      <w:marBottom w:val="0"/>
      <w:divBdr>
        <w:top w:val="none" w:sz="0" w:space="0" w:color="auto"/>
        <w:left w:val="none" w:sz="0" w:space="0" w:color="auto"/>
        <w:bottom w:val="none" w:sz="0" w:space="0" w:color="auto"/>
        <w:right w:val="none" w:sz="0" w:space="0" w:color="auto"/>
      </w:divBdr>
    </w:div>
    <w:div w:id="24213488">
      <w:marLeft w:val="0"/>
      <w:marRight w:val="0"/>
      <w:marTop w:val="0"/>
      <w:marBottom w:val="0"/>
      <w:divBdr>
        <w:top w:val="none" w:sz="0" w:space="0" w:color="auto"/>
        <w:left w:val="none" w:sz="0" w:space="0" w:color="auto"/>
        <w:bottom w:val="none" w:sz="0" w:space="0" w:color="auto"/>
        <w:right w:val="none" w:sz="0" w:space="0" w:color="auto"/>
      </w:divBdr>
    </w:div>
    <w:div w:id="30998957">
      <w:marLeft w:val="0"/>
      <w:marRight w:val="0"/>
      <w:marTop w:val="180"/>
      <w:marBottom w:val="0"/>
      <w:divBdr>
        <w:top w:val="none" w:sz="0" w:space="0" w:color="auto"/>
        <w:left w:val="none" w:sz="0" w:space="0" w:color="auto"/>
        <w:bottom w:val="none" w:sz="0" w:space="0" w:color="auto"/>
        <w:right w:val="none" w:sz="0" w:space="0" w:color="auto"/>
      </w:divBdr>
    </w:div>
    <w:div w:id="33384729">
      <w:marLeft w:val="0"/>
      <w:marRight w:val="0"/>
      <w:marTop w:val="0"/>
      <w:marBottom w:val="0"/>
      <w:divBdr>
        <w:top w:val="none" w:sz="0" w:space="0" w:color="auto"/>
        <w:left w:val="none" w:sz="0" w:space="0" w:color="auto"/>
        <w:bottom w:val="none" w:sz="0" w:space="0" w:color="auto"/>
        <w:right w:val="none" w:sz="0" w:space="0" w:color="auto"/>
      </w:divBdr>
    </w:div>
    <w:div w:id="37819915">
      <w:marLeft w:val="0"/>
      <w:marRight w:val="0"/>
      <w:marTop w:val="0"/>
      <w:marBottom w:val="100"/>
      <w:divBdr>
        <w:top w:val="none" w:sz="0" w:space="0" w:color="auto"/>
        <w:left w:val="none" w:sz="0" w:space="0" w:color="auto"/>
        <w:bottom w:val="none" w:sz="0" w:space="0" w:color="auto"/>
        <w:right w:val="none" w:sz="0" w:space="0" w:color="auto"/>
      </w:divBdr>
    </w:div>
    <w:div w:id="43188530">
      <w:marLeft w:val="0"/>
      <w:marRight w:val="0"/>
      <w:marTop w:val="0"/>
      <w:marBottom w:val="0"/>
      <w:divBdr>
        <w:top w:val="none" w:sz="0" w:space="0" w:color="auto"/>
        <w:left w:val="none" w:sz="0" w:space="0" w:color="auto"/>
        <w:bottom w:val="none" w:sz="0" w:space="0" w:color="auto"/>
        <w:right w:val="none" w:sz="0" w:space="0" w:color="auto"/>
      </w:divBdr>
      <w:divsChild>
        <w:div w:id="870726904">
          <w:marLeft w:val="0"/>
          <w:marRight w:val="0"/>
          <w:marTop w:val="0"/>
          <w:marBottom w:val="100"/>
          <w:divBdr>
            <w:top w:val="none" w:sz="0" w:space="0" w:color="auto"/>
            <w:left w:val="none" w:sz="0" w:space="0" w:color="auto"/>
            <w:bottom w:val="none" w:sz="0" w:space="0" w:color="auto"/>
            <w:right w:val="none" w:sz="0" w:space="0" w:color="auto"/>
          </w:divBdr>
        </w:div>
      </w:divsChild>
    </w:div>
    <w:div w:id="50080888">
      <w:marLeft w:val="0"/>
      <w:marRight w:val="0"/>
      <w:marTop w:val="180"/>
      <w:marBottom w:val="0"/>
      <w:divBdr>
        <w:top w:val="none" w:sz="0" w:space="0" w:color="auto"/>
        <w:left w:val="none" w:sz="0" w:space="0" w:color="auto"/>
        <w:bottom w:val="none" w:sz="0" w:space="0" w:color="auto"/>
        <w:right w:val="none" w:sz="0" w:space="0" w:color="auto"/>
      </w:divBdr>
    </w:div>
    <w:div w:id="51118667">
      <w:marLeft w:val="0"/>
      <w:marRight w:val="0"/>
      <w:marTop w:val="100"/>
      <w:marBottom w:val="60"/>
      <w:divBdr>
        <w:top w:val="none" w:sz="0" w:space="0" w:color="auto"/>
        <w:left w:val="none" w:sz="0" w:space="0" w:color="auto"/>
        <w:bottom w:val="none" w:sz="0" w:space="0" w:color="auto"/>
        <w:right w:val="none" w:sz="0" w:space="0" w:color="auto"/>
      </w:divBdr>
    </w:div>
    <w:div w:id="52898265">
      <w:marLeft w:val="0"/>
      <w:marRight w:val="0"/>
      <w:marTop w:val="0"/>
      <w:marBottom w:val="0"/>
      <w:divBdr>
        <w:top w:val="none" w:sz="0" w:space="0" w:color="auto"/>
        <w:left w:val="none" w:sz="0" w:space="0" w:color="auto"/>
        <w:bottom w:val="none" w:sz="0" w:space="0" w:color="auto"/>
        <w:right w:val="none" w:sz="0" w:space="0" w:color="auto"/>
      </w:divBdr>
    </w:div>
    <w:div w:id="56363719">
      <w:marLeft w:val="0"/>
      <w:marRight w:val="0"/>
      <w:marTop w:val="100"/>
      <w:marBottom w:val="100"/>
      <w:divBdr>
        <w:top w:val="none" w:sz="0" w:space="0" w:color="auto"/>
        <w:left w:val="none" w:sz="0" w:space="0" w:color="auto"/>
        <w:bottom w:val="none" w:sz="0" w:space="0" w:color="auto"/>
        <w:right w:val="none" w:sz="0" w:space="0" w:color="auto"/>
      </w:divBdr>
    </w:div>
    <w:div w:id="69540940">
      <w:marLeft w:val="0"/>
      <w:marRight w:val="0"/>
      <w:marTop w:val="0"/>
      <w:marBottom w:val="0"/>
      <w:divBdr>
        <w:top w:val="none" w:sz="0" w:space="0" w:color="auto"/>
        <w:left w:val="none" w:sz="0" w:space="0" w:color="auto"/>
        <w:bottom w:val="none" w:sz="0" w:space="0" w:color="auto"/>
        <w:right w:val="none" w:sz="0" w:space="0" w:color="auto"/>
      </w:divBdr>
      <w:divsChild>
        <w:div w:id="2055079983">
          <w:marLeft w:val="0"/>
          <w:marRight w:val="0"/>
          <w:marTop w:val="0"/>
          <w:marBottom w:val="0"/>
          <w:divBdr>
            <w:top w:val="none" w:sz="0" w:space="0" w:color="auto"/>
            <w:left w:val="none" w:sz="0" w:space="0" w:color="auto"/>
            <w:bottom w:val="none" w:sz="0" w:space="0" w:color="auto"/>
            <w:right w:val="none" w:sz="0" w:space="0" w:color="auto"/>
          </w:divBdr>
          <w:divsChild>
            <w:div w:id="14373727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898661">
      <w:marLeft w:val="0"/>
      <w:marRight w:val="0"/>
      <w:marTop w:val="0"/>
      <w:marBottom w:val="0"/>
      <w:divBdr>
        <w:top w:val="none" w:sz="0" w:space="0" w:color="auto"/>
        <w:left w:val="none" w:sz="0" w:space="0" w:color="auto"/>
        <w:bottom w:val="none" w:sz="0" w:space="0" w:color="auto"/>
        <w:right w:val="none" w:sz="0" w:space="0" w:color="auto"/>
      </w:divBdr>
    </w:div>
    <w:div w:id="72817840">
      <w:marLeft w:val="0"/>
      <w:marRight w:val="0"/>
      <w:marTop w:val="0"/>
      <w:marBottom w:val="0"/>
      <w:divBdr>
        <w:top w:val="none" w:sz="0" w:space="0" w:color="auto"/>
        <w:left w:val="none" w:sz="0" w:space="0" w:color="auto"/>
        <w:bottom w:val="none" w:sz="0" w:space="0" w:color="auto"/>
        <w:right w:val="none" w:sz="0" w:space="0" w:color="auto"/>
      </w:divBdr>
    </w:div>
    <w:div w:id="76874459">
      <w:marLeft w:val="0"/>
      <w:marRight w:val="0"/>
      <w:marTop w:val="0"/>
      <w:marBottom w:val="100"/>
      <w:divBdr>
        <w:top w:val="none" w:sz="0" w:space="0" w:color="auto"/>
        <w:left w:val="none" w:sz="0" w:space="0" w:color="auto"/>
        <w:bottom w:val="none" w:sz="0" w:space="0" w:color="auto"/>
        <w:right w:val="none" w:sz="0" w:space="0" w:color="auto"/>
      </w:divBdr>
    </w:div>
    <w:div w:id="77216501">
      <w:marLeft w:val="0"/>
      <w:marRight w:val="0"/>
      <w:marTop w:val="0"/>
      <w:marBottom w:val="0"/>
      <w:divBdr>
        <w:top w:val="none" w:sz="0" w:space="0" w:color="auto"/>
        <w:left w:val="none" w:sz="0" w:space="0" w:color="auto"/>
        <w:bottom w:val="none" w:sz="0" w:space="0" w:color="auto"/>
        <w:right w:val="none" w:sz="0" w:space="0" w:color="auto"/>
      </w:divBdr>
      <w:divsChild>
        <w:div w:id="2025326649">
          <w:marLeft w:val="0"/>
          <w:marRight w:val="0"/>
          <w:marTop w:val="0"/>
          <w:marBottom w:val="0"/>
          <w:divBdr>
            <w:top w:val="none" w:sz="0" w:space="0" w:color="auto"/>
            <w:left w:val="none" w:sz="0" w:space="0" w:color="auto"/>
            <w:bottom w:val="none" w:sz="0" w:space="0" w:color="auto"/>
            <w:right w:val="none" w:sz="0" w:space="0" w:color="auto"/>
          </w:divBdr>
          <w:divsChild>
            <w:div w:id="53812954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8525449">
      <w:marLeft w:val="0"/>
      <w:marRight w:val="0"/>
      <w:marTop w:val="180"/>
      <w:marBottom w:val="0"/>
      <w:divBdr>
        <w:top w:val="none" w:sz="0" w:space="0" w:color="auto"/>
        <w:left w:val="none" w:sz="0" w:space="0" w:color="auto"/>
        <w:bottom w:val="none" w:sz="0" w:space="0" w:color="auto"/>
        <w:right w:val="none" w:sz="0" w:space="0" w:color="auto"/>
      </w:divBdr>
    </w:div>
    <w:div w:id="81025876">
      <w:marLeft w:val="0"/>
      <w:marRight w:val="0"/>
      <w:marTop w:val="0"/>
      <w:marBottom w:val="100"/>
      <w:divBdr>
        <w:top w:val="none" w:sz="0" w:space="0" w:color="auto"/>
        <w:left w:val="none" w:sz="0" w:space="0" w:color="auto"/>
        <w:bottom w:val="none" w:sz="0" w:space="0" w:color="auto"/>
        <w:right w:val="none" w:sz="0" w:space="0" w:color="auto"/>
      </w:divBdr>
    </w:div>
    <w:div w:id="91512682">
      <w:marLeft w:val="0"/>
      <w:marRight w:val="0"/>
      <w:marTop w:val="180"/>
      <w:marBottom w:val="0"/>
      <w:divBdr>
        <w:top w:val="none" w:sz="0" w:space="0" w:color="auto"/>
        <w:left w:val="none" w:sz="0" w:space="0" w:color="auto"/>
        <w:bottom w:val="none" w:sz="0" w:space="0" w:color="auto"/>
        <w:right w:val="none" w:sz="0" w:space="0" w:color="auto"/>
      </w:divBdr>
    </w:div>
    <w:div w:id="92475938">
      <w:marLeft w:val="0"/>
      <w:marRight w:val="0"/>
      <w:marTop w:val="0"/>
      <w:marBottom w:val="0"/>
      <w:divBdr>
        <w:top w:val="none" w:sz="0" w:space="0" w:color="auto"/>
        <w:left w:val="none" w:sz="0" w:space="0" w:color="auto"/>
        <w:bottom w:val="none" w:sz="0" w:space="0" w:color="auto"/>
        <w:right w:val="none" w:sz="0" w:space="0" w:color="auto"/>
      </w:divBdr>
    </w:div>
    <w:div w:id="98256997">
      <w:marLeft w:val="0"/>
      <w:marRight w:val="0"/>
      <w:marTop w:val="0"/>
      <w:marBottom w:val="0"/>
      <w:divBdr>
        <w:top w:val="none" w:sz="0" w:space="0" w:color="auto"/>
        <w:left w:val="none" w:sz="0" w:space="0" w:color="auto"/>
        <w:bottom w:val="none" w:sz="0" w:space="0" w:color="auto"/>
        <w:right w:val="none" w:sz="0" w:space="0" w:color="auto"/>
      </w:divBdr>
      <w:divsChild>
        <w:div w:id="1402169622">
          <w:marLeft w:val="0"/>
          <w:marRight w:val="0"/>
          <w:marTop w:val="0"/>
          <w:marBottom w:val="100"/>
          <w:divBdr>
            <w:top w:val="none" w:sz="0" w:space="0" w:color="auto"/>
            <w:left w:val="none" w:sz="0" w:space="0" w:color="auto"/>
            <w:bottom w:val="none" w:sz="0" w:space="0" w:color="auto"/>
            <w:right w:val="none" w:sz="0" w:space="0" w:color="auto"/>
          </w:divBdr>
        </w:div>
      </w:divsChild>
    </w:div>
    <w:div w:id="105665462">
      <w:marLeft w:val="0"/>
      <w:marRight w:val="0"/>
      <w:marTop w:val="180"/>
      <w:marBottom w:val="100"/>
      <w:divBdr>
        <w:top w:val="none" w:sz="0" w:space="0" w:color="auto"/>
        <w:left w:val="none" w:sz="0" w:space="0" w:color="auto"/>
        <w:bottom w:val="none" w:sz="0" w:space="0" w:color="auto"/>
        <w:right w:val="none" w:sz="0" w:space="0" w:color="auto"/>
      </w:divBdr>
    </w:div>
    <w:div w:id="112136222">
      <w:marLeft w:val="0"/>
      <w:marRight w:val="0"/>
      <w:marTop w:val="0"/>
      <w:marBottom w:val="100"/>
      <w:divBdr>
        <w:top w:val="none" w:sz="0" w:space="0" w:color="auto"/>
        <w:left w:val="none" w:sz="0" w:space="0" w:color="auto"/>
        <w:bottom w:val="none" w:sz="0" w:space="0" w:color="auto"/>
        <w:right w:val="none" w:sz="0" w:space="0" w:color="auto"/>
      </w:divBdr>
    </w:div>
    <w:div w:id="118571589">
      <w:marLeft w:val="0"/>
      <w:marRight w:val="0"/>
      <w:marTop w:val="100"/>
      <w:marBottom w:val="100"/>
      <w:divBdr>
        <w:top w:val="none" w:sz="0" w:space="0" w:color="auto"/>
        <w:left w:val="none" w:sz="0" w:space="0" w:color="auto"/>
        <w:bottom w:val="none" w:sz="0" w:space="0" w:color="auto"/>
        <w:right w:val="none" w:sz="0" w:space="0" w:color="auto"/>
      </w:divBdr>
    </w:div>
    <w:div w:id="123743856">
      <w:marLeft w:val="0"/>
      <w:marRight w:val="0"/>
      <w:marTop w:val="0"/>
      <w:marBottom w:val="0"/>
      <w:divBdr>
        <w:top w:val="none" w:sz="0" w:space="0" w:color="auto"/>
        <w:left w:val="none" w:sz="0" w:space="0" w:color="auto"/>
        <w:bottom w:val="none" w:sz="0" w:space="0" w:color="auto"/>
        <w:right w:val="none" w:sz="0" w:space="0" w:color="auto"/>
      </w:divBdr>
    </w:div>
    <w:div w:id="124323539">
      <w:marLeft w:val="0"/>
      <w:marRight w:val="0"/>
      <w:marTop w:val="0"/>
      <w:marBottom w:val="0"/>
      <w:divBdr>
        <w:top w:val="none" w:sz="0" w:space="0" w:color="auto"/>
        <w:left w:val="none" w:sz="0" w:space="0" w:color="auto"/>
        <w:bottom w:val="none" w:sz="0" w:space="0" w:color="auto"/>
        <w:right w:val="none" w:sz="0" w:space="0" w:color="auto"/>
      </w:divBdr>
      <w:divsChild>
        <w:div w:id="1913000821">
          <w:marLeft w:val="0"/>
          <w:marRight w:val="0"/>
          <w:marTop w:val="0"/>
          <w:marBottom w:val="100"/>
          <w:divBdr>
            <w:top w:val="none" w:sz="0" w:space="0" w:color="auto"/>
            <w:left w:val="none" w:sz="0" w:space="0" w:color="auto"/>
            <w:bottom w:val="none" w:sz="0" w:space="0" w:color="auto"/>
            <w:right w:val="none" w:sz="0" w:space="0" w:color="auto"/>
          </w:divBdr>
        </w:div>
      </w:divsChild>
    </w:div>
    <w:div w:id="125584944">
      <w:marLeft w:val="0"/>
      <w:marRight w:val="0"/>
      <w:marTop w:val="180"/>
      <w:marBottom w:val="0"/>
      <w:divBdr>
        <w:top w:val="none" w:sz="0" w:space="0" w:color="auto"/>
        <w:left w:val="none" w:sz="0" w:space="0" w:color="auto"/>
        <w:bottom w:val="none" w:sz="0" w:space="0" w:color="auto"/>
        <w:right w:val="none" w:sz="0" w:space="0" w:color="auto"/>
      </w:divBdr>
      <w:divsChild>
        <w:div w:id="323707071">
          <w:marLeft w:val="0"/>
          <w:marRight w:val="0"/>
          <w:marTop w:val="0"/>
          <w:marBottom w:val="0"/>
          <w:divBdr>
            <w:top w:val="none" w:sz="0" w:space="0" w:color="auto"/>
            <w:left w:val="none" w:sz="0" w:space="0" w:color="auto"/>
            <w:bottom w:val="none" w:sz="0" w:space="0" w:color="auto"/>
            <w:right w:val="none" w:sz="0" w:space="0" w:color="auto"/>
          </w:divBdr>
        </w:div>
      </w:divsChild>
    </w:div>
    <w:div w:id="131289179">
      <w:marLeft w:val="0"/>
      <w:marRight w:val="0"/>
      <w:marTop w:val="0"/>
      <w:marBottom w:val="0"/>
      <w:divBdr>
        <w:top w:val="none" w:sz="0" w:space="0" w:color="auto"/>
        <w:left w:val="none" w:sz="0" w:space="0" w:color="auto"/>
        <w:bottom w:val="none" w:sz="0" w:space="0" w:color="auto"/>
        <w:right w:val="none" w:sz="0" w:space="0" w:color="auto"/>
      </w:divBdr>
      <w:divsChild>
        <w:div w:id="701634795">
          <w:marLeft w:val="0"/>
          <w:marRight w:val="0"/>
          <w:marTop w:val="0"/>
          <w:marBottom w:val="0"/>
          <w:divBdr>
            <w:top w:val="none" w:sz="0" w:space="0" w:color="auto"/>
            <w:left w:val="none" w:sz="0" w:space="0" w:color="auto"/>
            <w:bottom w:val="none" w:sz="0" w:space="0" w:color="auto"/>
            <w:right w:val="none" w:sz="0" w:space="0" w:color="auto"/>
          </w:divBdr>
          <w:divsChild>
            <w:div w:id="49985088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2986301">
      <w:marLeft w:val="0"/>
      <w:marRight w:val="0"/>
      <w:marTop w:val="180"/>
      <w:marBottom w:val="0"/>
      <w:divBdr>
        <w:top w:val="none" w:sz="0" w:space="0" w:color="auto"/>
        <w:left w:val="none" w:sz="0" w:space="0" w:color="auto"/>
        <w:bottom w:val="none" w:sz="0" w:space="0" w:color="auto"/>
        <w:right w:val="none" w:sz="0" w:space="0" w:color="auto"/>
      </w:divBdr>
    </w:div>
    <w:div w:id="135413135">
      <w:marLeft w:val="0"/>
      <w:marRight w:val="0"/>
      <w:marTop w:val="180"/>
      <w:marBottom w:val="100"/>
      <w:divBdr>
        <w:top w:val="none" w:sz="0" w:space="0" w:color="auto"/>
        <w:left w:val="none" w:sz="0" w:space="0" w:color="auto"/>
        <w:bottom w:val="none" w:sz="0" w:space="0" w:color="auto"/>
        <w:right w:val="none" w:sz="0" w:space="0" w:color="auto"/>
      </w:divBdr>
    </w:div>
    <w:div w:id="135609909">
      <w:marLeft w:val="0"/>
      <w:marRight w:val="0"/>
      <w:marTop w:val="0"/>
      <w:marBottom w:val="0"/>
      <w:divBdr>
        <w:top w:val="none" w:sz="0" w:space="0" w:color="auto"/>
        <w:left w:val="none" w:sz="0" w:space="0" w:color="auto"/>
        <w:bottom w:val="none" w:sz="0" w:space="0" w:color="auto"/>
        <w:right w:val="none" w:sz="0" w:space="0" w:color="auto"/>
      </w:divBdr>
      <w:divsChild>
        <w:div w:id="2039311638">
          <w:marLeft w:val="0"/>
          <w:marRight w:val="0"/>
          <w:marTop w:val="0"/>
          <w:marBottom w:val="0"/>
          <w:divBdr>
            <w:top w:val="none" w:sz="0" w:space="0" w:color="auto"/>
            <w:left w:val="none" w:sz="0" w:space="0" w:color="auto"/>
            <w:bottom w:val="none" w:sz="0" w:space="0" w:color="auto"/>
            <w:right w:val="none" w:sz="0" w:space="0" w:color="auto"/>
          </w:divBdr>
          <w:divsChild>
            <w:div w:id="16649705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1582751">
      <w:marLeft w:val="0"/>
      <w:marRight w:val="0"/>
      <w:marTop w:val="0"/>
      <w:marBottom w:val="0"/>
      <w:divBdr>
        <w:top w:val="none" w:sz="0" w:space="0" w:color="auto"/>
        <w:left w:val="none" w:sz="0" w:space="0" w:color="auto"/>
        <w:bottom w:val="none" w:sz="0" w:space="0" w:color="auto"/>
        <w:right w:val="none" w:sz="0" w:space="0" w:color="auto"/>
      </w:divBdr>
      <w:divsChild>
        <w:div w:id="1115364247">
          <w:marLeft w:val="0"/>
          <w:marRight w:val="0"/>
          <w:marTop w:val="0"/>
          <w:marBottom w:val="100"/>
          <w:divBdr>
            <w:top w:val="none" w:sz="0" w:space="0" w:color="auto"/>
            <w:left w:val="none" w:sz="0" w:space="0" w:color="auto"/>
            <w:bottom w:val="none" w:sz="0" w:space="0" w:color="auto"/>
            <w:right w:val="none" w:sz="0" w:space="0" w:color="auto"/>
          </w:divBdr>
        </w:div>
      </w:divsChild>
    </w:div>
    <w:div w:id="145558140">
      <w:marLeft w:val="0"/>
      <w:marRight w:val="0"/>
      <w:marTop w:val="100"/>
      <w:marBottom w:val="100"/>
      <w:divBdr>
        <w:top w:val="none" w:sz="0" w:space="0" w:color="auto"/>
        <w:left w:val="none" w:sz="0" w:space="0" w:color="auto"/>
        <w:bottom w:val="none" w:sz="0" w:space="0" w:color="auto"/>
        <w:right w:val="none" w:sz="0" w:space="0" w:color="auto"/>
      </w:divBdr>
    </w:div>
    <w:div w:id="147864659">
      <w:marLeft w:val="0"/>
      <w:marRight w:val="0"/>
      <w:marTop w:val="100"/>
      <w:marBottom w:val="100"/>
      <w:divBdr>
        <w:top w:val="none" w:sz="0" w:space="0" w:color="auto"/>
        <w:left w:val="none" w:sz="0" w:space="0" w:color="auto"/>
        <w:bottom w:val="none" w:sz="0" w:space="0" w:color="auto"/>
        <w:right w:val="none" w:sz="0" w:space="0" w:color="auto"/>
      </w:divBdr>
    </w:div>
    <w:div w:id="157306908">
      <w:marLeft w:val="0"/>
      <w:marRight w:val="0"/>
      <w:marTop w:val="0"/>
      <w:marBottom w:val="0"/>
      <w:divBdr>
        <w:top w:val="none" w:sz="0" w:space="0" w:color="auto"/>
        <w:left w:val="none" w:sz="0" w:space="0" w:color="auto"/>
        <w:bottom w:val="none" w:sz="0" w:space="0" w:color="auto"/>
        <w:right w:val="none" w:sz="0" w:space="0" w:color="auto"/>
      </w:divBdr>
      <w:divsChild>
        <w:div w:id="1082752883">
          <w:marLeft w:val="0"/>
          <w:marRight w:val="0"/>
          <w:marTop w:val="0"/>
          <w:marBottom w:val="100"/>
          <w:divBdr>
            <w:top w:val="none" w:sz="0" w:space="0" w:color="auto"/>
            <w:left w:val="none" w:sz="0" w:space="0" w:color="auto"/>
            <w:bottom w:val="none" w:sz="0" w:space="0" w:color="auto"/>
            <w:right w:val="none" w:sz="0" w:space="0" w:color="auto"/>
          </w:divBdr>
        </w:div>
      </w:divsChild>
    </w:div>
    <w:div w:id="172960566">
      <w:marLeft w:val="0"/>
      <w:marRight w:val="0"/>
      <w:marTop w:val="180"/>
      <w:marBottom w:val="0"/>
      <w:divBdr>
        <w:top w:val="none" w:sz="0" w:space="0" w:color="auto"/>
        <w:left w:val="none" w:sz="0" w:space="0" w:color="auto"/>
        <w:bottom w:val="none" w:sz="0" w:space="0" w:color="auto"/>
        <w:right w:val="none" w:sz="0" w:space="0" w:color="auto"/>
      </w:divBdr>
    </w:div>
    <w:div w:id="177933737">
      <w:marLeft w:val="0"/>
      <w:marRight w:val="0"/>
      <w:marTop w:val="0"/>
      <w:marBottom w:val="100"/>
      <w:divBdr>
        <w:top w:val="none" w:sz="0" w:space="0" w:color="auto"/>
        <w:left w:val="none" w:sz="0" w:space="0" w:color="auto"/>
        <w:bottom w:val="none" w:sz="0" w:space="0" w:color="auto"/>
        <w:right w:val="none" w:sz="0" w:space="0" w:color="auto"/>
      </w:divBdr>
    </w:div>
    <w:div w:id="183057103">
      <w:marLeft w:val="0"/>
      <w:marRight w:val="0"/>
      <w:marTop w:val="180"/>
      <w:marBottom w:val="0"/>
      <w:divBdr>
        <w:top w:val="none" w:sz="0" w:space="0" w:color="auto"/>
        <w:left w:val="none" w:sz="0" w:space="0" w:color="auto"/>
        <w:bottom w:val="none" w:sz="0" w:space="0" w:color="auto"/>
        <w:right w:val="none" w:sz="0" w:space="0" w:color="auto"/>
      </w:divBdr>
    </w:div>
    <w:div w:id="183788995">
      <w:marLeft w:val="0"/>
      <w:marRight w:val="0"/>
      <w:marTop w:val="240"/>
      <w:marBottom w:val="0"/>
      <w:divBdr>
        <w:top w:val="none" w:sz="0" w:space="0" w:color="auto"/>
        <w:left w:val="none" w:sz="0" w:space="0" w:color="auto"/>
        <w:bottom w:val="none" w:sz="0" w:space="0" w:color="auto"/>
        <w:right w:val="none" w:sz="0" w:space="0" w:color="auto"/>
      </w:divBdr>
      <w:divsChild>
        <w:div w:id="935014942">
          <w:marLeft w:val="0"/>
          <w:marRight w:val="0"/>
          <w:marTop w:val="0"/>
          <w:marBottom w:val="0"/>
          <w:divBdr>
            <w:top w:val="none" w:sz="0" w:space="0" w:color="auto"/>
            <w:left w:val="none" w:sz="0" w:space="0" w:color="auto"/>
            <w:bottom w:val="none" w:sz="0" w:space="0" w:color="auto"/>
            <w:right w:val="none" w:sz="0" w:space="0" w:color="auto"/>
          </w:divBdr>
        </w:div>
        <w:div w:id="982276515">
          <w:marLeft w:val="0"/>
          <w:marRight w:val="0"/>
          <w:marTop w:val="0"/>
          <w:marBottom w:val="0"/>
          <w:divBdr>
            <w:top w:val="none" w:sz="0" w:space="0" w:color="auto"/>
            <w:left w:val="none" w:sz="0" w:space="0" w:color="auto"/>
            <w:bottom w:val="none" w:sz="0" w:space="0" w:color="auto"/>
            <w:right w:val="none" w:sz="0" w:space="0" w:color="auto"/>
          </w:divBdr>
        </w:div>
      </w:divsChild>
    </w:div>
    <w:div w:id="193076294">
      <w:marLeft w:val="0"/>
      <w:marRight w:val="0"/>
      <w:marTop w:val="0"/>
      <w:marBottom w:val="0"/>
      <w:divBdr>
        <w:top w:val="none" w:sz="0" w:space="0" w:color="auto"/>
        <w:left w:val="none" w:sz="0" w:space="0" w:color="auto"/>
        <w:bottom w:val="none" w:sz="0" w:space="0" w:color="auto"/>
        <w:right w:val="none" w:sz="0" w:space="0" w:color="auto"/>
      </w:divBdr>
    </w:div>
    <w:div w:id="194194698">
      <w:marLeft w:val="0"/>
      <w:marRight w:val="0"/>
      <w:marTop w:val="0"/>
      <w:marBottom w:val="0"/>
      <w:divBdr>
        <w:top w:val="none" w:sz="0" w:space="0" w:color="auto"/>
        <w:left w:val="none" w:sz="0" w:space="0" w:color="auto"/>
        <w:bottom w:val="none" w:sz="0" w:space="0" w:color="auto"/>
        <w:right w:val="none" w:sz="0" w:space="0" w:color="auto"/>
      </w:divBdr>
    </w:div>
    <w:div w:id="194579477">
      <w:marLeft w:val="0"/>
      <w:marRight w:val="0"/>
      <w:marTop w:val="0"/>
      <w:marBottom w:val="0"/>
      <w:divBdr>
        <w:top w:val="none" w:sz="0" w:space="0" w:color="auto"/>
        <w:left w:val="none" w:sz="0" w:space="0" w:color="auto"/>
        <w:bottom w:val="none" w:sz="0" w:space="0" w:color="auto"/>
        <w:right w:val="none" w:sz="0" w:space="0" w:color="auto"/>
      </w:divBdr>
      <w:divsChild>
        <w:div w:id="1787701706">
          <w:marLeft w:val="0"/>
          <w:marRight w:val="0"/>
          <w:marTop w:val="0"/>
          <w:marBottom w:val="0"/>
          <w:divBdr>
            <w:top w:val="none" w:sz="0" w:space="0" w:color="auto"/>
            <w:left w:val="none" w:sz="0" w:space="0" w:color="auto"/>
            <w:bottom w:val="none" w:sz="0" w:space="0" w:color="auto"/>
            <w:right w:val="none" w:sz="0" w:space="0" w:color="auto"/>
          </w:divBdr>
        </w:div>
        <w:div w:id="1158768284">
          <w:marLeft w:val="0"/>
          <w:marRight w:val="0"/>
          <w:marTop w:val="0"/>
          <w:marBottom w:val="0"/>
          <w:divBdr>
            <w:top w:val="none" w:sz="0" w:space="0" w:color="auto"/>
            <w:left w:val="none" w:sz="0" w:space="0" w:color="auto"/>
            <w:bottom w:val="none" w:sz="0" w:space="0" w:color="auto"/>
            <w:right w:val="none" w:sz="0" w:space="0" w:color="auto"/>
          </w:divBdr>
        </w:div>
        <w:div w:id="658383233">
          <w:marLeft w:val="0"/>
          <w:marRight w:val="0"/>
          <w:marTop w:val="0"/>
          <w:marBottom w:val="0"/>
          <w:divBdr>
            <w:top w:val="none" w:sz="0" w:space="0" w:color="auto"/>
            <w:left w:val="none" w:sz="0" w:space="0" w:color="auto"/>
            <w:bottom w:val="none" w:sz="0" w:space="0" w:color="auto"/>
            <w:right w:val="none" w:sz="0" w:space="0" w:color="auto"/>
          </w:divBdr>
        </w:div>
      </w:divsChild>
    </w:div>
    <w:div w:id="200946910">
      <w:marLeft w:val="0"/>
      <w:marRight w:val="0"/>
      <w:marTop w:val="0"/>
      <w:marBottom w:val="0"/>
      <w:divBdr>
        <w:top w:val="none" w:sz="0" w:space="0" w:color="auto"/>
        <w:left w:val="none" w:sz="0" w:space="0" w:color="auto"/>
        <w:bottom w:val="none" w:sz="0" w:space="0" w:color="auto"/>
        <w:right w:val="none" w:sz="0" w:space="0" w:color="auto"/>
      </w:divBdr>
      <w:divsChild>
        <w:div w:id="494297912">
          <w:marLeft w:val="0"/>
          <w:marRight w:val="0"/>
          <w:marTop w:val="0"/>
          <w:marBottom w:val="0"/>
          <w:divBdr>
            <w:top w:val="none" w:sz="0" w:space="0" w:color="auto"/>
            <w:left w:val="none" w:sz="0" w:space="0" w:color="auto"/>
            <w:bottom w:val="none" w:sz="0" w:space="0" w:color="auto"/>
            <w:right w:val="none" w:sz="0" w:space="0" w:color="auto"/>
          </w:divBdr>
          <w:divsChild>
            <w:div w:id="67326434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2131437">
      <w:marLeft w:val="0"/>
      <w:marRight w:val="0"/>
      <w:marTop w:val="100"/>
      <w:marBottom w:val="0"/>
      <w:divBdr>
        <w:top w:val="none" w:sz="0" w:space="0" w:color="auto"/>
        <w:left w:val="none" w:sz="0" w:space="0" w:color="auto"/>
        <w:bottom w:val="none" w:sz="0" w:space="0" w:color="auto"/>
        <w:right w:val="none" w:sz="0" w:space="0" w:color="auto"/>
      </w:divBdr>
      <w:divsChild>
        <w:div w:id="915167767">
          <w:marLeft w:val="0"/>
          <w:marRight w:val="0"/>
          <w:marTop w:val="0"/>
          <w:marBottom w:val="0"/>
          <w:divBdr>
            <w:top w:val="none" w:sz="0" w:space="0" w:color="auto"/>
            <w:left w:val="none" w:sz="0" w:space="0" w:color="auto"/>
            <w:bottom w:val="none" w:sz="0" w:space="0" w:color="auto"/>
            <w:right w:val="none" w:sz="0" w:space="0" w:color="auto"/>
          </w:divBdr>
        </w:div>
      </w:divsChild>
    </w:div>
    <w:div w:id="217211857">
      <w:marLeft w:val="0"/>
      <w:marRight w:val="0"/>
      <w:marTop w:val="0"/>
      <w:marBottom w:val="0"/>
      <w:divBdr>
        <w:top w:val="none" w:sz="0" w:space="0" w:color="auto"/>
        <w:left w:val="none" w:sz="0" w:space="0" w:color="auto"/>
        <w:bottom w:val="none" w:sz="0" w:space="0" w:color="auto"/>
        <w:right w:val="none" w:sz="0" w:space="0" w:color="auto"/>
      </w:divBdr>
      <w:divsChild>
        <w:div w:id="890120185">
          <w:marLeft w:val="0"/>
          <w:marRight w:val="0"/>
          <w:marTop w:val="0"/>
          <w:marBottom w:val="0"/>
          <w:divBdr>
            <w:top w:val="none" w:sz="0" w:space="0" w:color="auto"/>
            <w:left w:val="none" w:sz="0" w:space="0" w:color="auto"/>
            <w:bottom w:val="none" w:sz="0" w:space="0" w:color="auto"/>
            <w:right w:val="none" w:sz="0" w:space="0" w:color="auto"/>
          </w:divBdr>
          <w:divsChild>
            <w:div w:id="20970878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24608390">
      <w:marLeft w:val="0"/>
      <w:marRight w:val="0"/>
      <w:marTop w:val="100"/>
      <w:marBottom w:val="100"/>
      <w:divBdr>
        <w:top w:val="none" w:sz="0" w:space="0" w:color="auto"/>
        <w:left w:val="none" w:sz="0" w:space="0" w:color="auto"/>
        <w:bottom w:val="none" w:sz="0" w:space="0" w:color="auto"/>
        <w:right w:val="none" w:sz="0" w:space="0" w:color="auto"/>
      </w:divBdr>
    </w:div>
    <w:div w:id="231820882">
      <w:marLeft w:val="0"/>
      <w:marRight w:val="0"/>
      <w:marTop w:val="280"/>
      <w:marBottom w:val="100"/>
      <w:divBdr>
        <w:top w:val="none" w:sz="0" w:space="0" w:color="auto"/>
        <w:left w:val="none" w:sz="0" w:space="0" w:color="auto"/>
        <w:bottom w:val="none" w:sz="0" w:space="0" w:color="auto"/>
        <w:right w:val="none" w:sz="0" w:space="0" w:color="auto"/>
      </w:divBdr>
    </w:div>
    <w:div w:id="235745864">
      <w:marLeft w:val="0"/>
      <w:marRight w:val="0"/>
      <w:marTop w:val="180"/>
      <w:marBottom w:val="0"/>
      <w:divBdr>
        <w:top w:val="none" w:sz="0" w:space="0" w:color="auto"/>
        <w:left w:val="none" w:sz="0" w:space="0" w:color="auto"/>
        <w:bottom w:val="none" w:sz="0" w:space="0" w:color="auto"/>
        <w:right w:val="none" w:sz="0" w:space="0" w:color="auto"/>
      </w:divBdr>
    </w:div>
    <w:div w:id="244389489">
      <w:marLeft w:val="0"/>
      <w:marRight w:val="0"/>
      <w:marTop w:val="180"/>
      <w:marBottom w:val="0"/>
      <w:divBdr>
        <w:top w:val="none" w:sz="0" w:space="0" w:color="auto"/>
        <w:left w:val="none" w:sz="0" w:space="0" w:color="auto"/>
        <w:bottom w:val="none" w:sz="0" w:space="0" w:color="auto"/>
        <w:right w:val="none" w:sz="0" w:space="0" w:color="auto"/>
      </w:divBdr>
    </w:div>
    <w:div w:id="246351006">
      <w:marLeft w:val="0"/>
      <w:marRight w:val="0"/>
      <w:marTop w:val="100"/>
      <w:marBottom w:val="100"/>
      <w:divBdr>
        <w:top w:val="none" w:sz="0" w:space="0" w:color="auto"/>
        <w:left w:val="none" w:sz="0" w:space="0" w:color="auto"/>
        <w:bottom w:val="none" w:sz="0" w:space="0" w:color="auto"/>
        <w:right w:val="none" w:sz="0" w:space="0" w:color="auto"/>
      </w:divBdr>
    </w:div>
    <w:div w:id="248319737">
      <w:marLeft w:val="0"/>
      <w:marRight w:val="0"/>
      <w:marTop w:val="180"/>
      <w:marBottom w:val="100"/>
      <w:divBdr>
        <w:top w:val="none" w:sz="0" w:space="0" w:color="auto"/>
        <w:left w:val="none" w:sz="0" w:space="0" w:color="auto"/>
        <w:bottom w:val="none" w:sz="0" w:space="0" w:color="auto"/>
        <w:right w:val="none" w:sz="0" w:space="0" w:color="auto"/>
      </w:divBdr>
    </w:div>
    <w:div w:id="251857750">
      <w:marLeft w:val="0"/>
      <w:marRight w:val="0"/>
      <w:marTop w:val="100"/>
      <w:marBottom w:val="0"/>
      <w:divBdr>
        <w:top w:val="none" w:sz="0" w:space="0" w:color="auto"/>
        <w:left w:val="none" w:sz="0" w:space="0" w:color="auto"/>
        <w:bottom w:val="none" w:sz="0" w:space="0" w:color="auto"/>
        <w:right w:val="none" w:sz="0" w:space="0" w:color="auto"/>
      </w:divBdr>
      <w:divsChild>
        <w:div w:id="1781490630">
          <w:marLeft w:val="0"/>
          <w:marRight w:val="0"/>
          <w:marTop w:val="0"/>
          <w:marBottom w:val="0"/>
          <w:divBdr>
            <w:top w:val="none" w:sz="0" w:space="0" w:color="auto"/>
            <w:left w:val="none" w:sz="0" w:space="0" w:color="auto"/>
            <w:bottom w:val="none" w:sz="0" w:space="0" w:color="auto"/>
            <w:right w:val="none" w:sz="0" w:space="0" w:color="auto"/>
          </w:divBdr>
        </w:div>
      </w:divsChild>
    </w:div>
    <w:div w:id="257831231">
      <w:marLeft w:val="0"/>
      <w:marRight w:val="0"/>
      <w:marTop w:val="0"/>
      <w:marBottom w:val="100"/>
      <w:divBdr>
        <w:top w:val="none" w:sz="0" w:space="0" w:color="auto"/>
        <w:left w:val="none" w:sz="0" w:space="0" w:color="auto"/>
        <w:bottom w:val="none" w:sz="0" w:space="0" w:color="auto"/>
        <w:right w:val="none" w:sz="0" w:space="0" w:color="auto"/>
      </w:divBdr>
    </w:div>
    <w:div w:id="260380703">
      <w:marLeft w:val="0"/>
      <w:marRight w:val="0"/>
      <w:marTop w:val="100"/>
      <w:marBottom w:val="0"/>
      <w:divBdr>
        <w:top w:val="none" w:sz="0" w:space="0" w:color="auto"/>
        <w:left w:val="none" w:sz="0" w:space="0" w:color="auto"/>
        <w:bottom w:val="none" w:sz="0" w:space="0" w:color="auto"/>
        <w:right w:val="none" w:sz="0" w:space="0" w:color="auto"/>
      </w:divBdr>
    </w:div>
    <w:div w:id="260572804">
      <w:marLeft w:val="0"/>
      <w:marRight w:val="0"/>
      <w:marTop w:val="0"/>
      <w:marBottom w:val="0"/>
      <w:divBdr>
        <w:top w:val="none" w:sz="0" w:space="0" w:color="auto"/>
        <w:left w:val="none" w:sz="0" w:space="0" w:color="auto"/>
        <w:bottom w:val="none" w:sz="0" w:space="0" w:color="auto"/>
        <w:right w:val="none" w:sz="0" w:space="0" w:color="auto"/>
      </w:divBdr>
    </w:div>
    <w:div w:id="263390959">
      <w:marLeft w:val="0"/>
      <w:marRight w:val="0"/>
      <w:marTop w:val="80"/>
      <w:marBottom w:val="100"/>
      <w:divBdr>
        <w:top w:val="none" w:sz="0" w:space="0" w:color="auto"/>
        <w:left w:val="none" w:sz="0" w:space="0" w:color="auto"/>
        <w:bottom w:val="none" w:sz="0" w:space="0" w:color="auto"/>
        <w:right w:val="none" w:sz="0" w:space="0" w:color="auto"/>
      </w:divBdr>
    </w:div>
    <w:div w:id="265423816">
      <w:marLeft w:val="0"/>
      <w:marRight w:val="0"/>
      <w:marTop w:val="180"/>
      <w:marBottom w:val="0"/>
      <w:divBdr>
        <w:top w:val="none" w:sz="0" w:space="0" w:color="auto"/>
        <w:left w:val="none" w:sz="0" w:space="0" w:color="auto"/>
        <w:bottom w:val="none" w:sz="0" w:space="0" w:color="auto"/>
        <w:right w:val="none" w:sz="0" w:space="0" w:color="auto"/>
      </w:divBdr>
    </w:div>
    <w:div w:id="266356925">
      <w:marLeft w:val="0"/>
      <w:marRight w:val="0"/>
      <w:marTop w:val="0"/>
      <w:marBottom w:val="100"/>
      <w:divBdr>
        <w:top w:val="none" w:sz="0" w:space="0" w:color="auto"/>
        <w:left w:val="none" w:sz="0" w:space="0" w:color="auto"/>
        <w:bottom w:val="none" w:sz="0" w:space="0" w:color="auto"/>
        <w:right w:val="none" w:sz="0" w:space="0" w:color="auto"/>
      </w:divBdr>
    </w:div>
    <w:div w:id="268662373">
      <w:marLeft w:val="0"/>
      <w:marRight w:val="0"/>
      <w:marTop w:val="100"/>
      <w:marBottom w:val="100"/>
      <w:divBdr>
        <w:top w:val="none" w:sz="0" w:space="0" w:color="auto"/>
        <w:left w:val="none" w:sz="0" w:space="0" w:color="auto"/>
        <w:bottom w:val="none" w:sz="0" w:space="0" w:color="auto"/>
        <w:right w:val="none" w:sz="0" w:space="0" w:color="auto"/>
      </w:divBdr>
    </w:div>
    <w:div w:id="269630343">
      <w:marLeft w:val="0"/>
      <w:marRight w:val="0"/>
      <w:marTop w:val="180"/>
      <w:marBottom w:val="0"/>
      <w:divBdr>
        <w:top w:val="none" w:sz="0" w:space="0" w:color="auto"/>
        <w:left w:val="none" w:sz="0" w:space="0" w:color="auto"/>
        <w:bottom w:val="none" w:sz="0" w:space="0" w:color="auto"/>
        <w:right w:val="none" w:sz="0" w:space="0" w:color="auto"/>
      </w:divBdr>
    </w:div>
    <w:div w:id="272131068">
      <w:marLeft w:val="0"/>
      <w:marRight w:val="0"/>
      <w:marTop w:val="0"/>
      <w:marBottom w:val="0"/>
      <w:divBdr>
        <w:top w:val="none" w:sz="0" w:space="0" w:color="auto"/>
        <w:left w:val="none" w:sz="0" w:space="0" w:color="auto"/>
        <w:bottom w:val="none" w:sz="0" w:space="0" w:color="auto"/>
        <w:right w:val="none" w:sz="0" w:space="0" w:color="auto"/>
      </w:divBdr>
    </w:div>
    <w:div w:id="276912741">
      <w:marLeft w:val="0"/>
      <w:marRight w:val="0"/>
      <w:marTop w:val="0"/>
      <w:marBottom w:val="0"/>
      <w:divBdr>
        <w:top w:val="none" w:sz="0" w:space="0" w:color="auto"/>
        <w:left w:val="none" w:sz="0" w:space="0" w:color="auto"/>
        <w:bottom w:val="none" w:sz="0" w:space="0" w:color="auto"/>
        <w:right w:val="none" w:sz="0" w:space="0" w:color="auto"/>
      </w:divBdr>
    </w:div>
    <w:div w:id="281497067">
      <w:marLeft w:val="0"/>
      <w:marRight w:val="0"/>
      <w:marTop w:val="180"/>
      <w:marBottom w:val="0"/>
      <w:divBdr>
        <w:top w:val="none" w:sz="0" w:space="0" w:color="auto"/>
        <w:left w:val="none" w:sz="0" w:space="0" w:color="auto"/>
        <w:bottom w:val="none" w:sz="0" w:space="0" w:color="auto"/>
        <w:right w:val="none" w:sz="0" w:space="0" w:color="auto"/>
      </w:divBdr>
    </w:div>
    <w:div w:id="285893491">
      <w:marLeft w:val="0"/>
      <w:marRight w:val="0"/>
      <w:marTop w:val="100"/>
      <w:marBottom w:val="100"/>
      <w:divBdr>
        <w:top w:val="none" w:sz="0" w:space="0" w:color="auto"/>
        <w:left w:val="none" w:sz="0" w:space="0" w:color="auto"/>
        <w:bottom w:val="none" w:sz="0" w:space="0" w:color="auto"/>
        <w:right w:val="none" w:sz="0" w:space="0" w:color="auto"/>
      </w:divBdr>
    </w:div>
    <w:div w:id="287127684">
      <w:marLeft w:val="0"/>
      <w:marRight w:val="0"/>
      <w:marTop w:val="100"/>
      <w:marBottom w:val="100"/>
      <w:divBdr>
        <w:top w:val="none" w:sz="0" w:space="0" w:color="auto"/>
        <w:left w:val="none" w:sz="0" w:space="0" w:color="auto"/>
        <w:bottom w:val="none" w:sz="0" w:space="0" w:color="auto"/>
        <w:right w:val="none" w:sz="0" w:space="0" w:color="auto"/>
      </w:divBdr>
    </w:div>
    <w:div w:id="289827756">
      <w:marLeft w:val="0"/>
      <w:marRight w:val="0"/>
      <w:marTop w:val="100"/>
      <w:marBottom w:val="0"/>
      <w:divBdr>
        <w:top w:val="none" w:sz="0" w:space="0" w:color="auto"/>
        <w:left w:val="none" w:sz="0" w:space="0" w:color="auto"/>
        <w:bottom w:val="none" w:sz="0" w:space="0" w:color="auto"/>
        <w:right w:val="none" w:sz="0" w:space="0" w:color="auto"/>
      </w:divBdr>
    </w:div>
    <w:div w:id="295725944">
      <w:marLeft w:val="0"/>
      <w:marRight w:val="0"/>
      <w:marTop w:val="0"/>
      <w:marBottom w:val="0"/>
      <w:divBdr>
        <w:top w:val="none" w:sz="0" w:space="0" w:color="auto"/>
        <w:left w:val="none" w:sz="0" w:space="0" w:color="auto"/>
        <w:bottom w:val="none" w:sz="0" w:space="0" w:color="auto"/>
        <w:right w:val="none" w:sz="0" w:space="0" w:color="auto"/>
      </w:divBdr>
    </w:div>
    <w:div w:id="297494103">
      <w:marLeft w:val="0"/>
      <w:marRight w:val="0"/>
      <w:marTop w:val="0"/>
      <w:marBottom w:val="0"/>
      <w:divBdr>
        <w:top w:val="none" w:sz="0" w:space="0" w:color="auto"/>
        <w:left w:val="none" w:sz="0" w:space="0" w:color="auto"/>
        <w:bottom w:val="none" w:sz="0" w:space="0" w:color="auto"/>
        <w:right w:val="none" w:sz="0" w:space="0" w:color="auto"/>
      </w:divBdr>
      <w:divsChild>
        <w:div w:id="820804660">
          <w:marLeft w:val="0"/>
          <w:marRight w:val="0"/>
          <w:marTop w:val="0"/>
          <w:marBottom w:val="0"/>
          <w:divBdr>
            <w:top w:val="none" w:sz="0" w:space="0" w:color="auto"/>
            <w:left w:val="none" w:sz="0" w:space="0" w:color="auto"/>
            <w:bottom w:val="none" w:sz="0" w:space="0" w:color="auto"/>
            <w:right w:val="none" w:sz="0" w:space="0" w:color="auto"/>
          </w:divBdr>
          <w:divsChild>
            <w:div w:id="110233666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98073118">
      <w:marLeft w:val="0"/>
      <w:marRight w:val="0"/>
      <w:marTop w:val="0"/>
      <w:marBottom w:val="0"/>
      <w:divBdr>
        <w:top w:val="none" w:sz="0" w:space="0" w:color="auto"/>
        <w:left w:val="none" w:sz="0" w:space="0" w:color="auto"/>
        <w:bottom w:val="none" w:sz="0" w:space="0" w:color="auto"/>
        <w:right w:val="none" w:sz="0" w:space="0" w:color="auto"/>
      </w:divBdr>
    </w:div>
    <w:div w:id="298342123">
      <w:marLeft w:val="0"/>
      <w:marRight w:val="0"/>
      <w:marTop w:val="0"/>
      <w:marBottom w:val="0"/>
      <w:divBdr>
        <w:top w:val="none" w:sz="0" w:space="0" w:color="auto"/>
        <w:left w:val="none" w:sz="0" w:space="0" w:color="auto"/>
        <w:bottom w:val="none" w:sz="0" w:space="0" w:color="auto"/>
        <w:right w:val="none" w:sz="0" w:space="0" w:color="auto"/>
      </w:divBdr>
    </w:div>
    <w:div w:id="302345246">
      <w:marLeft w:val="0"/>
      <w:marRight w:val="0"/>
      <w:marTop w:val="0"/>
      <w:marBottom w:val="0"/>
      <w:divBdr>
        <w:top w:val="none" w:sz="0" w:space="0" w:color="auto"/>
        <w:left w:val="none" w:sz="0" w:space="0" w:color="auto"/>
        <w:bottom w:val="none" w:sz="0" w:space="0" w:color="auto"/>
        <w:right w:val="none" w:sz="0" w:space="0" w:color="auto"/>
      </w:divBdr>
    </w:div>
    <w:div w:id="323123718">
      <w:marLeft w:val="0"/>
      <w:marRight w:val="0"/>
      <w:marTop w:val="0"/>
      <w:marBottom w:val="0"/>
      <w:divBdr>
        <w:top w:val="none" w:sz="0" w:space="0" w:color="auto"/>
        <w:left w:val="none" w:sz="0" w:space="0" w:color="auto"/>
        <w:bottom w:val="none" w:sz="0" w:space="0" w:color="auto"/>
        <w:right w:val="none" w:sz="0" w:space="0" w:color="auto"/>
      </w:divBdr>
    </w:div>
    <w:div w:id="325592955">
      <w:marLeft w:val="0"/>
      <w:marRight w:val="0"/>
      <w:marTop w:val="0"/>
      <w:marBottom w:val="100"/>
      <w:divBdr>
        <w:top w:val="none" w:sz="0" w:space="0" w:color="auto"/>
        <w:left w:val="none" w:sz="0" w:space="0" w:color="auto"/>
        <w:bottom w:val="none" w:sz="0" w:space="0" w:color="auto"/>
        <w:right w:val="none" w:sz="0" w:space="0" w:color="auto"/>
      </w:divBdr>
    </w:div>
    <w:div w:id="328290599">
      <w:marLeft w:val="0"/>
      <w:marRight w:val="0"/>
      <w:marTop w:val="0"/>
      <w:marBottom w:val="0"/>
      <w:divBdr>
        <w:top w:val="none" w:sz="0" w:space="0" w:color="auto"/>
        <w:left w:val="none" w:sz="0" w:space="0" w:color="auto"/>
        <w:bottom w:val="none" w:sz="0" w:space="0" w:color="auto"/>
        <w:right w:val="none" w:sz="0" w:space="0" w:color="auto"/>
      </w:divBdr>
    </w:div>
    <w:div w:id="331759049">
      <w:marLeft w:val="0"/>
      <w:marRight w:val="0"/>
      <w:marTop w:val="0"/>
      <w:marBottom w:val="100"/>
      <w:divBdr>
        <w:top w:val="none" w:sz="0" w:space="0" w:color="auto"/>
        <w:left w:val="none" w:sz="0" w:space="0" w:color="auto"/>
        <w:bottom w:val="none" w:sz="0" w:space="0" w:color="auto"/>
        <w:right w:val="none" w:sz="0" w:space="0" w:color="auto"/>
      </w:divBdr>
    </w:div>
    <w:div w:id="336805931">
      <w:marLeft w:val="0"/>
      <w:marRight w:val="0"/>
      <w:marTop w:val="100"/>
      <w:marBottom w:val="100"/>
      <w:divBdr>
        <w:top w:val="none" w:sz="0" w:space="0" w:color="auto"/>
        <w:left w:val="none" w:sz="0" w:space="0" w:color="auto"/>
        <w:bottom w:val="none" w:sz="0" w:space="0" w:color="auto"/>
        <w:right w:val="none" w:sz="0" w:space="0" w:color="auto"/>
      </w:divBdr>
    </w:div>
    <w:div w:id="337927870">
      <w:marLeft w:val="0"/>
      <w:marRight w:val="0"/>
      <w:marTop w:val="0"/>
      <w:marBottom w:val="0"/>
      <w:divBdr>
        <w:top w:val="none" w:sz="0" w:space="0" w:color="auto"/>
        <w:left w:val="none" w:sz="0" w:space="0" w:color="auto"/>
        <w:bottom w:val="none" w:sz="0" w:space="0" w:color="auto"/>
        <w:right w:val="none" w:sz="0" w:space="0" w:color="auto"/>
      </w:divBdr>
    </w:div>
    <w:div w:id="346030203">
      <w:marLeft w:val="0"/>
      <w:marRight w:val="0"/>
      <w:marTop w:val="180"/>
      <w:marBottom w:val="0"/>
      <w:divBdr>
        <w:top w:val="none" w:sz="0" w:space="0" w:color="auto"/>
        <w:left w:val="none" w:sz="0" w:space="0" w:color="auto"/>
        <w:bottom w:val="none" w:sz="0" w:space="0" w:color="auto"/>
        <w:right w:val="none" w:sz="0" w:space="0" w:color="auto"/>
      </w:divBdr>
    </w:div>
    <w:div w:id="346253285">
      <w:marLeft w:val="0"/>
      <w:marRight w:val="0"/>
      <w:marTop w:val="100"/>
      <w:marBottom w:val="100"/>
      <w:divBdr>
        <w:top w:val="none" w:sz="0" w:space="0" w:color="auto"/>
        <w:left w:val="none" w:sz="0" w:space="0" w:color="auto"/>
        <w:bottom w:val="none" w:sz="0" w:space="0" w:color="auto"/>
        <w:right w:val="none" w:sz="0" w:space="0" w:color="auto"/>
      </w:divBdr>
    </w:div>
    <w:div w:id="348724085">
      <w:marLeft w:val="0"/>
      <w:marRight w:val="0"/>
      <w:marTop w:val="100"/>
      <w:marBottom w:val="100"/>
      <w:divBdr>
        <w:top w:val="none" w:sz="0" w:space="0" w:color="auto"/>
        <w:left w:val="none" w:sz="0" w:space="0" w:color="auto"/>
        <w:bottom w:val="none" w:sz="0" w:space="0" w:color="auto"/>
        <w:right w:val="none" w:sz="0" w:space="0" w:color="auto"/>
      </w:divBdr>
    </w:div>
    <w:div w:id="349986652">
      <w:marLeft w:val="0"/>
      <w:marRight w:val="0"/>
      <w:marTop w:val="100"/>
      <w:marBottom w:val="100"/>
      <w:divBdr>
        <w:top w:val="none" w:sz="0" w:space="0" w:color="auto"/>
        <w:left w:val="none" w:sz="0" w:space="0" w:color="auto"/>
        <w:bottom w:val="none" w:sz="0" w:space="0" w:color="auto"/>
        <w:right w:val="none" w:sz="0" w:space="0" w:color="auto"/>
      </w:divBdr>
    </w:div>
    <w:div w:id="353658127">
      <w:marLeft w:val="0"/>
      <w:marRight w:val="0"/>
      <w:marTop w:val="100"/>
      <w:marBottom w:val="100"/>
      <w:divBdr>
        <w:top w:val="none" w:sz="0" w:space="0" w:color="auto"/>
        <w:left w:val="none" w:sz="0" w:space="0" w:color="auto"/>
        <w:bottom w:val="none" w:sz="0" w:space="0" w:color="auto"/>
        <w:right w:val="none" w:sz="0" w:space="0" w:color="auto"/>
      </w:divBdr>
    </w:div>
    <w:div w:id="369453143">
      <w:marLeft w:val="0"/>
      <w:marRight w:val="0"/>
      <w:marTop w:val="180"/>
      <w:marBottom w:val="0"/>
      <w:divBdr>
        <w:top w:val="none" w:sz="0" w:space="0" w:color="auto"/>
        <w:left w:val="none" w:sz="0" w:space="0" w:color="auto"/>
        <w:bottom w:val="none" w:sz="0" w:space="0" w:color="auto"/>
        <w:right w:val="none" w:sz="0" w:space="0" w:color="auto"/>
      </w:divBdr>
    </w:div>
    <w:div w:id="370106656">
      <w:marLeft w:val="0"/>
      <w:marRight w:val="0"/>
      <w:marTop w:val="100"/>
      <w:marBottom w:val="100"/>
      <w:divBdr>
        <w:top w:val="none" w:sz="0" w:space="0" w:color="auto"/>
        <w:left w:val="none" w:sz="0" w:space="0" w:color="auto"/>
        <w:bottom w:val="none" w:sz="0" w:space="0" w:color="auto"/>
        <w:right w:val="none" w:sz="0" w:space="0" w:color="auto"/>
      </w:divBdr>
    </w:div>
    <w:div w:id="370225408">
      <w:marLeft w:val="0"/>
      <w:marRight w:val="0"/>
      <w:marTop w:val="180"/>
      <w:marBottom w:val="0"/>
      <w:divBdr>
        <w:top w:val="none" w:sz="0" w:space="0" w:color="auto"/>
        <w:left w:val="none" w:sz="0" w:space="0" w:color="auto"/>
        <w:bottom w:val="none" w:sz="0" w:space="0" w:color="auto"/>
        <w:right w:val="none" w:sz="0" w:space="0" w:color="auto"/>
      </w:divBdr>
    </w:div>
    <w:div w:id="371075748">
      <w:marLeft w:val="0"/>
      <w:marRight w:val="0"/>
      <w:marTop w:val="0"/>
      <w:marBottom w:val="0"/>
      <w:divBdr>
        <w:top w:val="none" w:sz="0" w:space="0" w:color="auto"/>
        <w:left w:val="none" w:sz="0" w:space="0" w:color="auto"/>
        <w:bottom w:val="none" w:sz="0" w:space="0" w:color="auto"/>
        <w:right w:val="none" w:sz="0" w:space="0" w:color="auto"/>
      </w:divBdr>
      <w:divsChild>
        <w:div w:id="35202191">
          <w:marLeft w:val="0"/>
          <w:marRight w:val="0"/>
          <w:marTop w:val="0"/>
          <w:marBottom w:val="0"/>
          <w:divBdr>
            <w:top w:val="none" w:sz="0" w:space="0" w:color="auto"/>
            <w:left w:val="none" w:sz="0" w:space="0" w:color="auto"/>
            <w:bottom w:val="none" w:sz="0" w:space="0" w:color="auto"/>
            <w:right w:val="none" w:sz="0" w:space="0" w:color="auto"/>
          </w:divBdr>
          <w:divsChild>
            <w:div w:id="147155110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72341518">
      <w:marLeft w:val="0"/>
      <w:marRight w:val="0"/>
      <w:marTop w:val="0"/>
      <w:marBottom w:val="0"/>
      <w:divBdr>
        <w:top w:val="none" w:sz="0" w:space="0" w:color="auto"/>
        <w:left w:val="none" w:sz="0" w:space="0" w:color="auto"/>
        <w:bottom w:val="none" w:sz="0" w:space="0" w:color="auto"/>
        <w:right w:val="none" w:sz="0" w:space="0" w:color="auto"/>
      </w:divBdr>
      <w:divsChild>
        <w:div w:id="1027565412">
          <w:marLeft w:val="0"/>
          <w:marRight w:val="0"/>
          <w:marTop w:val="0"/>
          <w:marBottom w:val="100"/>
          <w:divBdr>
            <w:top w:val="none" w:sz="0" w:space="0" w:color="auto"/>
            <w:left w:val="none" w:sz="0" w:space="0" w:color="auto"/>
            <w:bottom w:val="none" w:sz="0" w:space="0" w:color="auto"/>
            <w:right w:val="none" w:sz="0" w:space="0" w:color="auto"/>
          </w:divBdr>
        </w:div>
      </w:divsChild>
    </w:div>
    <w:div w:id="374358586">
      <w:marLeft w:val="0"/>
      <w:marRight w:val="0"/>
      <w:marTop w:val="100"/>
      <w:marBottom w:val="100"/>
      <w:divBdr>
        <w:top w:val="none" w:sz="0" w:space="0" w:color="auto"/>
        <w:left w:val="none" w:sz="0" w:space="0" w:color="auto"/>
        <w:bottom w:val="none" w:sz="0" w:space="0" w:color="auto"/>
        <w:right w:val="none" w:sz="0" w:space="0" w:color="auto"/>
      </w:divBdr>
      <w:divsChild>
        <w:div w:id="1146167637">
          <w:marLeft w:val="0"/>
          <w:marRight w:val="0"/>
          <w:marTop w:val="0"/>
          <w:marBottom w:val="0"/>
          <w:divBdr>
            <w:top w:val="none" w:sz="0" w:space="0" w:color="auto"/>
            <w:left w:val="none" w:sz="0" w:space="0" w:color="auto"/>
            <w:bottom w:val="none" w:sz="0" w:space="0" w:color="auto"/>
            <w:right w:val="none" w:sz="0" w:space="0" w:color="auto"/>
          </w:divBdr>
        </w:div>
        <w:div w:id="1102800331">
          <w:marLeft w:val="0"/>
          <w:marRight w:val="0"/>
          <w:marTop w:val="0"/>
          <w:marBottom w:val="0"/>
          <w:divBdr>
            <w:top w:val="none" w:sz="0" w:space="0" w:color="auto"/>
            <w:left w:val="none" w:sz="0" w:space="0" w:color="auto"/>
            <w:bottom w:val="none" w:sz="0" w:space="0" w:color="auto"/>
            <w:right w:val="none" w:sz="0" w:space="0" w:color="auto"/>
          </w:divBdr>
        </w:div>
        <w:div w:id="993289940">
          <w:marLeft w:val="0"/>
          <w:marRight w:val="0"/>
          <w:marTop w:val="0"/>
          <w:marBottom w:val="0"/>
          <w:divBdr>
            <w:top w:val="none" w:sz="0" w:space="0" w:color="auto"/>
            <w:left w:val="none" w:sz="0" w:space="0" w:color="auto"/>
            <w:bottom w:val="none" w:sz="0" w:space="0" w:color="auto"/>
            <w:right w:val="none" w:sz="0" w:space="0" w:color="auto"/>
          </w:divBdr>
        </w:div>
        <w:div w:id="14581439">
          <w:marLeft w:val="0"/>
          <w:marRight w:val="0"/>
          <w:marTop w:val="0"/>
          <w:marBottom w:val="0"/>
          <w:divBdr>
            <w:top w:val="none" w:sz="0" w:space="0" w:color="auto"/>
            <w:left w:val="none" w:sz="0" w:space="0" w:color="auto"/>
            <w:bottom w:val="none" w:sz="0" w:space="0" w:color="auto"/>
            <w:right w:val="none" w:sz="0" w:space="0" w:color="auto"/>
          </w:divBdr>
        </w:div>
        <w:div w:id="329451702">
          <w:marLeft w:val="0"/>
          <w:marRight w:val="0"/>
          <w:marTop w:val="0"/>
          <w:marBottom w:val="0"/>
          <w:divBdr>
            <w:top w:val="none" w:sz="0" w:space="0" w:color="auto"/>
            <w:left w:val="none" w:sz="0" w:space="0" w:color="auto"/>
            <w:bottom w:val="none" w:sz="0" w:space="0" w:color="auto"/>
            <w:right w:val="none" w:sz="0" w:space="0" w:color="auto"/>
          </w:divBdr>
        </w:div>
        <w:div w:id="903489483">
          <w:marLeft w:val="0"/>
          <w:marRight w:val="0"/>
          <w:marTop w:val="0"/>
          <w:marBottom w:val="0"/>
          <w:divBdr>
            <w:top w:val="none" w:sz="0" w:space="0" w:color="auto"/>
            <w:left w:val="none" w:sz="0" w:space="0" w:color="auto"/>
            <w:bottom w:val="none" w:sz="0" w:space="0" w:color="auto"/>
            <w:right w:val="none" w:sz="0" w:space="0" w:color="auto"/>
          </w:divBdr>
        </w:div>
      </w:divsChild>
    </w:div>
    <w:div w:id="378093161">
      <w:marLeft w:val="0"/>
      <w:marRight w:val="0"/>
      <w:marTop w:val="180"/>
      <w:marBottom w:val="100"/>
      <w:divBdr>
        <w:top w:val="none" w:sz="0" w:space="0" w:color="auto"/>
        <w:left w:val="none" w:sz="0" w:space="0" w:color="auto"/>
        <w:bottom w:val="none" w:sz="0" w:space="0" w:color="auto"/>
        <w:right w:val="none" w:sz="0" w:space="0" w:color="auto"/>
      </w:divBdr>
    </w:div>
    <w:div w:id="378433505">
      <w:marLeft w:val="0"/>
      <w:marRight w:val="0"/>
      <w:marTop w:val="100"/>
      <w:marBottom w:val="100"/>
      <w:divBdr>
        <w:top w:val="none" w:sz="0" w:space="0" w:color="auto"/>
        <w:left w:val="none" w:sz="0" w:space="0" w:color="auto"/>
        <w:bottom w:val="none" w:sz="0" w:space="0" w:color="auto"/>
        <w:right w:val="none" w:sz="0" w:space="0" w:color="auto"/>
      </w:divBdr>
    </w:div>
    <w:div w:id="381563397">
      <w:marLeft w:val="0"/>
      <w:marRight w:val="0"/>
      <w:marTop w:val="180"/>
      <w:marBottom w:val="0"/>
      <w:divBdr>
        <w:top w:val="none" w:sz="0" w:space="0" w:color="auto"/>
        <w:left w:val="none" w:sz="0" w:space="0" w:color="auto"/>
        <w:bottom w:val="none" w:sz="0" w:space="0" w:color="auto"/>
        <w:right w:val="none" w:sz="0" w:space="0" w:color="auto"/>
      </w:divBdr>
    </w:div>
    <w:div w:id="388967381">
      <w:marLeft w:val="0"/>
      <w:marRight w:val="0"/>
      <w:marTop w:val="180"/>
      <w:marBottom w:val="0"/>
      <w:divBdr>
        <w:top w:val="none" w:sz="0" w:space="0" w:color="auto"/>
        <w:left w:val="none" w:sz="0" w:space="0" w:color="auto"/>
        <w:bottom w:val="none" w:sz="0" w:space="0" w:color="auto"/>
        <w:right w:val="none" w:sz="0" w:space="0" w:color="auto"/>
      </w:divBdr>
    </w:div>
    <w:div w:id="402069915">
      <w:marLeft w:val="0"/>
      <w:marRight w:val="0"/>
      <w:marTop w:val="0"/>
      <w:marBottom w:val="0"/>
      <w:divBdr>
        <w:top w:val="none" w:sz="0" w:space="0" w:color="auto"/>
        <w:left w:val="none" w:sz="0" w:space="0" w:color="auto"/>
        <w:bottom w:val="none" w:sz="0" w:space="0" w:color="auto"/>
        <w:right w:val="none" w:sz="0" w:space="0" w:color="auto"/>
      </w:divBdr>
    </w:div>
    <w:div w:id="415329003">
      <w:marLeft w:val="0"/>
      <w:marRight w:val="0"/>
      <w:marTop w:val="0"/>
      <w:marBottom w:val="0"/>
      <w:divBdr>
        <w:top w:val="none" w:sz="0" w:space="0" w:color="auto"/>
        <w:left w:val="none" w:sz="0" w:space="0" w:color="auto"/>
        <w:bottom w:val="none" w:sz="0" w:space="0" w:color="auto"/>
        <w:right w:val="none" w:sz="0" w:space="0" w:color="auto"/>
      </w:divBdr>
    </w:div>
    <w:div w:id="417603521">
      <w:marLeft w:val="0"/>
      <w:marRight w:val="0"/>
      <w:marTop w:val="0"/>
      <w:marBottom w:val="0"/>
      <w:divBdr>
        <w:top w:val="none" w:sz="0" w:space="0" w:color="auto"/>
        <w:left w:val="none" w:sz="0" w:space="0" w:color="auto"/>
        <w:bottom w:val="none" w:sz="0" w:space="0" w:color="auto"/>
        <w:right w:val="none" w:sz="0" w:space="0" w:color="auto"/>
      </w:divBdr>
    </w:div>
    <w:div w:id="426652682">
      <w:marLeft w:val="0"/>
      <w:marRight w:val="0"/>
      <w:marTop w:val="100"/>
      <w:marBottom w:val="100"/>
      <w:divBdr>
        <w:top w:val="none" w:sz="0" w:space="0" w:color="auto"/>
        <w:left w:val="none" w:sz="0" w:space="0" w:color="auto"/>
        <w:bottom w:val="none" w:sz="0" w:space="0" w:color="auto"/>
        <w:right w:val="none" w:sz="0" w:space="0" w:color="auto"/>
      </w:divBdr>
    </w:div>
    <w:div w:id="427701634">
      <w:marLeft w:val="0"/>
      <w:marRight w:val="0"/>
      <w:marTop w:val="0"/>
      <w:marBottom w:val="0"/>
      <w:divBdr>
        <w:top w:val="none" w:sz="0" w:space="0" w:color="auto"/>
        <w:left w:val="none" w:sz="0" w:space="0" w:color="auto"/>
        <w:bottom w:val="none" w:sz="0" w:space="0" w:color="auto"/>
        <w:right w:val="none" w:sz="0" w:space="0" w:color="auto"/>
      </w:divBdr>
      <w:divsChild>
        <w:div w:id="1484852372">
          <w:marLeft w:val="0"/>
          <w:marRight w:val="0"/>
          <w:marTop w:val="0"/>
          <w:marBottom w:val="0"/>
          <w:divBdr>
            <w:top w:val="none" w:sz="0" w:space="0" w:color="auto"/>
            <w:left w:val="none" w:sz="0" w:space="0" w:color="auto"/>
            <w:bottom w:val="none" w:sz="0" w:space="0" w:color="auto"/>
            <w:right w:val="none" w:sz="0" w:space="0" w:color="auto"/>
          </w:divBdr>
          <w:divsChild>
            <w:div w:id="162380486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34986106">
      <w:marLeft w:val="0"/>
      <w:marRight w:val="0"/>
      <w:marTop w:val="0"/>
      <w:marBottom w:val="100"/>
      <w:divBdr>
        <w:top w:val="none" w:sz="0" w:space="0" w:color="auto"/>
        <w:left w:val="none" w:sz="0" w:space="0" w:color="auto"/>
        <w:bottom w:val="none" w:sz="0" w:space="0" w:color="auto"/>
        <w:right w:val="none" w:sz="0" w:space="0" w:color="auto"/>
      </w:divBdr>
    </w:div>
    <w:div w:id="437409753">
      <w:marLeft w:val="0"/>
      <w:marRight w:val="0"/>
      <w:marTop w:val="0"/>
      <w:marBottom w:val="0"/>
      <w:divBdr>
        <w:top w:val="none" w:sz="0" w:space="0" w:color="auto"/>
        <w:left w:val="none" w:sz="0" w:space="0" w:color="auto"/>
        <w:bottom w:val="none" w:sz="0" w:space="0" w:color="auto"/>
        <w:right w:val="none" w:sz="0" w:space="0" w:color="auto"/>
      </w:divBdr>
    </w:div>
    <w:div w:id="443768970">
      <w:marLeft w:val="0"/>
      <w:marRight w:val="0"/>
      <w:marTop w:val="180"/>
      <w:marBottom w:val="0"/>
      <w:divBdr>
        <w:top w:val="none" w:sz="0" w:space="0" w:color="auto"/>
        <w:left w:val="none" w:sz="0" w:space="0" w:color="auto"/>
        <w:bottom w:val="none" w:sz="0" w:space="0" w:color="auto"/>
        <w:right w:val="none" w:sz="0" w:space="0" w:color="auto"/>
      </w:divBdr>
    </w:div>
    <w:div w:id="443892062">
      <w:marLeft w:val="0"/>
      <w:marRight w:val="0"/>
      <w:marTop w:val="0"/>
      <w:marBottom w:val="0"/>
      <w:divBdr>
        <w:top w:val="none" w:sz="0" w:space="0" w:color="auto"/>
        <w:left w:val="none" w:sz="0" w:space="0" w:color="auto"/>
        <w:bottom w:val="none" w:sz="0" w:space="0" w:color="auto"/>
        <w:right w:val="none" w:sz="0" w:space="0" w:color="auto"/>
      </w:divBdr>
      <w:divsChild>
        <w:div w:id="242376034">
          <w:marLeft w:val="0"/>
          <w:marRight w:val="0"/>
          <w:marTop w:val="0"/>
          <w:marBottom w:val="0"/>
          <w:divBdr>
            <w:top w:val="none" w:sz="0" w:space="0" w:color="auto"/>
            <w:left w:val="none" w:sz="0" w:space="0" w:color="auto"/>
            <w:bottom w:val="none" w:sz="0" w:space="0" w:color="auto"/>
            <w:right w:val="none" w:sz="0" w:space="0" w:color="auto"/>
          </w:divBdr>
          <w:divsChild>
            <w:div w:id="8173037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1482168">
      <w:marLeft w:val="0"/>
      <w:marRight w:val="0"/>
      <w:marTop w:val="0"/>
      <w:marBottom w:val="0"/>
      <w:divBdr>
        <w:top w:val="none" w:sz="0" w:space="0" w:color="auto"/>
        <w:left w:val="none" w:sz="0" w:space="0" w:color="auto"/>
        <w:bottom w:val="none" w:sz="0" w:space="0" w:color="auto"/>
        <w:right w:val="none" w:sz="0" w:space="0" w:color="auto"/>
      </w:divBdr>
      <w:divsChild>
        <w:div w:id="1845513619">
          <w:marLeft w:val="0"/>
          <w:marRight w:val="0"/>
          <w:marTop w:val="0"/>
          <w:marBottom w:val="100"/>
          <w:divBdr>
            <w:top w:val="none" w:sz="0" w:space="0" w:color="auto"/>
            <w:left w:val="none" w:sz="0" w:space="0" w:color="auto"/>
            <w:bottom w:val="none" w:sz="0" w:space="0" w:color="auto"/>
            <w:right w:val="none" w:sz="0" w:space="0" w:color="auto"/>
          </w:divBdr>
        </w:div>
      </w:divsChild>
    </w:div>
    <w:div w:id="453788399">
      <w:marLeft w:val="0"/>
      <w:marRight w:val="0"/>
      <w:marTop w:val="0"/>
      <w:marBottom w:val="0"/>
      <w:divBdr>
        <w:top w:val="none" w:sz="0" w:space="0" w:color="auto"/>
        <w:left w:val="none" w:sz="0" w:space="0" w:color="auto"/>
        <w:bottom w:val="none" w:sz="0" w:space="0" w:color="auto"/>
        <w:right w:val="none" w:sz="0" w:space="0" w:color="auto"/>
      </w:divBdr>
    </w:div>
    <w:div w:id="463696744">
      <w:marLeft w:val="0"/>
      <w:marRight w:val="0"/>
      <w:marTop w:val="100"/>
      <w:marBottom w:val="100"/>
      <w:divBdr>
        <w:top w:val="none" w:sz="0" w:space="0" w:color="auto"/>
        <w:left w:val="none" w:sz="0" w:space="0" w:color="auto"/>
        <w:bottom w:val="none" w:sz="0" w:space="0" w:color="auto"/>
        <w:right w:val="none" w:sz="0" w:space="0" w:color="auto"/>
      </w:divBdr>
    </w:div>
    <w:div w:id="470177959">
      <w:marLeft w:val="0"/>
      <w:marRight w:val="0"/>
      <w:marTop w:val="0"/>
      <w:marBottom w:val="100"/>
      <w:divBdr>
        <w:top w:val="none" w:sz="0" w:space="0" w:color="auto"/>
        <w:left w:val="none" w:sz="0" w:space="0" w:color="auto"/>
        <w:bottom w:val="none" w:sz="0" w:space="0" w:color="auto"/>
        <w:right w:val="none" w:sz="0" w:space="0" w:color="auto"/>
      </w:divBdr>
    </w:div>
    <w:div w:id="472529723">
      <w:marLeft w:val="0"/>
      <w:marRight w:val="0"/>
      <w:marTop w:val="0"/>
      <w:marBottom w:val="100"/>
      <w:divBdr>
        <w:top w:val="none" w:sz="0" w:space="0" w:color="auto"/>
        <w:left w:val="none" w:sz="0" w:space="0" w:color="auto"/>
        <w:bottom w:val="none" w:sz="0" w:space="0" w:color="auto"/>
        <w:right w:val="none" w:sz="0" w:space="0" w:color="auto"/>
      </w:divBdr>
    </w:div>
    <w:div w:id="472795303">
      <w:marLeft w:val="0"/>
      <w:marRight w:val="0"/>
      <w:marTop w:val="80"/>
      <w:marBottom w:val="100"/>
      <w:divBdr>
        <w:top w:val="none" w:sz="0" w:space="0" w:color="auto"/>
        <w:left w:val="none" w:sz="0" w:space="0" w:color="auto"/>
        <w:bottom w:val="none" w:sz="0" w:space="0" w:color="auto"/>
        <w:right w:val="none" w:sz="0" w:space="0" w:color="auto"/>
      </w:divBdr>
    </w:div>
    <w:div w:id="472865988">
      <w:marLeft w:val="0"/>
      <w:marRight w:val="0"/>
      <w:marTop w:val="180"/>
      <w:marBottom w:val="0"/>
      <w:divBdr>
        <w:top w:val="none" w:sz="0" w:space="0" w:color="auto"/>
        <w:left w:val="none" w:sz="0" w:space="0" w:color="auto"/>
        <w:bottom w:val="none" w:sz="0" w:space="0" w:color="auto"/>
        <w:right w:val="none" w:sz="0" w:space="0" w:color="auto"/>
      </w:divBdr>
    </w:div>
    <w:div w:id="476187519">
      <w:marLeft w:val="0"/>
      <w:marRight w:val="0"/>
      <w:marTop w:val="0"/>
      <w:marBottom w:val="0"/>
      <w:divBdr>
        <w:top w:val="none" w:sz="0" w:space="0" w:color="auto"/>
        <w:left w:val="none" w:sz="0" w:space="0" w:color="auto"/>
        <w:bottom w:val="none" w:sz="0" w:space="0" w:color="auto"/>
        <w:right w:val="none" w:sz="0" w:space="0" w:color="auto"/>
      </w:divBdr>
    </w:div>
    <w:div w:id="477458103">
      <w:marLeft w:val="0"/>
      <w:marRight w:val="0"/>
      <w:marTop w:val="0"/>
      <w:marBottom w:val="100"/>
      <w:divBdr>
        <w:top w:val="none" w:sz="0" w:space="0" w:color="auto"/>
        <w:left w:val="none" w:sz="0" w:space="0" w:color="auto"/>
        <w:bottom w:val="none" w:sz="0" w:space="0" w:color="auto"/>
        <w:right w:val="none" w:sz="0" w:space="0" w:color="auto"/>
      </w:divBdr>
    </w:div>
    <w:div w:id="482700422">
      <w:marLeft w:val="0"/>
      <w:marRight w:val="0"/>
      <w:marTop w:val="80"/>
      <w:marBottom w:val="100"/>
      <w:divBdr>
        <w:top w:val="none" w:sz="0" w:space="0" w:color="auto"/>
        <w:left w:val="none" w:sz="0" w:space="0" w:color="auto"/>
        <w:bottom w:val="none" w:sz="0" w:space="0" w:color="auto"/>
        <w:right w:val="none" w:sz="0" w:space="0" w:color="auto"/>
      </w:divBdr>
    </w:div>
    <w:div w:id="486016507">
      <w:marLeft w:val="0"/>
      <w:marRight w:val="0"/>
      <w:marTop w:val="0"/>
      <w:marBottom w:val="0"/>
      <w:divBdr>
        <w:top w:val="none" w:sz="0" w:space="0" w:color="auto"/>
        <w:left w:val="none" w:sz="0" w:space="0" w:color="auto"/>
        <w:bottom w:val="none" w:sz="0" w:space="0" w:color="auto"/>
        <w:right w:val="none" w:sz="0" w:space="0" w:color="auto"/>
      </w:divBdr>
    </w:div>
    <w:div w:id="504514923">
      <w:marLeft w:val="0"/>
      <w:marRight w:val="0"/>
      <w:marTop w:val="100"/>
      <w:marBottom w:val="0"/>
      <w:divBdr>
        <w:top w:val="none" w:sz="0" w:space="0" w:color="auto"/>
        <w:left w:val="none" w:sz="0" w:space="0" w:color="auto"/>
        <w:bottom w:val="none" w:sz="0" w:space="0" w:color="auto"/>
        <w:right w:val="none" w:sz="0" w:space="0" w:color="auto"/>
      </w:divBdr>
      <w:divsChild>
        <w:div w:id="780608277">
          <w:marLeft w:val="0"/>
          <w:marRight w:val="0"/>
          <w:marTop w:val="0"/>
          <w:marBottom w:val="0"/>
          <w:divBdr>
            <w:top w:val="none" w:sz="0" w:space="0" w:color="auto"/>
            <w:left w:val="none" w:sz="0" w:space="0" w:color="auto"/>
            <w:bottom w:val="none" w:sz="0" w:space="0" w:color="auto"/>
            <w:right w:val="none" w:sz="0" w:space="0" w:color="auto"/>
          </w:divBdr>
        </w:div>
        <w:div w:id="1608929800">
          <w:marLeft w:val="0"/>
          <w:marRight w:val="0"/>
          <w:marTop w:val="0"/>
          <w:marBottom w:val="0"/>
          <w:divBdr>
            <w:top w:val="none" w:sz="0" w:space="0" w:color="auto"/>
            <w:left w:val="none" w:sz="0" w:space="0" w:color="auto"/>
            <w:bottom w:val="none" w:sz="0" w:space="0" w:color="auto"/>
            <w:right w:val="none" w:sz="0" w:space="0" w:color="auto"/>
          </w:divBdr>
        </w:div>
        <w:div w:id="565189040">
          <w:marLeft w:val="0"/>
          <w:marRight w:val="0"/>
          <w:marTop w:val="0"/>
          <w:marBottom w:val="0"/>
          <w:divBdr>
            <w:top w:val="none" w:sz="0" w:space="0" w:color="auto"/>
            <w:left w:val="none" w:sz="0" w:space="0" w:color="auto"/>
            <w:bottom w:val="none" w:sz="0" w:space="0" w:color="auto"/>
            <w:right w:val="none" w:sz="0" w:space="0" w:color="auto"/>
          </w:divBdr>
        </w:div>
        <w:div w:id="198976925">
          <w:marLeft w:val="0"/>
          <w:marRight w:val="0"/>
          <w:marTop w:val="0"/>
          <w:marBottom w:val="0"/>
          <w:divBdr>
            <w:top w:val="none" w:sz="0" w:space="0" w:color="auto"/>
            <w:left w:val="none" w:sz="0" w:space="0" w:color="auto"/>
            <w:bottom w:val="none" w:sz="0" w:space="0" w:color="auto"/>
            <w:right w:val="none" w:sz="0" w:space="0" w:color="auto"/>
          </w:divBdr>
        </w:div>
        <w:div w:id="388577208">
          <w:marLeft w:val="0"/>
          <w:marRight w:val="0"/>
          <w:marTop w:val="0"/>
          <w:marBottom w:val="0"/>
          <w:divBdr>
            <w:top w:val="none" w:sz="0" w:space="0" w:color="auto"/>
            <w:left w:val="none" w:sz="0" w:space="0" w:color="auto"/>
            <w:bottom w:val="none" w:sz="0" w:space="0" w:color="auto"/>
            <w:right w:val="none" w:sz="0" w:space="0" w:color="auto"/>
          </w:divBdr>
        </w:div>
      </w:divsChild>
    </w:div>
    <w:div w:id="509101989">
      <w:marLeft w:val="0"/>
      <w:marRight w:val="0"/>
      <w:marTop w:val="180"/>
      <w:marBottom w:val="100"/>
      <w:divBdr>
        <w:top w:val="none" w:sz="0" w:space="0" w:color="auto"/>
        <w:left w:val="none" w:sz="0" w:space="0" w:color="auto"/>
        <w:bottom w:val="none" w:sz="0" w:space="0" w:color="auto"/>
        <w:right w:val="none" w:sz="0" w:space="0" w:color="auto"/>
      </w:divBdr>
    </w:div>
    <w:div w:id="510416422">
      <w:marLeft w:val="0"/>
      <w:marRight w:val="0"/>
      <w:marTop w:val="0"/>
      <w:marBottom w:val="0"/>
      <w:divBdr>
        <w:top w:val="none" w:sz="0" w:space="0" w:color="auto"/>
        <w:left w:val="none" w:sz="0" w:space="0" w:color="auto"/>
        <w:bottom w:val="none" w:sz="0" w:space="0" w:color="auto"/>
        <w:right w:val="none" w:sz="0" w:space="0" w:color="auto"/>
      </w:divBdr>
    </w:div>
    <w:div w:id="520819110">
      <w:marLeft w:val="0"/>
      <w:marRight w:val="0"/>
      <w:marTop w:val="0"/>
      <w:marBottom w:val="0"/>
      <w:divBdr>
        <w:top w:val="none" w:sz="0" w:space="0" w:color="auto"/>
        <w:left w:val="none" w:sz="0" w:space="0" w:color="auto"/>
        <w:bottom w:val="none" w:sz="0" w:space="0" w:color="auto"/>
        <w:right w:val="none" w:sz="0" w:space="0" w:color="auto"/>
      </w:divBdr>
    </w:div>
    <w:div w:id="523326456">
      <w:marLeft w:val="0"/>
      <w:marRight w:val="0"/>
      <w:marTop w:val="0"/>
      <w:marBottom w:val="100"/>
      <w:divBdr>
        <w:top w:val="none" w:sz="0" w:space="0" w:color="auto"/>
        <w:left w:val="none" w:sz="0" w:space="0" w:color="auto"/>
        <w:bottom w:val="none" w:sz="0" w:space="0" w:color="auto"/>
        <w:right w:val="none" w:sz="0" w:space="0" w:color="auto"/>
      </w:divBdr>
    </w:div>
    <w:div w:id="524296890">
      <w:marLeft w:val="0"/>
      <w:marRight w:val="0"/>
      <w:marTop w:val="0"/>
      <w:marBottom w:val="0"/>
      <w:divBdr>
        <w:top w:val="none" w:sz="0" w:space="0" w:color="auto"/>
        <w:left w:val="none" w:sz="0" w:space="0" w:color="auto"/>
        <w:bottom w:val="none" w:sz="0" w:space="0" w:color="auto"/>
        <w:right w:val="none" w:sz="0" w:space="0" w:color="auto"/>
      </w:divBdr>
      <w:divsChild>
        <w:div w:id="2089887817">
          <w:marLeft w:val="0"/>
          <w:marRight w:val="0"/>
          <w:marTop w:val="0"/>
          <w:marBottom w:val="100"/>
          <w:divBdr>
            <w:top w:val="none" w:sz="0" w:space="0" w:color="auto"/>
            <w:left w:val="none" w:sz="0" w:space="0" w:color="auto"/>
            <w:bottom w:val="none" w:sz="0" w:space="0" w:color="auto"/>
            <w:right w:val="none" w:sz="0" w:space="0" w:color="auto"/>
          </w:divBdr>
        </w:div>
      </w:divsChild>
    </w:div>
    <w:div w:id="529346119">
      <w:marLeft w:val="0"/>
      <w:marRight w:val="0"/>
      <w:marTop w:val="0"/>
      <w:marBottom w:val="0"/>
      <w:divBdr>
        <w:top w:val="none" w:sz="0" w:space="0" w:color="auto"/>
        <w:left w:val="none" w:sz="0" w:space="0" w:color="auto"/>
        <w:bottom w:val="none" w:sz="0" w:space="0" w:color="auto"/>
        <w:right w:val="none" w:sz="0" w:space="0" w:color="auto"/>
      </w:divBdr>
      <w:divsChild>
        <w:div w:id="1915890835">
          <w:marLeft w:val="0"/>
          <w:marRight w:val="0"/>
          <w:marTop w:val="0"/>
          <w:marBottom w:val="0"/>
          <w:divBdr>
            <w:top w:val="none" w:sz="0" w:space="0" w:color="auto"/>
            <w:left w:val="none" w:sz="0" w:space="0" w:color="auto"/>
            <w:bottom w:val="none" w:sz="0" w:space="0" w:color="auto"/>
            <w:right w:val="none" w:sz="0" w:space="0" w:color="auto"/>
          </w:divBdr>
          <w:divsChild>
            <w:div w:id="20030057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34582825">
      <w:marLeft w:val="0"/>
      <w:marRight w:val="0"/>
      <w:marTop w:val="100"/>
      <w:marBottom w:val="100"/>
      <w:divBdr>
        <w:top w:val="none" w:sz="0" w:space="0" w:color="auto"/>
        <w:left w:val="none" w:sz="0" w:space="0" w:color="auto"/>
        <w:bottom w:val="none" w:sz="0" w:space="0" w:color="auto"/>
        <w:right w:val="none" w:sz="0" w:space="0" w:color="auto"/>
      </w:divBdr>
    </w:div>
    <w:div w:id="537813203">
      <w:marLeft w:val="0"/>
      <w:marRight w:val="0"/>
      <w:marTop w:val="180"/>
      <w:marBottom w:val="100"/>
      <w:divBdr>
        <w:top w:val="none" w:sz="0" w:space="0" w:color="auto"/>
        <w:left w:val="none" w:sz="0" w:space="0" w:color="auto"/>
        <w:bottom w:val="none" w:sz="0" w:space="0" w:color="auto"/>
        <w:right w:val="none" w:sz="0" w:space="0" w:color="auto"/>
      </w:divBdr>
    </w:div>
    <w:div w:id="538132066">
      <w:marLeft w:val="0"/>
      <w:marRight w:val="0"/>
      <w:marTop w:val="100"/>
      <w:marBottom w:val="0"/>
      <w:divBdr>
        <w:top w:val="none" w:sz="0" w:space="0" w:color="auto"/>
        <w:left w:val="none" w:sz="0" w:space="0" w:color="auto"/>
        <w:bottom w:val="none" w:sz="0" w:space="0" w:color="auto"/>
        <w:right w:val="none" w:sz="0" w:space="0" w:color="auto"/>
      </w:divBdr>
    </w:div>
    <w:div w:id="539363643">
      <w:marLeft w:val="0"/>
      <w:marRight w:val="0"/>
      <w:marTop w:val="180"/>
      <w:marBottom w:val="0"/>
      <w:divBdr>
        <w:top w:val="none" w:sz="0" w:space="0" w:color="auto"/>
        <w:left w:val="none" w:sz="0" w:space="0" w:color="auto"/>
        <w:bottom w:val="none" w:sz="0" w:space="0" w:color="auto"/>
        <w:right w:val="none" w:sz="0" w:space="0" w:color="auto"/>
      </w:divBdr>
    </w:div>
    <w:div w:id="543565361">
      <w:marLeft w:val="0"/>
      <w:marRight w:val="0"/>
      <w:marTop w:val="0"/>
      <w:marBottom w:val="100"/>
      <w:divBdr>
        <w:top w:val="none" w:sz="0" w:space="0" w:color="auto"/>
        <w:left w:val="none" w:sz="0" w:space="0" w:color="auto"/>
        <w:bottom w:val="none" w:sz="0" w:space="0" w:color="auto"/>
        <w:right w:val="none" w:sz="0" w:space="0" w:color="auto"/>
      </w:divBdr>
    </w:div>
    <w:div w:id="544873307">
      <w:marLeft w:val="0"/>
      <w:marRight w:val="0"/>
      <w:marTop w:val="0"/>
      <w:marBottom w:val="0"/>
      <w:divBdr>
        <w:top w:val="none" w:sz="0" w:space="0" w:color="auto"/>
        <w:left w:val="none" w:sz="0" w:space="0" w:color="auto"/>
        <w:bottom w:val="none" w:sz="0" w:space="0" w:color="auto"/>
        <w:right w:val="none" w:sz="0" w:space="0" w:color="auto"/>
      </w:divBdr>
    </w:div>
    <w:div w:id="545411137">
      <w:marLeft w:val="0"/>
      <w:marRight w:val="0"/>
      <w:marTop w:val="0"/>
      <w:marBottom w:val="0"/>
      <w:divBdr>
        <w:top w:val="none" w:sz="0" w:space="0" w:color="auto"/>
        <w:left w:val="none" w:sz="0" w:space="0" w:color="auto"/>
        <w:bottom w:val="none" w:sz="0" w:space="0" w:color="auto"/>
        <w:right w:val="none" w:sz="0" w:space="0" w:color="auto"/>
      </w:divBdr>
    </w:div>
    <w:div w:id="559290011">
      <w:marLeft w:val="0"/>
      <w:marRight w:val="0"/>
      <w:marTop w:val="0"/>
      <w:marBottom w:val="100"/>
      <w:divBdr>
        <w:top w:val="none" w:sz="0" w:space="0" w:color="auto"/>
        <w:left w:val="none" w:sz="0" w:space="0" w:color="auto"/>
        <w:bottom w:val="none" w:sz="0" w:space="0" w:color="auto"/>
        <w:right w:val="none" w:sz="0" w:space="0" w:color="auto"/>
      </w:divBdr>
    </w:div>
    <w:div w:id="561255580">
      <w:marLeft w:val="0"/>
      <w:marRight w:val="0"/>
      <w:marTop w:val="0"/>
      <w:marBottom w:val="100"/>
      <w:divBdr>
        <w:top w:val="none" w:sz="0" w:space="0" w:color="auto"/>
        <w:left w:val="none" w:sz="0" w:space="0" w:color="auto"/>
        <w:bottom w:val="none" w:sz="0" w:space="0" w:color="auto"/>
        <w:right w:val="none" w:sz="0" w:space="0" w:color="auto"/>
      </w:divBdr>
    </w:div>
    <w:div w:id="569080003">
      <w:marLeft w:val="0"/>
      <w:marRight w:val="0"/>
      <w:marTop w:val="0"/>
      <w:marBottom w:val="100"/>
      <w:divBdr>
        <w:top w:val="none" w:sz="0" w:space="0" w:color="auto"/>
        <w:left w:val="none" w:sz="0" w:space="0" w:color="auto"/>
        <w:bottom w:val="none" w:sz="0" w:space="0" w:color="auto"/>
        <w:right w:val="none" w:sz="0" w:space="0" w:color="auto"/>
      </w:divBdr>
    </w:div>
    <w:div w:id="572392976">
      <w:marLeft w:val="0"/>
      <w:marRight w:val="0"/>
      <w:marTop w:val="100"/>
      <w:marBottom w:val="0"/>
      <w:divBdr>
        <w:top w:val="none" w:sz="0" w:space="0" w:color="auto"/>
        <w:left w:val="none" w:sz="0" w:space="0" w:color="auto"/>
        <w:bottom w:val="none" w:sz="0" w:space="0" w:color="auto"/>
        <w:right w:val="none" w:sz="0" w:space="0" w:color="auto"/>
      </w:divBdr>
    </w:div>
    <w:div w:id="574895546">
      <w:marLeft w:val="0"/>
      <w:marRight w:val="0"/>
      <w:marTop w:val="0"/>
      <w:marBottom w:val="0"/>
      <w:divBdr>
        <w:top w:val="none" w:sz="0" w:space="0" w:color="auto"/>
        <w:left w:val="none" w:sz="0" w:space="0" w:color="auto"/>
        <w:bottom w:val="none" w:sz="0" w:space="0" w:color="auto"/>
        <w:right w:val="none" w:sz="0" w:space="0" w:color="auto"/>
      </w:divBdr>
      <w:divsChild>
        <w:div w:id="2038701462">
          <w:marLeft w:val="0"/>
          <w:marRight w:val="0"/>
          <w:marTop w:val="0"/>
          <w:marBottom w:val="100"/>
          <w:divBdr>
            <w:top w:val="none" w:sz="0" w:space="0" w:color="auto"/>
            <w:left w:val="none" w:sz="0" w:space="0" w:color="auto"/>
            <w:bottom w:val="none" w:sz="0" w:space="0" w:color="auto"/>
            <w:right w:val="none" w:sz="0" w:space="0" w:color="auto"/>
          </w:divBdr>
        </w:div>
      </w:divsChild>
    </w:div>
    <w:div w:id="587466219">
      <w:marLeft w:val="0"/>
      <w:marRight w:val="0"/>
      <w:marTop w:val="100"/>
      <w:marBottom w:val="100"/>
      <w:divBdr>
        <w:top w:val="none" w:sz="0" w:space="0" w:color="auto"/>
        <w:left w:val="none" w:sz="0" w:space="0" w:color="auto"/>
        <w:bottom w:val="none" w:sz="0" w:space="0" w:color="auto"/>
        <w:right w:val="none" w:sz="0" w:space="0" w:color="auto"/>
      </w:divBdr>
    </w:div>
    <w:div w:id="594485423">
      <w:marLeft w:val="0"/>
      <w:marRight w:val="0"/>
      <w:marTop w:val="0"/>
      <w:marBottom w:val="100"/>
      <w:divBdr>
        <w:top w:val="none" w:sz="0" w:space="0" w:color="auto"/>
        <w:left w:val="none" w:sz="0" w:space="0" w:color="auto"/>
        <w:bottom w:val="none" w:sz="0" w:space="0" w:color="auto"/>
        <w:right w:val="none" w:sz="0" w:space="0" w:color="auto"/>
      </w:divBdr>
    </w:div>
    <w:div w:id="598295525">
      <w:marLeft w:val="0"/>
      <w:marRight w:val="0"/>
      <w:marTop w:val="100"/>
      <w:marBottom w:val="100"/>
      <w:divBdr>
        <w:top w:val="none" w:sz="0" w:space="0" w:color="auto"/>
        <w:left w:val="none" w:sz="0" w:space="0" w:color="auto"/>
        <w:bottom w:val="none" w:sz="0" w:space="0" w:color="auto"/>
        <w:right w:val="none" w:sz="0" w:space="0" w:color="auto"/>
      </w:divBdr>
    </w:div>
    <w:div w:id="602766190">
      <w:marLeft w:val="0"/>
      <w:marRight w:val="0"/>
      <w:marTop w:val="0"/>
      <w:marBottom w:val="100"/>
      <w:divBdr>
        <w:top w:val="none" w:sz="0" w:space="0" w:color="auto"/>
        <w:left w:val="none" w:sz="0" w:space="0" w:color="auto"/>
        <w:bottom w:val="none" w:sz="0" w:space="0" w:color="auto"/>
        <w:right w:val="none" w:sz="0" w:space="0" w:color="auto"/>
      </w:divBdr>
    </w:div>
    <w:div w:id="608976730">
      <w:marLeft w:val="0"/>
      <w:marRight w:val="0"/>
      <w:marTop w:val="180"/>
      <w:marBottom w:val="0"/>
      <w:divBdr>
        <w:top w:val="none" w:sz="0" w:space="0" w:color="auto"/>
        <w:left w:val="none" w:sz="0" w:space="0" w:color="auto"/>
        <w:bottom w:val="none" w:sz="0" w:space="0" w:color="auto"/>
        <w:right w:val="none" w:sz="0" w:space="0" w:color="auto"/>
      </w:divBdr>
    </w:div>
    <w:div w:id="617755253">
      <w:marLeft w:val="0"/>
      <w:marRight w:val="0"/>
      <w:marTop w:val="180"/>
      <w:marBottom w:val="0"/>
      <w:divBdr>
        <w:top w:val="none" w:sz="0" w:space="0" w:color="auto"/>
        <w:left w:val="none" w:sz="0" w:space="0" w:color="auto"/>
        <w:bottom w:val="none" w:sz="0" w:space="0" w:color="auto"/>
        <w:right w:val="none" w:sz="0" w:space="0" w:color="auto"/>
      </w:divBdr>
    </w:div>
    <w:div w:id="619527854">
      <w:marLeft w:val="0"/>
      <w:marRight w:val="0"/>
      <w:marTop w:val="180"/>
      <w:marBottom w:val="0"/>
      <w:divBdr>
        <w:top w:val="none" w:sz="0" w:space="0" w:color="auto"/>
        <w:left w:val="none" w:sz="0" w:space="0" w:color="auto"/>
        <w:bottom w:val="none" w:sz="0" w:space="0" w:color="auto"/>
        <w:right w:val="none" w:sz="0" w:space="0" w:color="auto"/>
      </w:divBdr>
    </w:div>
    <w:div w:id="619922762">
      <w:marLeft w:val="0"/>
      <w:marRight w:val="0"/>
      <w:marTop w:val="0"/>
      <w:marBottom w:val="100"/>
      <w:divBdr>
        <w:top w:val="none" w:sz="0" w:space="0" w:color="auto"/>
        <w:left w:val="none" w:sz="0" w:space="0" w:color="auto"/>
        <w:bottom w:val="none" w:sz="0" w:space="0" w:color="auto"/>
        <w:right w:val="none" w:sz="0" w:space="0" w:color="auto"/>
      </w:divBdr>
    </w:div>
    <w:div w:id="627512153">
      <w:marLeft w:val="0"/>
      <w:marRight w:val="0"/>
      <w:marTop w:val="100"/>
      <w:marBottom w:val="100"/>
      <w:divBdr>
        <w:top w:val="none" w:sz="0" w:space="0" w:color="auto"/>
        <w:left w:val="none" w:sz="0" w:space="0" w:color="auto"/>
        <w:bottom w:val="none" w:sz="0" w:space="0" w:color="auto"/>
        <w:right w:val="none" w:sz="0" w:space="0" w:color="auto"/>
      </w:divBdr>
    </w:div>
    <w:div w:id="641888045">
      <w:marLeft w:val="0"/>
      <w:marRight w:val="0"/>
      <w:marTop w:val="0"/>
      <w:marBottom w:val="0"/>
      <w:divBdr>
        <w:top w:val="none" w:sz="0" w:space="0" w:color="auto"/>
        <w:left w:val="none" w:sz="0" w:space="0" w:color="auto"/>
        <w:bottom w:val="none" w:sz="0" w:space="0" w:color="auto"/>
        <w:right w:val="none" w:sz="0" w:space="0" w:color="auto"/>
      </w:divBdr>
    </w:div>
    <w:div w:id="652293986">
      <w:marLeft w:val="0"/>
      <w:marRight w:val="0"/>
      <w:marTop w:val="0"/>
      <w:marBottom w:val="100"/>
      <w:divBdr>
        <w:top w:val="none" w:sz="0" w:space="0" w:color="auto"/>
        <w:left w:val="none" w:sz="0" w:space="0" w:color="auto"/>
        <w:bottom w:val="none" w:sz="0" w:space="0" w:color="auto"/>
        <w:right w:val="none" w:sz="0" w:space="0" w:color="auto"/>
      </w:divBdr>
    </w:div>
    <w:div w:id="652568393">
      <w:marLeft w:val="0"/>
      <w:marRight w:val="0"/>
      <w:marTop w:val="180"/>
      <w:marBottom w:val="100"/>
      <w:divBdr>
        <w:top w:val="none" w:sz="0" w:space="0" w:color="auto"/>
        <w:left w:val="none" w:sz="0" w:space="0" w:color="auto"/>
        <w:bottom w:val="none" w:sz="0" w:space="0" w:color="auto"/>
        <w:right w:val="none" w:sz="0" w:space="0" w:color="auto"/>
      </w:divBdr>
    </w:div>
    <w:div w:id="652683305">
      <w:marLeft w:val="0"/>
      <w:marRight w:val="0"/>
      <w:marTop w:val="100"/>
      <w:marBottom w:val="0"/>
      <w:divBdr>
        <w:top w:val="none" w:sz="0" w:space="0" w:color="auto"/>
        <w:left w:val="none" w:sz="0" w:space="0" w:color="auto"/>
        <w:bottom w:val="none" w:sz="0" w:space="0" w:color="auto"/>
        <w:right w:val="none" w:sz="0" w:space="0" w:color="auto"/>
      </w:divBdr>
    </w:div>
    <w:div w:id="664012544">
      <w:marLeft w:val="0"/>
      <w:marRight w:val="0"/>
      <w:marTop w:val="100"/>
      <w:marBottom w:val="0"/>
      <w:divBdr>
        <w:top w:val="none" w:sz="0" w:space="0" w:color="auto"/>
        <w:left w:val="none" w:sz="0" w:space="0" w:color="auto"/>
        <w:bottom w:val="none" w:sz="0" w:space="0" w:color="auto"/>
        <w:right w:val="none" w:sz="0" w:space="0" w:color="auto"/>
      </w:divBdr>
    </w:div>
    <w:div w:id="688485145">
      <w:marLeft w:val="0"/>
      <w:marRight w:val="0"/>
      <w:marTop w:val="100"/>
      <w:marBottom w:val="100"/>
      <w:divBdr>
        <w:top w:val="none" w:sz="0" w:space="0" w:color="auto"/>
        <w:left w:val="none" w:sz="0" w:space="0" w:color="auto"/>
        <w:bottom w:val="none" w:sz="0" w:space="0" w:color="auto"/>
        <w:right w:val="none" w:sz="0" w:space="0" w:color="auto"/>
      </w:divBdr>
    </w:div>
    <w:div w:id="699671045">
      <w:marLeft w:val="0"/>
      <w:marRight w:val="0"/>
      <w:marTop w:val="100"/>
      <w:marBottom w:val="100"/>
      <w:divBdr>
        <w:top w:val="none" w:sz="0" w:space="0" w:color="auto"/>
        <w:left w:val="none" w:sz="0" w:space="0" w:color="auto"/>
        <w:bottom w:val="none" w:sz="0" w:space="0" w:color="auto"/>
        <w:right w:val="none" w:sz="0" w:space="0" w:color="auto"/>
      </w:divBdr>
    </w:div>
    <w:div w:id="701780682">
      <w:marLeft w:val="0"/>
      <w:marRight w:val="0"/>
      <w:marTop w:val="0"/>
      <w:marBottom w:val="100"/>
      <w:divBdr>
        <w:top w:val="none" w:sz="0" w:space="0" w:color="auto"/>
        <w:left w:val="none" w:sz="0" w:space="0" w:color="auto"/>
        <w:bottom w:val="none" w:sz="0" w:space="0" w:color="auto"/>
        <w:right w:val="none" w:sz="0" w:space="0" w:color="auto"/>
      </w:divBdr>
    </w:div>
    <w:div w:id="704254126">
      <w:marLeft w:val="0"/>
      <w:marRight w:val="0"/>
      <w:marTop w:val="100"/>
      <w:marBottom w:val="0"/>
      <w:divBdr>
        <w:top w:val="none" w:sz="0" w:space="0" w:color="auto"/>
        <w:left w:val="none" w:sz="0" w:space="0" w:color="auto"/>
        <w:bottom w:val="none" w:sz="0" w:space="0" w:color="auto"/>
        <w:right w:val="none" w:sz="0" w:space="0" w:color="auto"/>
      </w:divBdr>
      <w:divsChild>
        <w:div w:id="1099526138">
          <w:marLeft w:val="0"/>
          <w:marRight w:val="0"/>
          <w:marTop w:val="0"/>
          <w:marBottom w:val="0"/>
          <w:divBdr>
            <w:top w:val="none" w:sz="0" w:space="0" w:color="auto"/>
            <w:left w:val="none" w:sz="0" w:space="0" w:color="auto"/>
            <w:bottom w:val="none" w:sz="0" w:space="0" w:color="auto"/>
            <w:right w:val="none" w:sz="0" w:space="0" w:color="auto"/>
          </w:divBdr>
        </w:div>
        <w:div w:id="51857458">
          <w:marLeft w:val="0"/>
          <w:marRight w:val="0"/>
          <w:marTop w:val="0"/>
          <w:marBottom w:val="0"/>
          <w:divBdr>
            <w:top w:val="none" w:sz="0" w:space="0" w:color="auto"/>
            <w:left w:val="none" w:sz="0" w:space="0" w:color="auto"/>
            <w:bottom w:val="none" w:sz="0" w:space="0" w:color="auto"/>
            <w:right w:val="none" w:sz="0" w:space="0" w:color="auto"/>
          </w:divBdr>
        </w:div>
      </w:divsChild>
    </w:div>
    <w:div w:id="705301192">
      <w:marLeft w:val="0"/>
      <w:marRight w:val="0"/>
      <w:marTop w:val="100"/>
      <w:marBottom w:val="100"/>
      <w:divBdr>
        <w:top w:val="none" w:sz="0" w:space="0" w:color="auto"/>
        <w:left w:val="none" w:sz="0" w:space="0" w:color="auto"/>
        <w:bottom w:val="none" w:sz="0" w:space="0" w:color="auto"/>
        <w:right w:val="none" w:sz="0" w:space="0" w:color="auto"/>
      </w:divBdr>
    </w:div>
    <w:div w:id="713314160">
      <w:marLeft w:val="0"/>
      <w:marRight w:val="0"/>
      <w:marTop w:val="0"/>
      <w:marBottom w:val="0"/>
      <w:divBdr>
        <w:top w:val="none" w:sz="0" w:space="0" w:color="auto"/>
        <w:left w:val="none" w:sz="0" w:space="0" w:color="auto"/>
        <w:bottom w:val="none" w:sz="0" w:space="0" w:color="auto"/>
        <w:right w:val="none" w:sz="0" w:space="0" w:color="auto"/>
      </w:divBdr>
    </w:div>
    <w:div w:id="718087927">
      <w:marLeft w:val="0"/>
      <w:marRight w:val="0"/>
      <w:marTop w:val="0"/>
      <w:marBottom w:val="0"/>
      <w:divBdr>
        <w:top w:val="none" w:sz="0" w:space="0" w:color="auto"/>
        <w:left w:val="none" w:sz="0" w:space="0" w:color="auto"/>
        <w:bottom w:val="none" w:sz="0" w:space="0" w:color="auto"/>
        <w:right w:val="none" w:sz="0" w:space="0" w:color="auto"/>
      </w:divBdr>
      <w:divsChild>
        <w:div w:id="1140804404">
          <w:marLeft w:val="0"/>
          <w:marRight w:val="0"/>
          <w:marTop w:val="0"/>
          <w:marBottom w:val="100"/>
          <w:divBdr>
            <w:top w:val="none" w:sz="0" w:space="0" w:color="auto"/>
            <w:left w:val="none" w:sz="0" w:space="0" w:color="auto"/>
            <w:bottom w:val="none" w:sz="0" w:space="0" w:color="auto"/>
            <w:right w:val="none" w:sz="0" w:space="0" w:color="auto"/>
          </w:divBdr>
        </w:div>
      </w:divsChild>
    </w:div>
    <w:div w:id="723598033">
      <w:marLeft w:val="0"/>
      <w:marRight w:val="0"/>
      <w:marTop w:val="280"/>
      <w:marBottom w:val="100"/>
      <w:divBdr>
        <w:top w:val="none" w:sz="0" w:space="0" w:color="auto"/>
        <w:left w:val="none" w:sz="0" w:space="0" w:color="auto"/>
        <w:bottom w:val="none" w:sz="0" w:space="0" w:color="auto"/>
        <w:right w:val="none" w:sz="0" w:space="0" w:color="auto"/>
      </w:divBdr>
    </w:div>
    <w:div w:id="724379907">
      <w:marLeft w:val="0"/>
      <w:marRight w:val="0"/>
      <w:marTop w:val="0"/>
      <w:marBottom w:val="0"/>
      <w:divBdr>
        <w:top w:val="none" w:sz="0" w:space="0" w:color="auto"/>
        <w:left w:val="none" w:sz="0" w:space="0" w:color="auto"/>
        <w:bottom w:val="none" w:sz="0" w:space="0" w:color="auto"/>
        <w:right w:val="none" w:sz="0" w:space="0" w:color="auto"/>
      </w:divBdr>
      <w:divsChild>
        <w:div w:id="1939824568">
          <w:marLeft w:val="0"/>
          <w:marRight w:val="0"/>
          <w:marTop w:val="0"/>
          <w:marBottom w:val="0"/>
          <w:divBdr>
            <w:top w:val="none" w:sz="0" w:space="0" w:color="auto"/>
            <w:left w:val="none" w:sz="0" w:space="0" w:color="auto"/>
            <w:bottom w:val="none" w:sz="0" w:space="0" w:color="auto"/>
            <w:right w:val="none" w:sz="0" w:space="0" w:color="auto"/>
          </w:divBdr>
          <w:divsChild>
            <w:div w:id="60261260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24835102">
      <w:marLeft w:val="0"/>
      <w:marRight w:val="0"/>
      <w:marTop w:val="0"/>
      <w:marBottom w:val="100"/>
      <w:divBdr>
        <w:top w:val="none" w:sz="0" w:space="0" w:color="auto"/>
        <w:left w:val="none" w:sz="0" w:space="0" w:color="auto"/>
        <w:bottom w:val="none" w:sz="0" w:space="0" w:color="auto"/>
        <w:right w:val="none" w:sz="0" w:space="0" w:color="auto"/>
      </w:divBdr>
    </w:div>
    <w:div w:id="728918920">
      <w:marLeft w:val="0"/>
      <w:marRight w:val="0"/>
      <w:marTop w:val="180"/>
      <w:marBottom w:val="100"/>
      <w:divBdr>
        <w:top w:val="none" w:sz="0" w:space="0" w:color="auto"/>
        <w:left w:val="none" w:sz="0" w:space="0" w:color="auto"/>
        <w:bottom w:val="none" w:sz="0" w:space="0" w:color="auto"/>
        <w:right w:val="none" w:sz="0" w:space="0" w:color="auto"/>
      </w:divBdr>
    </w:div>
    <w:div w:id="731388558">
      <w:marLeft w:val="0"/>
      <w:marRight w:val="0"/>
      <w:marTop w:val="0"/>
      <w:marBottom w:val="100"/>
      <w:divBdr>
        <w:top w:val="none" w:sz="0" w:space="0" w:color="auto"/>
        <w:left w:val="none" w:sz="0" w:space="0" w:color="auto"/>
        <w:bottom w:val="none" w:sz="0" w:space="0" w:color="auto"/>
        <w:right w:val="none" w:sz="0" w:space="0" w:color="auto"/>
      </w:divBdr>
    </w:div>
    <w:div w:id="732192707">
      <w:marLeft w:val="0"/>
      <w:marRight w:val="0"/>
      <w:marTop w:val="0"/>
      <w:marBottom w:val="0"/>
      <w:divBdr>
        <w:top w:val="none" w:sz="0" w:space="0" w:color="auto"/>
        <w:left w:val="none" w:sz="0" w:space="0" w:color="auto"/>
        <w:bottom w:val="none" w:sz="0" w:space="0" w:color="auto"/>
        <w:right w:val="none" w:sz="0" w:space="0" w:color="auto"/>
      </w:divBdr>
      <w:divsChild>
        <w:div w:id="1204367544">
          <w:marLeft w:val="0"/>
          <w:marRight w:val="0"/>
          <w:marTop w:val="0"/>
          <w:marBottom w:val="100"/>
          <w:divBdr>
            <w:top w:val="none" w:sz="0" w:space="0" w:color="auto"/>
            <w:left w:val="none" w:sz="0" w:space="0" w:color="auto"/>
            <w:bottom w:val="none" w:sz="0" w:space="0" w:color="auto"/>
            <w:right w:val="none" w:sz="0" w:space="0" w:color="auto"/>
          </w:divBdr>
        </w:div>
      </w:divsChild>
    </w:div>
    <w:div w:id="732199593">
      <w:marLeft w:val="0"/>
      <w:marRight w:val="0"/>
      <w:marTop w:val="100"/>
      <w:marBottom w:val="0"/>
      <w:divBdr>
        <w:top w:val="none" w:sz="0" w:space="0" w:color="auto"/>
        <w:left w:val="none" w:sz="0" w:space="0" w:color="auto"/>
        <w:bottom w:val="none" w:sz="0" w:space="0" w:color="auto"/>
        <w:right w:val="none" w:sz="0" w:space="0" w:color="auto"/>
      </w:divBdr>
    </w:div>
    <w:div w:id="732310287">
      <w:marLeft w:val="0"/>
      <w:marRight w:val="0"/>
      <w:marTop w:val="0"/>
      <w:marBottom w:val="0"/>
      <w:divBdr>
        <w:top w:val="none" w:sz="0" w:space="0" w:color="auto"/>
        <w:left w:val="none" w:sz="0" w:space="0" w:color="auto"/>
        <w:bottom w:val="none" w:sz="0" w:space="0" w:color="auto"/>
        <w:right w:val="none" w:sz="0" w:space="0" w:color="auto"/>
      </w:divBdr>
    </w:div>
    <w:div w:id="741372469">
      <w:marLeft w:val="0"/>
      <w:marRight w:val="0"/>
      <w:marTop w:val="0"/>
      <w:marBottom w:val="100"/>
      <w:divBdr>
        <w:top w:val="none" w:sz="0" w:space="0" w:color="auto"/>
        <w:left w:val="none" w:sz="0" w:space="0" w:color="auto"/>
        <w:bottom w:val="none" w:sz="0" w:space="0" w:color="auto"/>
        <w:right w:val="none" w:sz="0" w:space="0" w:color="auto"/>
      </w:divBdr>
    </w:div>
    <w:div w:id="750855764">
      <w:marLeft w:val="0"/>
      <w:marRight w:val="0"/>
      <w:marTop w:val="180"/>
      <w:marBottom w:val="0"/>
      <w:divBdr>
        <w:top w:val="none" w:sz="0" w:space="0" w:color="auto"/>
        <w:left w:val="none" w:sz="0" w:space="0" w:color="auto"/>
        <w:bottom w:val="none" w:sz="0" w:space="0" w:color="auto"/>
        <w:right w:val="none" w:sz="0" w:space="0" w:color="auto"/>
      </w:divBdr>
    </w:div>
    <w:div w:id="754400458">
      <w:marLeft w:val="0"/>
      <w:marRight w:val="0"/>
      <w:marTop w:val="100"/>
      <w:marBottom w:val="100"/>
      <w:divBdr>
        <w:top w:val="none" w:sz="0" w:space="0" w:color="auto"/>
        <w:left w:val="none" w:sz="0" w:space="0" w:color="auto"/>
        <w:bottom w:val="none" w:sz="0" w:space="0" w:color="auto"/>
        <w:right w:val="none" w:sz="0" w:space="0" w:color="auto"/>
      </w:divBdr>
    </w:div>
    <w:div w:id="769400215">
      <w:marLeft w:val="0"/>
      <w:marRight w:val="0"/>
      <w:marTop w:val="180"/>
      <w:marBottom w:val="100"/>
      <w:divBdr>
        <w:top w:val="none" w:sz="0" w:space="0" w:color="auto"/>
        <w:left w:val="none" w:sz="0" w:space="0" w:color="auto"/>
        <w:bottom w:val="none" w:sz="0" w:space="0" w:color="auto"/>
        <w:right w:val="none" w:sz="0" w:space="0" w:color="auto"/>
      </w:divBdr>
    </w:div>
    <w:div w:id="780731468">
      <w:marLeft w:val="0"/>
      <w:marRight w:val="0"/>
      <w:marTop w:val="0"/>
      <w:marBottom w:val="0"/>
      <w:divBdr>
        <w:top w:val="none" w:sz="0" w:space="0" w:color="auto"/>
        <w:left w:val="none" w:sz="0" w:space="0" w:color="auto"/>
        <w:bottom w:val="none" w:sz="0" w:space="0" w:color="auto"/>
        <w:right w:val="none" w:sz="0" w:space="0" w:color="auto"/>
      </w:divBdr>
    </w:div>
    <w:div w:id="782769812">
      <w:marLeft w:val="0"/>
      <w:marRight w:val="0"/>
      <w:marTop w:val="0"/>
      <w:marBottom w:val="0"/>
      <w:divBdr>
        <w:top w:val="none" w:sz="0" w:space="0" w:color="auto"/>
        <w:left w:val="none" w:sz="0" w:space="0" w:color="auto"/>
        <w:bottom w:val="none" w:sz="0" w:space="0" w:color="auto"/>
        <w:right w:val="none" w:sz="0" w:space="0" w:color="auto"/>
      </w:divBdr>
      <w:divsChild>
        <w:div w:id="1592929785">
          <w:marLeft w:val="0"/>
          <w:marRight w:val="0"/>
          <w:marTop w:val="0"/>
          <w:marBottom w:val="0"/>
          <w:divBdr>
            <w:top w:val="none" w:sz="0" w:space="0" w:color="auto"/>
            <w:left w:val="none" w:sz="0" w:space="0" w:color="auto"/>
            <w:bottom w:val="none" w:sz="0" w:space="0" w:color="auto"/>
            <w:right w:val="none" w:sz="0" w:space="0" w:color="auto"/>
          </w:divBdr>
          <w:divsChild>
            <w:div w:id="148577737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84155654">
      <w:marLeft w:val="0"/>
      <w:marRight w:val="0"/>
      <w:marTop w:val="100"/>
      <w:marBottom w:val="100"/>
      <w:divBdr>
        <w:top w:val="none" w:sz="0" w:space="0" w:color="auto"/>
        <w:left w:val="none" w:sz="0" w:space="0" w:color="auto"/>
        <w:bottom w:val="none" w:sz="0" w:space="0" w:color="auto"/>
        <w:right w:val="none" w:sz="0" w:space="0" w:color="auto"/>
      </w:divBdr>
    </w:div>
    <w:div w:id="785270526">
      <w:marLeft w:val="0"/>
      <w:marRight w:val="0"/>
      <w:marTop w:val="0"/>
      <w:marBottom w:val="100"/>
      <w:divBdr>
        <w:top w:val="none" w:sz="0" w:space="0" w:color="auto"/>
        <w:left w:val="none" w:sz="0" w:space="0" w:color="auto"/>
        <w:bottom w:val="none" w:sz="0" w:space="0" w:color="auto"/>
        <w:right w:val="none" w:sz="0" w:space="0" w:color="auto"/>
      </w:divBdr>
    </w:div>
    <w:div w:id="786244172">
      <w:marLeft w:val="0"/>
      <w:marRight w:val="0"/>
      <w:marTop w:val="0"/>
      <w:marBottom w:val="100"/>
      <w:divBdr>
        <w:top w:val="none" w:sz="0" w:space="0" w:color="auto"/>
        <w:left w:val="none" w:sz="0" w:space="0" w:color="auto"/>
        <w:bottom w:val="none" w:sz="0" w:space="0" w:color="auto"/>
        <w:right w:val="none" w:sz="0" w:space="0" w:color="auto"/>
      </w:divBdr>
    </w:div>
    <w:div w:id="792675766">
      <w:marLeft w:val="0"/>
      <w:marRight w:val="0"/>
      <w:marTop w:val="0"/>
      <w:marBottom w:val="100"/>
      <w:divBdr>
        <w:top w:val="none" w:sz="0" w:space="0" w:color="auto"/>
        <w:left w:val="none" w:sz="0" w:space="0" w:color="auto"/>
        <w:bottom w:val="none" w:sz="0" w:space="0" w:color="auto"/>
        <w:right w:val="none" w:sz="0" w:space="0" w:color="auto"/>
      </w:divBdr>
    </w:div>
    <w:div w:id="796874294">
      <w:marLeft w:val="0"/>
      <w:marRight w:val="0"/>
      <w:marTop w:val="100"/>
      <w:marBottom w:val="100"/>
      <w:divBdr>
        <w:top w:val="none" w:sz="0" w:space="0" w:color="auto"/>
        <w:left w:val="none" w:sz="0" w:space="0" w:color="auto"/>
        <w:bottom w:val="none" w:sz="0" w:space="0" w:color="auto"/>
        <w:right w:val="none" w:sz="0" w:space="0" w:color="auto"/>
      </w:divBdr>
    </w:div>
    <w:div w:id="797071484">
      <w:marLeft w:val="0"/>
      <w:marRight w:val="0"/>
      <w:marTop w:val="0"/>
      <w:marBottom w:val="0"/>
      <w:divBdr>
        <w:top w:val="none" w:sz="0" w:space="0" w:color="auto"/>
        <w:left w:val="none" w:sz="0" w:space="0" w:color="auto"/>
        <w:bottom w:val="none" w:sz="0" w:space="0" w:color="auto"/>
        <w:right w:val="none" w:sz="0" w:space="0" w:color="auto"/>
      </w:divBdr>
    </w:div>
    <w:div w:id="802695220">
      <w:marLeft w:val="0"/>
      <w:marRight w:val="0"/>
      <w:marTop w:val="180"/>
      <w:marBottom w:val="60"/>
      <w:divBdr>
        <w:top w:val="none" w:sz="0" w:space="0" w:color="auto"/>
        <w:left w:val="none" w:sz="0" w:space="0" w:color="auto"/>
        <w:bottom w:val="none" w:sz="0" w:space="0" w:color="auto"/>
        <w:right w:val="none" w:sz="0" w:space="0" w:color="auto"/>
      </w:divBdr>
      <w:divsChild>
        <w:div w:id="1410883987">
          <w:marLeft w:val="0"/>
          <w:marRight w:val="0"/>
          <w:marTop w:val="180"/>
          <w:marBottom w:val="0"/>
          <w:divBdr>
            <w:top w:val="none" w:sz="0" w:space="0" w:color="auto"/>
            <w:left w:val="none" w:sz="0" w:space="0" w:color="auto"/>
            <w:bottom w:val="none" w:sz="0" w:space="0" w:color="auto"/>
            <w:right w:val="none" w:sz="0" w:space="0" w:color="auto"/>
          </w:divBdr>
        </w:div>
        <w:div w:id="1959094316">
          <w:marLeft w:val="0"/>
          <w:marRight w:val="0"/>
          <w:marTop w:val="180"/>
          <w:marBottom w:val="0"/>
          <w:divBdr>
            <w:top w:val="none" w:sz="0" w:space="0" w:color="auto"/>
            <w:left w:val="none" w:sz="0" w:space="0" w:color="auto"/>
            <w:bottom w:val="none" w:sz="0" w:space="0" w:color="auto"/>
            <w:right w:val="none" w:sz="0" w:space="0" w:color="auto"/>
          </w:divBdr>
        </w:div>
        <w:div w:id="81922894">
          <w:marLeft w:val="0"/>
          <w:marRight w:val="0"/>
          <w:marTop w:val="180"/>
          <w:marBottom w:val="0"/>
          <w:divBdr>
            <w:top w:val="none" w:sz="0" w:space="0" w:color="auto"/>
            <w:left w:val="none" w:sz="0" w:space="0" w:color="auto"/>
            <w:bottom w:val="none" w:sz="0" w:space="0" w:color="auto"/>
            <w:right w:val="none" w:sz="0" w:space="0" w:color="auto"/>
          </w:divBdr>
        </w:div>
        <w:div w:id="940450646">
          <w:marLeft w:val="0"/>
          <w:marRight w:val="0"/>
          <w:marTop w:val="180"/>
          <w:marBottom w:val="0"/>
          <w:divBdr>
            <w:top w:val="none" w:sz="0" w:space="0" w:color="auto"/>
            <w:left w:val="none" w:sz="0" w:space="0" w:color="auto"/>
            <w:bottom w:val="none" w:sz="0" w:space="0" w:color="auto"/>
            <w:right w:val="none" w:sz="0" w:space="0" w:color="auto"/>
          </w:divBdr>
        </w:div>
      </w:divsChild>
    </w:div>
    <w:div w:id="812789739">
      <w:marLeft w:val="0"/>
      <w:marRight w:val="0"/>
      <w:marTop w:val="0"/>
      <w:marBottom w:val="0"/>
      <w:divBdr>
        <w:top w:val="none" w:sz="0" w:space="0" w:color="auto"/>
        <w:left w:val="none" w:sz="0" w:space="0" w:color="auto"/>
        <w:bottom w:val="none" w:sz="0" w:space="0" w:color="auto"/>
        <w:right w:val="none" w:sz="0" w:space="0" w:color="auto"/>
      </w:divBdr>
    </w:div>
    <w:div w:id="815756775">
      <w:marLeft w:val="0"/>
      <w:marRight w:val="0"/>
      <w:marTop w:val="0"/>
      <w:marBottom w:val="100"/>
      <w:divBdr>
        <w:top w:val="none" w:sz="0" w:space="0" w:color="auto"/>
        <w:left w:val="none" w:sz="0" w:space="0" w:color="auto"/>
        <w:bottom w:val="none" w:sz="0" w:space="0" w:color="auto"/>
        <w:right w:val="none" w:sz="0" w:space="0" w:color="auto"/>
      </w:divBdr>
    </w:div>
    <w:div w:id="821392386">
      <w:marLeft w:val="0"/>
      <w:marRight w:val="0"/>
      <w:marTop w:val="0"/>
      <w:marBottom w:val="100"/>
      <w:divBdr>
        <w:top w:val="none" w:sz="0" w:space="0" w:color="auto"/>
        <w:left w:val="none" w:sz="0" w:space="0" w:color="auto"/>
        <w:bottom w:val="none" w:sz="0" w:space="0" w:color="auto"/>
        <w:right w:val="none" w:sz="0" w:space="0" w:color="auto"/>
      </w:divBdr>
    </w:div>
    <w:div w:id="822356894">
      <w:marLeft w:val="0"/>
      <w:marRight w:val="0"/>
      <w:marTop w:val="100"/>
      <w:marBottom w:val="100"/>
      <w:divBdr>
        <w:top w:val="none" w:sz="0" w:space="0" w:color="auto"/>
        <w:left w:val="none" w:sz="0" w:space="0" w:color="auto"/>
        <w:bottom w:val="none" w:sz="0" w:space="0" w:color="auto"/>
        <w:right w:val="none" w:sz="0" w:space="0" w:color="auto"/>
      </w:divBdr>
    </w:div>
    <w:div w:id="827937092">
      <w:marLeft w:val="0"/>
      <w:marRight w:val="0"/>
      <w:marTop w:val="0"/>
      <w:marBottom w:val="0"/>
      <w:divBdr>
        <w:top w:val="none" w:sz="0" w:space="0" w:color="auto"/>
        <w:left w:val="none" w:sz="0" w:space="0" w:color="auto"/>
        <w:bottom w:val="none" w:sz="0" w:space="0" w:color="auto"/>
        <w:right w:val="none" w:sz="0" w:space="0" w:color="auto"/>
      </w:divBdr>
    </w:div>
    <w:div w:id="827987912">
      <w:marLeft w:val="0"/>
      <w:marRight w:val="0"/>
      <w:marTop w:val="100"/>
      <w:marBottom w:val="100"/>
      <w:divBdr>
        <w:top w:val="none" w:sz="0" w:space="0" w:color="auto"/>
        <w:left w:val="none" w:sz="0" w:space="0" w:color="auto"/>
        <w:bottom w:val="none" w:sz="0" w:space="0" w:color="auto"/>
        <w:right w:val="none" w:sz="0" w:space="0" w:color="auto"/>
      </w:divBdr>
    </w:div>
    <w:div w:id="828716855">
      <w:marLeft w:val="0"/>
      <w:marRight w:val="0"/>
      <w:marTop w:val="180"/>
      <w:marBottom w:val="0"/>
      <w:divBdr>
        <w:top w:val="none" w:sz="0" w:space="0" w:color="auto"/>
        <w:left w:val="none" w:sz="0" w:space="0" w:color="auto"/>
        <w:bottom w:val="none" w:sz="0" w:space="0" w:color="auto"/>
        <w:right w:val="none" w:sz="0" w:space="0" w:color="auto"/>
      </w:divBdr>
      <w:divsChild>
        <w:div w:id="332298077">
          <w:marLeft w:val="0"/>
          <w:marRight w:val="0"/>
          <w:marTop w:val="100"/>
          <w:marBottom w:val="0"/>
          <w:divBdr>
            <w:top w:val="none" w:sz="0" w:space="0" w:color="auto"/>
            <w:left w:val="none" w:sz="0" w:space="0" w:color="auto"/>
            <w:bottom w:val="none" w:sz="0" w:space="0" w:color="auto"/>
            <w:right w:val="none" w:sz="0" w:space="0" w:color="auto"/>
          </w:divBdr>
        </w:div>
      </w:divsChild>
    </w:div>
    <w:div w:id="829642823">
      <w:marLeft w:val="0"/>
      <w:marRight w:val="0"/>
      <w:marTop w:val="0"/>
      <w:marBottom w:val="0"/>
      <w:divBdr>
        <w:top w:val="none" w:sz="0" w:space="0" w:color="auto"/>
        <w:left w:val="none" w:sz="0" w:space="0" w:color="auto"/>
        <w:bottom w:val="none" w:sz="0" w:space="0" w:color="auto"/>
        <w:right w:val="none" w:sz="0" w:space="0" w:color="auto"/>
      </w:divBdr>
    </w:div>
    <w:div w:id="833760898">
      <w:marLeft w:val="0"/>
      <w:marRight w:val="0"/>
      <w:marTop w:val="0"/>
      <w:marBottom w:val="100"/>
      <w:divBdr>
        <w:top w:val="none" w:sz="0" w:space="0" w:color="auto"/>
        <w:left w:val="none" w:sz="0" w:space="0" w:color="auto"/>
        <w:bottom w:val="none" w:sz="0" w:space="0" w:color="auto"/>
        <w:right w:val="none" w:sz="0" w:space="0" w:color="auto"/>
      </w:divBdr>
    </w:div>
    <w:div w:id="835153639">
      <w:marLeft w:val="0"/>
      <w:marRight w:val="0"/>
      <w:marTop w:val="0"/>
      <w:marBottom w:val="0"/>
      <w:divBdr>
        <w:top w:val="none" w:sz="0" w:space="0" w:color="auto"/>
        <w:left w:val="none" w:sz="0" w:space="0" w:color="auto"/>
        <w:bottom w:val="none" w:sz="0" w:space="0" w:color="auto"/>
        <w:right w:val="none" w:sz="0" w:space="0" w:color="auto"/>
      </w:divBdr>
      <w:divsChild>
        <w:div w:id="665061037">
          <w:marLeft w:val="0"/>
          <w:marRight w:val="0"/>
          <w:marTop w:val="0"/>
          <w:marBottom w:val="0"/>
          <w:divBdr>
            <w:top w:val="none" w:sz="0" w:space="0" w:color="auto"/>
            <w:left w:val="none" w:sz="0" w:space="0" w:color="auto"/>
            <w:bottom w:val="none" w:sz="0" w:space="0" w:color="auto"/>
            <w:right w:val="none" w:sz="0" w:space="0" w:color="auto"/>
          </w:divBdr>
          <w:divsChild>
            <w:div w:id="17246696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7521734">
      <w:marLeft w:val="0"/>
      <w:marRight w:val="0"/>
      <w:marTop w:val="100"/>
      <w:marBottom w:val="100"/>
      <w:divBdr>
        <w:top w:val="none" w:sz="0" w:space="0" w:color="auto"/>
        <w:left w:val="none" w:sz="0" w:space="0" w:color="auto"/>
        <w:bottom w:val="none" w:sz="0" w:space="0" w:color="auto"/>
        <w:right w:val="none" w:sz="0" w:space="0" w:color="auto"/>
      </w:divBdr>
    </w:div>
    <w:div w:id="870342919">
      <w:marLeft w:val="0"/>
      <w:marRight w:val="0"/>
      <w:marTop w:val="0"/>
      <w:marBottom w:val="0"/>
      <w:divBdr>
        <w:top w:val="none" w:sz="0" w:space="0" w:color="auto"/>
        <w:left w:val="none" w:sz="0" w:space="0" w:color="auto"/>
        <w:bottom w:val="none" w:sz="0" w:space="0" w:color="auto"/>
        <w:right w:val="none" w:sz="0" w:space="0" w:color="auto"/>
      </w:divBdr>
      <w:divsChild>
        <w:div w:id="1609968234">
          <w:marLeft w:val="0"/>
          <w:marRight w:val="0"/>
          <w:marTop w:val="0"/>
          <w:marBottom w:val="100"/>
          <w:divBdr>
            <w:top w:val="none" w:sz="0" w:space="0" w:color="auto"/>
            <w:left w:val="none" w:sz="0" w:space="0" w:color="auto"/>
            <w:bottom w:val="none" w:sz="0" w:space="0" w:color="auto"/>
            <w:right w:val="none" w:sz="0" w:space="0" w:color="auto"/>
          </w:divBdr>
        </w:div>
      </w:divsChild>
    </w:div>
    <w:div w:id="872962252">
      <w:marLeft w:val="0"/>
      <w:marRight w:val="0"/>
      <w:marTop w:val="100"/>
      <w:marBottom w:val="100"/>
      <w:divBdr>
        <w:top w:val="none" w:sz="0" w:space="0" w:color="auto"/>
        <w:left w:val="none" w:sz="0" w:space="0" w:color="auto"/>
        <w:bottom w:val="none" w:sz="0" w:space="0" w:color="auto"/>
        <w:right w:val="none" w:sz="0" w:space="0" w:color="auto"/>
      </w:divBdr>
    </w:div>
    <w:div w:id="877856015">
      <w:marLeft w:val="0"/>
      <w:marRight w:val="0"/>
      <w:marTop w:val="180"/>
      <w:marBottom w:val="0"/>
      <w:divBdr>
        <w:top w:val="none" w:sz="0" w:space="0" w:color="auto"/>
        <w:left w:val="none" w:sz="0" w:space="0" w:color="auto"/>
        <w:bottom w:val="none" w:sz="0" w:space="0" w:color="auto"/>
        <w:right w:val="none" w:sz="0" w:space="0" w:color="auto"/>
      </w:divBdr>
      <w:divsChild>
        <w:div w:id="1968318090">
          <w:marLeft w:val="0"/>
          <w:marRight w:val="0"/>
          <w:marTop w:val="0"/>
          <w:marBottom w:val="0"/>
          <w:divBdr>
            <w:top w:val="none" w:sz="0" w:space="0" w:color="auto"/>
            <w:left w:val="none" w:sz="0" w:space="0" w:color="auto"/>
            <w:bottom w:val="none" w:sz="0" w:space="0" w:color="auto"/>
            <w:right w:val="none" w:sz="0" w:space="0" w:color="auto"/>
          </w:divBdr>
        </w:div>
      </w:divsChild>
    </w:div>
    <w:div w:id="889220171">
      <w:marLeft w:val="0"/>
      <w:marRight w:val="0"/>
      <w:marTop w:val="0"/>
      <w:marBottom w:val="0"/>
      <w:divBdr>
        <w:top w:val="none" w:sz="0" w:space="0" w:color="auto"/>
        <w:left w:val="none" w:sz="0" w:space="0" w:color="auto"/>
        <w:bottom w:val="none" w:sz="0" w:space="0" w:color="auto"/>
        <w:right w:val="none" w:sz="0" w:space="0" w:color="auto"/>
      </w:divBdr>
    </w:div>
    <w:div w:id="896821078">
      <w:marLeft w:val="0"/>
      <w:marRight w:val="0"/>
      <w:marTop w:val="0"/>
      <w:marBottom w:val="0"/>
      <w:divBdr>
        <w:top w:val="none" w:sz="0" w:space="0" w:color="auto"/>
        <w:left w:val="none" w:sz="0" w:space="0" w:color="auto"/>
        <w:bottom w:val="none" w:sz="0" w:space="0" w:color="auto"/>
        <w:right w:val="none" w:sz="0" w:space="0" w:color="auto"/>
      </w:divBdr>
    </w:div>
    <w:div w:id="911741425">
      <w:marLeft w:val="0"/>
      <w:marRight w:val="0"/>
      <w:marTop w:val="180"/>
      <w:marBottom w:val="0"/>
      <w:divBdr>
        <w:top w:val="none" w:sz="0" w:space="0" w:color="auto"/>
        <w:left w:val="none" w:sz="0" w:space="0" w:color="auto"/>
        <w:bottom w:val="none" w:sz="0" w:space="0" w:color="auto"/>
        <w:right w:val="none" w:sz="0" w:space="0" w:color="auto"/>
      </w:divBdr>
    </w:div>
    <w:div w:id="926496307">
      <w:marLeft w:val="0"/>
      <w:marRight w:val="0"/>
      <w:marTop w:val="0"/>
      <w:marBottom w:val="0"/>
      <w:divBdr>
        <w:top w:val="none" w:sz="0" w:space="0" w:color="auto"/>
        <w:left w:val="none" w:sz="0" w:space="0" w:color="auto"/>
        <w:bottom w:val="none" w:sz="0" w:space="0" w:color="auto"/>
        <w:right w:val="none" w:sz="0" w:space="0" w:color="auto"/>
      </w:divBdr>
      <w:divsChild>
        <w:div w:id="861169479">
          <w:marLeft w:val="0"/>
          <w:marRight w:val="0"/>
          <w:marTop w:val="0"/>
          <w:marBottom w:val="0"/>
          <w:divBdr>
            <w:top w:val="none" w:sz="0" w:space="0" w:color="auto"/>
            <w:left w:val="none" w:sz="0" w:space="0" w:color="auto"/>
            <w:bottom w:val="none" w:sz="0" w:space="0" w:color="auto"/>
            <w:right w:val="none" w:sz="0" w:space="0" w:color="auto"/>
          </w:divBdr>
          <w:divsChild>
            <w:div w:id="15112927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31744764">
      <w:marLeft w:val="0"/>
      <w:marRight w:val="0"/>
      <w:marTop w:val="0"/>
      <w:marBottom w:val="100"/>
      <w:divBdr>
        <w:top w:val="none" w:sz="0" w:space="0" w:color="auto"/>
        <w:left w:val="none" w:sz="0" w:space="0" w:color="auto"/>
        <w:bottom w:val="none" w:sz="0" w:space="0" w:color="auto"/>
        <w:right w:val="none" w:sz="0" w:space="0" w:color="auto"/>
      </w:divBdr>
    </w:div>
    <w:div w:id="939609606">
      <w:marLeft w:val="0"/>
      <w:marRight w:val="0"/>
      <w:marTop w:val="0"/>
      <w:marBottom w:val="0"/>
      <w:divBdr>
        <w:top w:val="none" w:sz="0" w:space="0" w:color="auto"/>
        <w:left w:val="none" w:sz="0" w:space="0" w:color="auto"/>
        <w:bottom w:val="none" w:sz="0" w:space="0" w:color="auto"/>
        <w:right w:val="none" w:sz="0" w:space="0" w:color="auto"/>
      </w:divBdr>
    </w:div>
    <w:div w:id="942570337">
      <w:marLeft w:val="0"/>
      <w:marRight w:val="0"/>
      <w:marTop w:val="0"/>
      <w:marBottom w:val="0"/>
      <w:divBdr>
        <w:top w:val="none" w:sz="0" w:space="0" w:color="auto"/>
        <w:left w:val="none" w:sz="0" w:space="0" w:color="auto"/>
        <w:bottom w:val="none" w:sz="0" w:space="0" w:color="auto"/>
        <w:right w:val="none" w:sz="0" w:space="0" w:color="auto"/>
      </w:divBdr>
      <w:divsChild>
        <w:div w:id="62725534">
          <w:marLeft w:val="0"/>
          <w:marRight w:val="0"/>
          <w:marTop w:val="0"/>
          <w:marBottom w:val="0"/>
          <w:divBdr>
            <w:top w:val="none" w:sz="0" w:space="0" w:color="auto"/>
            <w:left w:val="none" w:sz="0" w:space="0" w:color="auto"/>
            <w:bottom w:val="none" w:sz="0" w:space="0" w:color="auto"/>
            <w:right w:val="none" w:sz="0" w:space="0" w:color="auto"/>
          </w:divBdr>
          <w:divsChild>
            <w:div w:id="196053007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42766226">
      <w:marLeft w:val="0"/>
      <w:marRight w:val="0"/>
      <w:marTop w:val="0"/>
      <w:marBottom w:val="0"/>
      <w:divBdr>
        <w:top w:val="none" w:sz="0" w:space="0" w:color="auto"/>
        <w:left w:val="none" w:sz="0" w:space="0" w:color="auto"/>
        <w:bottom w:val="none" w:sz="0" w:space="0" w:color="auto"/>
        <w:right w:val="none" w:sz="0" w:space="0" w:color="auto"/>
      </w:divBdr>
      <w:divsChild>
        <w:div w:id="1722361667">
          <w:marLeft w:val="0"/>
          <w:marRight w:val="0"/>
          <w:marTop w:val="0"/>
          <w:marBottom w:val="0"/>
          <w:divBdr>
            <w:top w:val="none" w:sz="0" w:space="0" w:color="auto"/>
            <w:left w:val="none" w:sz="0" w:space="0" w:color="auto"/>
            <w:bottom w:val="none" w:sz="0" w:space="0" w:color="auto"/>
            <w:right w:val="none" w:sz="0" w:space="0" w:color="auto"/>
          </w:divBdr>
          <w:divsChild>
            <w:div w:id="18312172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44389678">
      <w:marLeft w:val="0"/>
      <w:marRight w:val="0"/>
      <w:marTop w:val="0"/>
      <w:marBottom w:val="0"/>
      <w:divBdr>
        <w:top w:val="none" w:sz="0" w:space="0" w:color="auto"/>
        <w:left w:val="none" w:sz="0" w:space="0" w:color="auto"/>
        <w:bottom w:val="none" w:sz="0" w:space="0" w:color="auto"/>
        <w:right w:val="none" w:sz="0" w:space="0" w:color="auto"/>
      </w:divBdr>
    </w:div>
    <w:div w:id="947153398">
      <w:marLeft w:val="0"/>
      <w:marRight w:val="0"/>
      <w:marTop w:val="0"/>
      <w:marBottom w:val="0"/>
      <w:divBdr>
        <w:top w:val="none" w:sz="0" w:space="0" w:color="auto"/>
        <w:left w:val="none" w:sz="0" w:space="0" w:color="auto"/>
        <w:bottom w:val="none" w:sz="0" w:space="0" w:color="auto"/>
        <w:right w:val="none" w:sz="0" w:space="0" w:color="auto"/>
      </w:divBdr>
    </w:div>
    <w:div w:id="949313210">
      <w:marLeft w:val="0"/>
      <w:marRight w:val="0"/>
      <w:marTop w:val="0"/>
      <w:marBottom w:val="0"/>
      <w:divBdr>
        <w:top w:val="none" w:sz="0" w:space="0" w:color="auto"/>
        <w:left w:val="none" w:sz="0" w:space="0" w:color="auto"/>
        <w:bottom w:val="none" w:sz="0" w:space="0" w:color="auto"/>
        <w:right w:val="none" w:sz="0" w:space="0" w:color="auto"/>
      </w:divBdr>
    </w:div>
    <w:div w:id="962883383">
      <w:marLeft w:val="0"/>
      <w:marRight w:val="0"/>
      <w:marTop w:val="0"/>
      <w:marBottom w:val="0"/>
      <w:divBdr>
        <w:top w:val="none" w:sz="0" w:space="0" w:color="auto"/>
        <w:left w:val="none" w:sz="0" w:space="0" w:color="auto"/>
        <w:bottom w:val="none" w:sz="0" w:space="0" w:color="auto"/>
        <w:right w:val="none" w:sz="0" w:space="0" w:color="auto"/>
      </w:divBdr>
      <w:divsChild>
        <w:div w:id="1634288289">
          <w:marLeft w:val="0"/>
          <w:marRight w:val="0"/>
          <w:marTop w:val="0"/>
          <w:marBottom w:val="100"/>
          <w:divBdr>
            <w:top w:val="none" w:sz="0" w:space="0" w:color="auto"/>
            <w:left w:val="none" w:sz="0" w:space="0" w:color="auto"/>
            <w:bottom w:val="none" w:sz="0" w:space="0" w:color="auto"/>
            <w:right w:val="none" w:sz="0" w:space="0" w:color="auto"/>
          </w:divBdr>
        </w:div>
      </w:divsChild>
    </w:div>
    <w:div w:id="966929199">
      <w:marLeft w:val="0"/>
      <w:marRight w:val="0"/>
      <w:marTop w:val="0"/>
      <w:marBottom w:val="0"/>
      <w:divBdr>
        <w:top w:val="none" w:sz="0" w:space="0" w:color="auto"/>
        <w:left w:val="none" w:sz="0" w:space="0" w:color="auto"/>
        <w:bottom w:val="none" w:sz="0" w:space="0" w:color="auto"/>
        <w:right w:val="none" w:sz="0" w:space="0" w:color="auto"/>
      </w:divBdr>
      <w:divsChild>
        <w:div w:id="437214893">
          <w:marLeft w:val="0"/>
          <w:marRight w:val="0"/>
          <w:marTop w:val="0"/>
          <w:marBottom w:val="0"/>
          <w:divBdr>
            <w:top w:val="none" w:sz="0" w:space="0" w:color="auto"/>
            <w:left w:val="none" w:sz="0" w:space="0" w:color="auto"/>
            <w:bottom w:val="none" w:sz="0" w:space="0" w:color="auto"/>
            <w:right w:val="none" w:sz="0" w:space="0" w:color="auto"/>
          </w:divBdr>
          <w:divsChild>
            <w:div w:id="10353028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76184537">
      <w:marLeft w:val="0"/>
      <w:marRight w:val="0"/>
      <w:marTop w:val="0"/>
      <w:marBottom w:val="0"/>
      <w:divBdr>
        <w:top w:val="none" w:sz="0" w:space="0" w:color="auto"/>
        <w:left w:val="none" w:sz="0" w:space="0" w:color="auto"/>
        <w:bottom w:val="none" w:sz="0" w:space="0" w:color="auto"/>
        <w:right w:val="none" w:sz="0" w:space="0" w:color="auto"/>
      </w:divBdr>
      <w:divsChild>
        <w:div w:id="1667436820">
          <w:marLeft w:val="0"/>
          <w:marRight w:val="0"/>
          <w:marTop w:val="0"/>
          <w:marBottom w:val="0"/>
          <w:divBdr>
            <w:top w:val="none" w:sz="0" w:space="0" w:color="auto"/>
            <w:left w:val="none" w:sz="0" w:space="0" w:color="auto"/>
            <w:bottom w:val="none" w:sz="0" w:space="0" w:color="auto"/>
            <w:right w:val="none" w:sz="0" w:space="0" w:color="auto"/>
          </w:divBdr>
          <w:divsChild>
            <w:div w:id="2165528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76227475">
      <w:marLeft w:val="0"/>
      <w:marRight w:val="0"/>
      <w:marTop w:val="0"/>
      <w:marBottom w:val="0"/>
      <w:divBdr>
        <w:top w:val="none" w:sz="0" w:space="0" w:color="auto"/>
        <w:left w:val="none" w:sz="0" w:space="0" w:color="auto"/>
        <w:bottom w:val="none" w:sz="0" w:space="0" w:color="auto"/>
        <w:right w:val="none" w:sz="0" w:space="0" w:color="auto"/>
      </w:divBdr>
    </w:div>
    <w:div w:id="976842012">
      <w:marLeft w:val="0"/>
      <w:marRight w:val="0"/>
      <w:marTop w:val="0"/>
      <w:marBottom w:val="0"/>
      <w:divBdr>
        <w:top w:val="none" w:sz="0" w:space="0" w:color="auto"/>
        <w:left w:val="none" w:sz="0" w:space="0" w:color="auto"/>
        <w:bottom w:val="none" w:sz="0" w:space="0" w:color="auto"/>
        <w:right w:val="none" w:sz="0" w:space="0" w:color="auto"/>
      </w:divBdr>
    </w:div>
    <w:div w:id="981156118">
      <w:marLeft w:val="0"/>
      <w:marRight w:val="0"/>
      <w:marTop w:val="0"/>
      <w:marBottom w:val="0"/>
      <w:divBdr>
        <w:top w:val="none" w:sz="0" w:space="0" w:color="auto"/>
        <w:left w:val="none" w:sz="0" w:space="0" w:color="auto"/>
        <w:bottom w:val="none" w:sz="0" w:space="0" w:color="auto"/>
        <w:right w:val="none" w:sz="0" w:space="0" w:color="auto"/>
      </w:divBdr>
      <w:divsChild>
        <w:div w:id="2113669702">
          <w:marLeft w:val="0"/>
          <w:marRight w:val="0"/>
          <w:marTop w:val="0"/>
          <w:marBottom w:val="100"/>
          <w:divBdr>
            <w:top w:val="none" w:sz="0" w:space="0" w:color="auto"/>
            <w:left w:val="none" w:sz="0" w:space="0" w:color="auto"/>
            <w:bottom w:val="none" w:sz="0" w:space="0" w:color="auto"/>
            <w:right w:val="none" w:sz="0" w:space="0" w:color="auto"/>
          </w:divBdr>
        </w:div>
      </w:divsChild>
    </w:div>
    <w:div w:id="989410510">
      <w:marLeft w:val="0"/>
      <w:marRight w:val="0"/>
      <w:marTop w:val="100"/>
      <w:marBottom w:val="100"/>
      <w:divBdr>
        <w:top w:val="none" w:sz="0" w:space="0" w:color="auto"/>
        <w:left w:val="none" w:sz="0" w:space="0" w:color="auto"/>
        <w:bottom w:val="none" w:sz="0" w:space="0" w:color="auto"/>
        <w:right w:val="none" w:sz="0" w:space="0" w:color="auto"/>
      </w:divBdr>
    </w:div>
    <w:div w:id="991907411">
      <w:marLeft w:val="0"/>
      <w:marRight w:val="0"/>
      <w:marTop w:val="0"/>
      <w:marBottom w:val="0"/>
      <w:divBdr>
        <w:top w:val="none" w:sz="0" w:space="0" w:color="auto"/>
        <w:left w:val="none" w:sz="0" w:space="0" w:color="auto"/>
        <w:bottom w:val="none" w:sz="0" w:space="0" w:color="auto"/>
        <w:right w:val="none" w:sz="0" w:space="0" w:color="auto"/>
      </w:divBdr>
    </w:div>
    <w:div w:id="992103043">
      <w:marLeft w:val="0"/>
      <w:marRight w:val="0"/>
      <w:marTop w:val="0"/>
      <w:marBottom w:val="0"/>
      <w:divBdr>
        <w:top w:val="none" w:sz="0" w:space="0" w:color="auto"/>
        <w:left w:val="none" w:sz="0" w:space="0" w:color="auto"/>
        <w:bottom w:val="none" w:sz="0" w:space="0" w:color="auto"/>
        <w:right w:val="none" w:sz="0" w:space="0" w:color="auto"/>
      </w:divBdr>
    </w:div>
    <w:div w:id="993339552">
      <w:marLeft w:val="0"/>
      <w:marRight w:val="0"/>
      <w:marTop w:val="180"/>
      <w:marBottom w:val="0"/>
      <w:divBdr>
        <w:top w:val="none" w:sz="0" w:space="0" w:color="auto"/>
        <w:left w:val="none" w:sz="0" w:space="0" w:color="auto"/>
        <w:bottom w:val="none" w:sz="0" w:space="0" w:color="auto"/>
        <w:right w:val="none" w:sz="0" w:space="0" w:color="auto"/>
      </w:divBdr>
    </w:div>
    <w:div w:id="995307392">
      <w:marLeft w:val="0"/>
      <w:marRight w:val="0"/>
      <w:marTop w:val="100"/>
      <w:marBottom w:val="100"/>
      <w:divBdr>
        <w:top w:val="none" w:sz="0" w:space="0" w:color="auto"/>
        <w:left w:val="none" w:sz="0" w:space="0" w:color="auto"/>
        <w:bottom w:val="none" w:sz="0" w:space="0" w:color="auto"/>
        <w:right w:val="none" w:sz="0" w:space="0" w:color="auto"/>
      </w:divBdr>
    </w:div>
    <w:div w:id="1006251060">
      <w:marLeft w:val="0"/>
      <w:marRight w:val="0"/>
      <w:marTop w:val="180"/>
      <w:marBottom w:val="100"/>
      <w:divBdr>
        <w:top w:val="none" w:sz="0" w:space="0" w:color="auto"/>
        <w:left w:val="none" w:sz="0" w:space="0" w:color="auto"/>
        <w:bottom w:val="none" w:sz="0" w:space="0" w:color="auto"/>
        <w:right w:val="none" w:sz="0" w:space="0" w:color="auto"/>
      </w:divBdr>
    </w:div>
    <w:div w:id="1013604571">
      <w:marLeft w:val="0"/>
      <w:marRight w:val="0"/>
      <w:marTop w:val="0"/>
      <w:marBottom w:val="0"/>
      <w:divBdr>
        <w:top w:val="none" w:sz="0" w:space="0" w:color="auto"/>
        <w:left w:val="none" w:sz="0" w:space="0" w:color="auto"/>
        <w:bottom w:val="none" w:sz="0" w:space="0" w:color="auto"/>
        <w:right w:val="none" w:sz="0" w:space="0" w:color="auto"/>
      </w:divBdr>
    </w:div>
    <w:div w:id="1022976440">
      <w:marLeft w:val="0"/>
      <w:marRight w:val="0"/>
      <w:marTop w:val="0"/>
      <w:marBottom w:val="100"/>
      <w:divBdr>
        <w:top w:val="none" w:sz="0" w:space="0" w:color="auto"/>
        <w:left w:val="none" w:sz="0" w:space="0" w:color="auto"/>
        <w:bottom w:val="none" w:sz="0" w:space="0" w:color="auto"/>
        <w:right w:val="none" w:sz="0" w:space="0" w:color="auto"/>
      </w:divBdr>
    </w:div>
    <w:div w:id="1025330923">
      <w:marLeft w:val="0"/>
      <w:marRight w:val="0"/>
      <w:marTop w:val="0"/>
      <w:marBottom w:val="0"/>
      <w:divBdr>
        <w:top w:val="none" w:sz="0" w:space="0" w:color="auto"/>
        <w:left w:val="none" w:sz="0" w:space="0" w:color="auto"/>
        <w:bottom w:val="none" w:sz="0" w:space="0" w:color="auto"/>
        <w:right w:val="none" w:sz="0" w:space="0" w:color="auto"/>
      </w:divBdr>
      <w:divsChild>
        <w:div w:id="108621296">
          <w:marLeft w:val="0"/>
          <w:marRight w:val="0"/>
          <w:marTop w:val="0"/>
          <w:marBottom w:val="0"/>
          <w:divBdr>
            <w:top w:val="none" w:sz="0" w:space="0" w:color="auto"/>
            <w:left w:val="none" w:sz="0" w:space="0" w:color="auto"/>
            <w:bottom w:val="none" w:sz="0" w:space="0" w:color="auto"/>
            <w:right w:val="none" w:sz="0" w:space="0" w:color="auto"/>
          </w:divBdr>
          <w:divsChild>
            <w:div w:id="115791754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27214500">
      <w:marLeft w:val="0"/>
      <w:marRight w:val="0"/>
      <w:marTop w:val="180"/>
      <w:marBottom w:val="0"/>
      <w:divBdr>
        <w:top w:val="none" w:sz="0" w:space="0" w:color="auto"/>
        <w:left w:val="none" w:sz="0" w:space="0" w:color="auto"/>
        <w:bottom w:val="none" w:sz="0" w:space="0" w:color="auto"/>
        <w:right w:val="none" w:sz="0" w:space="0" w:color="auto"/>
      </w:divBdr>
    </w:div>
    <w:div w:id="1030494630">
      <w:marLeft w:val="0"/>
      <w:marRight w:val="0"/>
      <w:marTop w:val="100"/>
      <w:marBottom w:val="100"/>
      <w:divBdr>
        <w:top w:val="none" w:sz="0" w:space="0" w:color="auto"/>
        <w:left w:val="none" w:sz="0" w:space="0" w:color="auto"/>
        <w:bottom w:val="none" w:sz="0" w:space="0" w:color="auto"/>
        <w:right w:val="none" w:sz="0" w:space="0" w:color="auto"/>
      </w:divBdr>
    </w:div>
    <w:div w:id="1031145409">
      <w:marLeft w:val="0"/>
      <w:marRight w:val="0"/>
      <w:marTop w:val="0"/>
      <w:marBottom w:val="100"/>
      <w:divBdr>
        <w:top w:val="none" w:sz="0" w:space="0" w:color="auto"/>
        <w:left w:val="none" w:sz="0" w:space="0" w:color="auto"/>
        <w:bottom w:val="none" w:sz="0" w:space="0" w:color="auto"/>
        <w:right w:val="none" w:sz="0" w:space="0" w:color="auto"/>
      </w:divBdr>
    </w:div>
    <w:div w:id="1032728765">
      <w:marLeft w:val="0"/>
      <w:marRight w:val="0"/>
      <w:marTop w:val="0"/>
      <w:marBottom w:val="100"/>
      <w:divBdr>
        <w:top w:val="none" w:sz="0" w:space="0" w:color="auto"/>
        <w:left w:val="none" w:sz="0" w:space="0" w:color="auto"/>
        <w:bottom w:val="none" w:sz="0" w:space="0" w:color="auto"/>
        <w:right w:val="none" w:sz="0" w:space="0" w:color="auto"/>
      </w:divBdr>
    </w:div>
    <w:div w:id="1033312329">
      <w:marLeft w:val="0"/>
      <w:marRight w:val="0"/>
      <w:marTop w:val="0"/>
      <w:marBottom w:val="100"/>
      <w:divBdr>
        <w:top w:val="none" w:sz="0" w:space="0" w:color="auto"/>
        <w:left w:val="none" w:sz="0" w:space="0" w:color="auto"/>
        <w:bottom w:val="none" w:sz="0" w:space="0" w:color="auto"/>
        <w:right w:val="none" w:sz="0" w:space="0" w:color="auto"/>
      </w:divBdr>
    </w:div>
    <w:div w:id="1057050117">
      <w:marLeft w:val="0"/>
      <w:marRight w:val="0"/>
      <w:marTop w:val="100"/>
      <w:marBottom w:val="100"/>
      <w:divBdr>
        <w:top w:val="none" w:sz="0" w:space="0" w:color="auto"/>
        <w:left w:val="none" w:sz="0" w:space="0" w:color="auto"/>
        <w:bottom w:val="none" w:sz="0" w:space="0" w:color="auto"/>
        <w:right w:val="none" w:sz="0" w:space="0" w:color="auto"/>
      </w:divBdr>
    </w:div>
    <w:div w:id="1057777797">
      <w:marLeft w:val="0"/>
      <w:marRight w:val="0"/>
      <w:marTop w:val="0"/>
      <w:marBottom w:val="0"/>
      <w:divBdr>
        <w:top w:val="none" w:sz="0" w:space="0" w:color="auto"/>
        <w:left w:val="none" w:sz="0" w:space="0" w:color="auto"/>
        <w:bottom w:val="none" w:sz="0" w:space="0" w:color="auto"/>
        <w:right w:val="none" w:sz="0" w:space="0" w:color="auto"/>
      </w:divBdr>
      <w:divsChild>
        <w:div w:id="1135298056">
          <w:marLeft w:val="0"/>
          <w:marRight w:val="0"/>
          <w:marTop w:val="0"/>
          <w:marBottom w:val="0"/>
          <w:divBdr>
            <w:top w:val="none" w:sz="0" w:space="0" w:color="auto"/>
            <w:left w:val="none" w:sz="0" w:space="0" w:color="auto"/>
            <w:bottom w:val="none" w:sz="0" w:space="0" w:color="auto"/>
            <w:right w:val="none" w:sz="0" w:space="0" w:color="auto"/>
          </w:divBdr>
          <w:divsChild>
            <w:div w:id="21237180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78595827">
      <w:marLeft w:val="0"/>
      <w:marRight w:val="0"/>
      <w:marTop w:val="0"/>
      <w:marBottom w:val="100"/>
      <w:divBdr>
        <w:top w:val="none" w:sz="0" w:space="0" w:color="auto"/>
        <w:left w:val="none" w:sz="0" w:space="0" w:color="auto"/>
        <w:bottom w:val="none" w:sz="0" w:space="0" w:color="auto"/>
        <w:right w:val="none" w:sz="0" w:space="0" w:color="auto"/>
      </w:divBdr>
    </w:div>
    <w:div w:id="1086805300">
      <w:marLeft w:val="0"/>
      <w:marRight w:val="0"/>
      <w:marTop w:val="0"/>
      <w:marBottom w:val="100"/>
      <w:divBdr>
        <w:top w:val="none" w:sz="0" w:space="0" w:color="auto"/>
        <w:left w:val="none" w:sz="0" w:space="0" w:color="auto"/>
        <w:bottom w:val="none" w:sz="0" w:space="0" w:color="auto"/>
        <w:right w:val="none" w:sz="0" w:space="0" w:color="auto"/>
      </w:divBdr>
    </w:div>
    <w:div w:id="1091703784">
      <w:marLeft w:val="0"/>
      <w:marRight w:val="0"/>
      <w:marTop w:val="100"/>
      <w:marBottom w:val="100"/>
      <w:divBdr>
        <w:top w:val="none" w:sz="0" w:space="0" w:color="auto"/>
        <w:left w:val="none" w:sz="0" w:space="0" w:color="auto"/>
        <w:bottom w:val="none" w:sz="0" w:space="0" w:color="auto"/>
        <w:right w:val="none" w:sz="0" w:space="0" w:color="auto"/>
      </w:divBdr>
    </w:div>
    <w:div w:id="1094327701">
      <w:marLeft w:val="0"/>
      <w:marRight w:val="0"/>
      <w:marTop w:val="0"/>
      <w:marBottom w:val="0"/>
      <w:divBdr>
        <w:top w:val="none" w:sz="0" w:space="0" w:color="auto"/>
        <w:left w:val="none" w:sz="0" w:space="0" w:color="auto"/>
        <w:bottom w:val="none" w:sz="0" w:space="0" w:color="auto"/>
        <w:right w:val="none" w:sz="0" w:space="0" w:color="auto"/>
      </w:divBdr>
      <w:divsChild>
        <w:div w:id="1845053140">
          <w:marLeft w:val="0"/>
          <w:marRight w:val="0"/>
          <w:marTop w:val="0"/>
          <w:marBottom w:val="100"/>
          <w:divBdr>
            <w:top w:val="none" w:sz="0" w:space="0" w:color="auto"/>
            <w:left w:val="none" w:sz="0" w:space="0" w:color="auto"/>
            <w:bottom w:val="none" w:sz="0" w:space="0" w:color="auto"/>
            <w:right w:val="none" w:sz="0" w:space="0" w:color="auto"/>
          </w:divBdr>
        </w:div>
      </w:divsChild>
    </w:div>
    <w:div w:id="1097945781">
      <w:marLeft w:val="0"/>
      <w:marRight w:val="0"/>
      <w:marTop w:val="0"/>
      <w:marBottom w:val="0"/>
      <w:divBdr>
        <w:top w:val="none" w:sz="0" w:space="0" w:color="auto"/>
        <w:left w:val="none" w:sz="0" w:space="0" w:color="auto"/>
        <w:bottom w:val="none" w:sz="0" w:space="0" w:color="auto"/>
        <w:right w:val="none" w:sz="0" w:space="0" w:color="auto"/>
      </w:divBdr>
    </w:div>
    <w:div w:id="1106541141">
      <w:marLeft w:val="0"/>
      <w:marRight w:val="0"/>
      <w:marTop w:val="0"/>
      <w:marBottom w:val="0"/>
      <w:divBdr>
        <w:top w:val="none" w:sz="0" w:space="0" w:color="auto"/>
        <w:left w:val="none" w:sz="0" w:space="0" w:color="auto"/>
        <w:bottom w:val="none" w:sz="0" w:space="0" w:color="auto"/>
        <w:right w:val="none" w:sz="0" w:space="0" w:color="auto"/>
      </w:divBdr>
      <w:divsChild>
        <w:div w:id="620458651">
          <w:marLeft w:val="0"/>
          <w:marRight w:val="0"/>
          <w:marTop w:val="0"/>
          <w:marBottom w:val="100"/>
          <w:divBdr>
            <w:top w:val="none" w:sz="0" w:space="0" w:color="auto"/>
            <w:left w:val="none" w:sz="0" w:space="0" w:color="auto"/>
            <w:bottom w:val="none" w:sz="0" w:space="0" w:color="auto"/>
            <w:right w:val="none" w:sz="0" w:space="0" w:color="auto"/>
          </w:divBdr>
        </w:div>
      </w:divsChild>
    </w:div>
    <w:div w:id="1107382120">
      <w:marLeft w:val="0"/>
      <w:marRight w:val="0"/>
      <w:marTop w:val="0"/>
      <w:marBottom w:val="0"/>
      <w:divBdr>
        <w:top w:val="none" w:sz="0" w:space="0" w:color="auto"/>
        <w:left w:val="none" w:sz="0" w:space="0" w:color="auto"/>
        <w:bottom w:val="none" w:sz="0" w:space="0" w:color="auto"/>
        <w:right w:val="none" w:sz="0" w:space="0" w:color="auto"/>
      </w:divBdr>
    </w:div>
    <w:div w:id="1110854904">
      <w:marLeft w:val="0"/>
      <w:marRight w:val="0"/>
      <w:marTop w:val="100"/>
      <w:marBottom w:val="100"/>
      <w:divBdr>
        <w:top w:val="none" w:sz="0" w:space="0" w:color="auto"/>
        <w:left w:val="none" w:sz="0" w:space="0" w:color="auto"/>
        <w:bottom w:val="none" w:sz="0" w:space="0" w:color="auto"/>
        <w:right w:val="none" w:sz="0" w:space="0" w:color="auto"/>
      </w:divBdr>
    </w:div>
    <w:div w:id="1111167731">
      <w:marLeft w:val="0"/>
      <w:marRight w:val="0"/>
      <w:marTop w:val="180"/>
      <w:marBottom w:val="0"/>
      <w:divBdr>
        <w:top w:val="none" w:sz="0" w:space="0" w:color="auto"/>
        <w:left w:val="none" w:sz="0" w:space="0" w:color="auto"/>
        <w:bottom w:val="none" w:sz="0" w:space="0" w:color="auto"/>
        <w:right w:val="none" w:sz="0" w:space="0" w:color="auto"/>
      </w:divBdr>
    </w:div>
    <w:div w:id="1114251502">
      <w:marLeft w:val="0"/>
      <w:marRight w:val="0"/>
      <w:marTop w:val="0"/>
      <w:marBottom w:val="0"/>
      <w:divBdr>
        <w:top w:val="none" w:sz="0" w:space="0" w:color="auto"/>
        <w:left w:val="none" w:sz="0" w:space="0" w:color="auto"/>
        <w:bottom w:val="none" w:sz="0" w:space="0" w:color="auto"/>
        <w:right w:val="none" w:sz="0" w:space="0" w:color="auto"/>
      </w:divBdr>
    </w:div>
    <w:div w:id="1117020176">
      <w:marLeft w:val="0"/>
      <w:marRight w:val="0"/>
      <w:marTop w:val="0"/>
      <w:marBottom w:val="0"/>
      <w:divBdr>
        <w:top w:val="none" w:sz="0" w:space="0" w:color="auto"/>
        <w:left w:val="none" w:sz="0" w:space="0" w:color="auto"/>
        <w:bottom w:val="none" w:sz="0" w:space="0" w:color="auto"/>
        <w:right w:val="none" w:sz="0" w:space="0" w:color="auto"/>
      </w:divBdr>
      <w:divsChild>
        <w:div w:id="1239514069">
          <w:marLeft w:val="0"/>
          <w:marRight w:val="0"/>
          <w:marTop w:val="0"/>
          <w:marBottom w:val="0"/>
          <w:divBdr>
            <w:top w:val="none" w:sz="0" w:space="0" w:color="auto"/>
            <w:left w:val="none" w:sz="0" w:space="0" w:color="auto"/>
            <w:bottom w:val="none" w:sz="0" w:space="0" w:color="auto"/>
            <w:right w:val="none" w:sz="0" w:space="0" w:color="auto"/>
          </w:divBdr>
          <w:divsChild>
            <w:div w:id="175199778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18599519">
      <w:marLeft w:val="0"/>
      <w:marRight w:val="0"/>
      <w:marTop w:val="0"/>
      <w:marBottom w:val="100"/>
      <w:divBdr>
        <w:top w:val="none" w:sz="0" w:space="0" w:color="auto"/>
        <w:left w:val="none" w:sz="0" w:space="0" w:color="auto"/>
        <w:bottom w:val="none" w:sz="0" w:space="0" w:color="auto"/>
        <w:right w:val="none" w:sz="0" w:space="0" w:color="auto"/>
      </w:divBdr>
    </w:div>
    <w:div w:id="1119954309">
      <w:marLeft w:val="0"/>
      <w:marRight w:val="0"/>
      <w:marTop w:val="0"/>
      <w:marBottom w:val="0"/>
      <w:divBdr>
        <w:top w:val="none" w:sz="0" w:space="0" w:color="auto"/>
        <w:left w:val="none" w:sz="0" w:space="0" w:color="auto"/>
        <w:bottom w:val="none" w:sz="0" w:space="0" w:color="auto"/>
        <w:right w:val="none" w:sz="0" w:space="0" w:color="auto"/>
      </w:divBdr>
      <w:divsChild>
        <w:div w:id="1411656408">
          <w:marLeft w:val="0"/>
          <w:marRight w:val="0"/>
          <w:marTop w:val="0"/>
          <w:marBottom w:val="100"/>
          <w:divBdr>
            <w:top w:val="none" w:sz="0" w:space="0" w:color="auto"/>
            <w:left w:val="none" w:sz="0" w:space="0" w:color="auto"/>
            <w:bottom w:val="none" w:sz="0" w:space="0" w:color="auto"/>
            <w:right w:val="none" w:sz="0" w:space="0" w:color="auto"/>
          </w:divBdr>
        </w:div>
      </w:divsChild>
    </w:div>
    <w:div w:id="1124228267">
      <w:marLeft w:val="0"/>
      <w:marRight w:val="0"/>
      <w:marTop w:val="100"/>
      <w:marBottom w:val="100"/>
      <w:divBdr>
        <w:top w:val="none" w:sz="0" w:space="0" w:color="auto"/>
        <w:left w:val="none" w:sz="0" w:space="0" w:color="auto"/>
        <w:bottom w:val="none" w:sz="0" w:space="0" w:color="auto"/>
        <w:right w:val="none" w:sz="0" w:space="0" w:color="auto"/>
      </w:divBdr>
    </w:div>
    <w:div w:id="1129279895">
      <w:marLeft w:val="0"/>
      <w:marRight w:val="0"/>
      <w:marTop w:val="0"/>
      <w:marBottom w:val="0"/>
      <w:divBdr>
        <w:top w:val="none" w:sz="0" w:space="0" w:color="auto"/>
        <w:left w:val="none" w:sz="0" w:space="0" w:color="auto"/>
        <w:bottom w:val="none" w:sz="0" w:space="0" w:color="auto"/>
        <w:right w:val="none" w:sz="0" w:space="0" w:color="auto"/>
      </w:divBdr>
      <w:divsChild>
        <w:div w:id="1448815420">
          <w:marLeft w:val="0"/>
          <w:marRight w:val="0"/>
          <w:marTop w:val="0"/>
          <w:marBottom w:val="100"/>
          <w:divBdr>
            <w:top w:val="none" w:sz="0" w:space="0" w:color="auto"/>
            <w:left w:val="none" w:sz="0" w:space="0" w:color="auto"/>
            <w:bottom w:val="none" w:sz="0" w:space="0" w:color="auto"/>
            <w:right w:val="none" w:sz="0" w:space="0" w:color="auto"/>
          </w:divBdr>
        </w:div>
      </w:divsChild>
    </w:div>
    <w:div w:id="1134758261">
      <w:marLeft w:val="0"/>
      <w:marRight w:val="0"/>
      <w:marTop w:val="0"/>
      <w:marBottom w:val="0"/>
      <w:divBdr>
        <w:top w:val="none" w:sz="0" w:space="0" w:color="auto"/>
        <w:left w:val="none" w:sz="0" w:space="0" w:color="auto"/>
        <w:bottom w:val="none" w:sz="0" w:space="0" w:color="auto"/>
        <w:right w:val="none" w:sz="0" w:space="0" w:color="auto"/>
      </w:divBdr>
      <w:divsChild>
        <w:div w:id="900754451">
          <w:marLeft w:val="0"/>
          <w:marRight w:val="0"/>
          <w:marTop w:val="0"/>
          <w:marBottom w:val="100"/>
          <w:divBdr>
            <w:top w:val="none" w:sz="0" w:space="0" w:color="auto"/>
            <w:left w:val="none" w:sz="0" w:space="0" w:color="auto"/>
            <w:bottom w:val="none" w:sz="0" w:space="0" w:color="auto"/>
            <w:right w:val="none" w:sz="0" w:space="0" w:color="auto"/>
          </w:divBdr>
        </w:div>
      </w:divsChild>
    </w:div>
    <w:div w:id="1140076739">
      <w:marLeft w:val="0"/>
      <w:marRight w:val="0"/>
      <w:marTop w:val="100"/>
      <w:marBottom w:val="0"/>
      <w:divBdr>
        <w:top w:val="none" w:sz="0" w:space="0" w:color="auto"/>
        <w:left w:val="none" w:sz="0" w:space="0" w:color="auto"/>
        <w:bottom w:val="none" w:sz="0" w:space="0" w:color="auto"/>
        <w:right w:val="none" w:sz="0" w:space="0" w:color="auto"/>
      </w:divBdr>
    </w:div>
    <w:div w:id="1142193339">
      <w:marLeft w:val="0"/>
      <w:marRight w:val="0"/>
      <w:marTop w:val="0"/>
      <w:marBottom w:val="100"/>
      <w:divBdr>
        <w:top w:val="none" w:sz="0" w:space="0" w:color="auto"/>
        <w:left w:val="none" w:sz="0" w:space="0" w:color="auto"/>
        <w:bottom w:val="none" w:sz="0" w:space="0" w:color="auto"/>
        <w:right w:val="none" w:sz="0" w:space="0" w:color="auto"/>
      </w:divBdr>
    </w:div>
    <w:div w:id="1143959222">
      <w:marLeft w:val="0"/>
      <w:marRight w:val="0"/>
      <w:marTop w:val="100"/>
      <w:marBottom w:val="100"/>
      <w:divBdr>
        <w:top w:val="none" w:sz="0" w:space="0" w:color="auto"/>
        <w:left w:val="none" w:sz="0" w:space="0" w:color="auto"/>
        <w:bottom w:val="none" w:sz="0" w:space="0" w:color="auto"/>
        <w:right w:val="none" w:sz="0" w:space="0" w:color="auto"/>
      </w:divBdr>
    </w:div>
    <w:div w:id="1145733072">
      <w:marLeft w:val="0"/>
      <w:marRight w:val="0"/>
      <w:marTop w:val="100"/>
      <w:marBottom w:val="100"/>
      <w:divBdr>
        <w:top w:val="none" w:sz="0" w:space="0" w:color="auto"/>
        <w:left w:val="none" w:sz="0" w:space="0" w:color="auto"/>
        <w:bottom w:val="none" w:sz="0" w:space="0" w:color="auto"/>
        <w:right w:val="none" w:sz="0" w:space="0" w:color="auto"/>
      </w:divBdr>
      <w:divsChild>
        <w:div w:id="879051033">
          <w:marLeft w:val="0"/>
          <w:marRight w:val="0"/>
          <w:marTop w:val="0"/>
          <w:marBottom w:val="0"/>
          <w:divBdr>
            <w:top w:val="none" w:sz="0" w:space="0" w:color="auto"/>
            <w:left w:val="none" w:sz="0" w:space="0" w:color="auto"/>
            <w:bottom w:val="none" w:sz="0" w:space="0" w:color="auto"/>
            <w:right w:val="none" w:sz="0" w:space="0" w:color="auto"/>
          </w:divBdr>
        </w:div>
        <w:div w:id="1900628705">
          <w:marLeft w:val="0"/>
          <w:marRight w:val="0"/>
          <w:marTop w:val="0"/>
          <w:marBottom w:val="0"/>
          <w:divBdr>
            <w:top w:val="none" w:sz="0" w:space="0" w:color="auto"/>
            <w:left w:val="none" w:sz="0" w:space="0" w:color="auto"/>
            <w:bottom w:val="none" w:sz="0" w:space="0" w:color="auto"/>
            <w:right w:val="none" w:sz="0" w:space="0" w:color="auto"/>
          </w:divBdr>
        </w:div>
        <w:div w:id="750155122">
          <w:marLeft w:val="0"/>
          <w:marRight w:val="0"/>
          <w:marTop w:val="0"/>
          <w:marBottom w:val="0"/>
          <w:divBdr>
            <w:top w:val="none" w:sz="0" w:space="0" w:color="auto"/>
            <w:left w:val="none" w:sz="0" w:space="0" w:color="auto"/>
            <w:bottom w:val="none" w:sz="0" w:space="0" w:color="auto"/>
            <w:right w:val="none" w:sz="0" w:space="0" w:color="auto"/>
          </w:divBdr>
        </w:div>
        <w:div w:id="912817418">
          <w:marLeft w:val="0"/>
          <w:marRight w:val="0"/>
          <w:marTop w:val="0"/>
          <w:marBottom w:val="0"/>
          <w:divBdr>
            <w:top w:val="none" w:sz="0" w:space="0" w:color="auto"/>
            <w:left w:val="none" w:sz="0" w:space="0" w:color="auto"/>
            <w:bottom w:val="none" w:sz="0" w:space="0" w:color="auto"/>
            <w:right w:val="none" w:sz="0" w:space="0" w:color="auto"/>
          </w:divBdr>
        </w:div>
        <w:div w:id="158431123">
          <w:marLeft w:val="0"/>
          <w:marRight w:val="0"/>
          <w:marTop w:val="0"/>
          <w:marBottom w:val="0"/>
          <w:divBdr>
            <w:top w:val="none" w:sz="0" w:space="0" w:color="auto"/>
            <w:left w:val="none" w:sz="0" w:space="0" w:color="auto"/>
            <w:bottom w:val="none" w:sz="0" w:space="0" w:color="auto"/>
            <w:right w:val="none" w:sz="0" w:space="0" w:color="auto"/>
          </w:divBdr>
        </w:div>
        <w:div w:id="2082942215">
          <w:marLeft w:val="0"/>
          <w:marRight w:val="0"/>
          <w:marTop w:val="0"/>
          <w:marBottom w:val="0"/>
          <w:divBdr>
            <w:top w:val="none" w:sz="0" w:space="0" w:color="auto"/>
            <w:left w:val="none" w:sz="0" w:space="0" w:color="auto"/>
            <w:bottom w:val="none" w:sz="0" w:space="0" w:color="auto"/>
            <w:right w:val="none" w:sz="0" w:space="0" w:color="auto"/>
          </w:divBdr>
        </w:div>
        <w:div w:id="1887327911">
          <w:marLeft w:val="0"/>
          <w:marRight w:val="0"/>
          <w:marTop w:val="0"/>
          <w:marBottom w:val="0"/>
          <w:divBdr>
            <w:top w:val="none" w:sz="0" w:space="0" w:color="auto"/>
            <w:left w:val="none" w:sz="0" w:space="0" w:color="auto"/>
            <w:bottom w:val="none" w:sz="0" w:space="0" w:color="auto"/>
            <w:right w:val="none" w:sz="0" w:space="0" w:color="auto"/>
          </w:divBdr>
        </w:div>
        <w:div w:id="1788356859">
          <w:marLeft w:val="0"/>
          <w:marRight w:val="0"/>
          <w:marTop w:val="0"/>
          <w:marBottom w:val="0"/>
          <w:divBdr>
            <w:top w:val="none" w:sz="0" w:space="0" w:color="auto"/>
            <w:left w:val="none" w:sz="0" w:space="0" w:color="auto"/>
            <w:bottom w:val="none" w:sz="0" w:space="0" w:color="auto"/>
            <w:right w:val="none" w:sz="0" w:space="0" w:color="auto"/>
          </w:divBdr>
        </w:div>
        <w:div w:id="981497822">
          <w:marLeft w:val="0"/>
          <w:marRight w:val="0"/>
          <w:marTop w:val="0"/>
          <w:marBottom w:val="0"/>
          <w:divBdr>
            <w:top w:val="none" w:sz="0" w:space="0" w:color="auto"/>
            <w:left w:val="none" w:sz="0" w:space="0" w:color="auto"/>
            <w:bottom w:val="none" w:sz="0" w:space="0" w:color="auto"/>
            <w:right w:val="none" w:sz="0" w:space="0" w:color="auto"/>
          </w:divBdr>
        </w:div>
        <w:div w:id="673150001">
          <w:marLeft w:val="0"/>
          <w:marRight w:val="0"/>
          <w:marTop w:val="0"/>
          <w:marBottom w:val="0"/>
          <w:divBdr>
            <w:top w:val="none" w:sz="0" w:space="0" w:color="auto"/>
            <w:left w:val="none" w:sz="0" w:space="0" w:color="auto"/>
            <w:bottom w:val="none" w:sz="0" w:space="0" w:color="auto"/>
            <w:right w:val="none" w:sz="0" w:space="0" w:color="auto"/>
          </w:divBdr>
        </w:div>
        <w:div w:id="460001712">
          <w:marLeft w:val="0"/>
          <w:marRight w:val="0"/>
          <w:marTop w:val="0"/>
          <w:marBottom w:val="0"/>
          <w:divBdr>
            <w:top w:val="none" w:sz="0" w:space="0" w:color="auto"/>
            <w:left w:val="none" w:sz="0" w:space="0" w:color="auto"/>
            <w:bottom w:val="none" w:sz="0" w:space="0" w:color="auto"/>
            <w:right w:val="none" w:sz="0" w:space="0" w:color="auto"/>
          </w:divBdr>
        </w:div>
        <w:div w:id="455828808">
          <w:marLeft w:val="0"/>
          <w:marRight w:val="0"/>
          <w:marTop w:val="0"/>
          <w:marBottom w:val="0"/>
          <w:divBdr>
            <w:top w:val="none" w:sz="0" w:space="0" w:color="auto"/>
            <w:left w:val="none" w:sz="0" w:space="0" w:color="auto"/>
            <w:bottom w:val="none" w:sz="0" w:space="0" w:color="auto"/>
            <w:right w:val="none" w:sz="0" w:space="0" w:color="auto"/>
          </w:divBdr>
        </w:div>
        <w:div w:id="708603530">
          <w:marLeft w:val="0"/>
          <w:marRight w:val="0"/>
          <w:marTop w:val="0"/>
          <w:marBottom w:val="0"/>
          <w:divBdr>
            <w:top w:val="none" w:sz="0" w:space="0" w:color="auto"/>
            <w:left w:val="none" w:sz="0" w:space="0" w:color="auto"/>
            <w:bottom w:val="none" w:sz="0" w:space="0" w:color="auto"/>
            <w:right w:val="none" w:sz="0" w:space="0" w:color="auto"/>
          </w:divBdr>
        </w:div>
        <w:div w:id="1011100416">
          <w:marLeft w:val="0"/>
          <w:marRight w:val="0"/>
          <w:marTop w:val="0"/>
          <w:marBottom w:val="0"/>
          <w:divBdr>
            <w:top w:val="none" w:sz="0" w:space="0" w:color="auto"/>
            <w:left w:val="none" w:sz="0" w:space="0" w:color="auto"/>
            <w:bottom w:val="none" w:sz="0" w:space="0" w:color="auto"/>
            <w:right w:val="none" w:sz="0" w:space="0" w:color="auto"/>
          </w:divBdr>
        </w:div>
        <w:div w:id="1096830198">
          <w:marLeft w:val="0"/>
          <w:marRight w:val="0"/>
          <w:marTop w:val="0"/>
          <w:marBottom w:val="0"/>
          <w:divBdr>
            <w:top w:val="none" w:sz="0" w:space="0" w:color="auto"/>
            <w:left w:val="none" w:sz="0" w:space="0" w:color="auto"/>
            <w:bottom w:val="none" w:sz="0" w:space="0" w:color="auto"/>
            <w:right w:val="none" w:sz="0" w:space="0" w:color="auto"/>
          </w:divBdr>
        </w:div>
        <w:div w:id="178814550">
          <w:marLeft w:val="0"/>
          <w:marRight w:val="0"/>
          <w:marTop w:val="0"/>
          <w:marBottom w:val="0"/>
          <w:divBdr>
            <w:top w:val="none" w:sz="0" w:space="0" w:color="auto"/>
            <w:left w:val="none" w:sz="0" w:space="0" w:color="auto"/>
            <w:bottom w:val="none" w:sz="0" w:space="0" w:color="auto"/>
            <w:right w:val="none" w:sz="0" w:space="0" w:color="auto"/>
          </w:divBdr>
        </w:div>
        <w:div w:id="1363824279">
          <w:marLeft w:val="0"/>
          <w:marRight w:val="0"/>
          <w:marTop w:val="0"/>
          <w:marBottom w:val="0"/>
          <w:divBdr>
            <w:top w:val="none" w:sz="0" w:space="0" w:color="auto"/>
            <w:left w:val="none" w:sz="0" w:space="0" w:color="auto"/>
            <w:bottom w:val="none" w:sz="0" w:space="0" w:color="auto"/>
            <w:right w:val="none" w:sz="0" w:space="0" w:color="auto"/>
          </w:divBdr>
        </w:div>
        <w:div w:id="434180715">
          <w:marLeft w:val="0"/>
          <w:marRight w:val="0"/>
          <w:marTop w:val="0"/>
          <w:marBottom w:val="0"/>
          <w:divBdr>
            <w:top w:val="none" w:sz="0" w:space="0" w:color="auto"/>
            <w:left w:val="none" w:sz="0" w:space="0" w:color="auto"/>
            <w:bottom w:val="none" w:sz="0" w:space="0" w:color="auto"/>
            <w:right w:val="none" w:sz="0" w:space="0" w:color="auto"/>
          </w:divBdr>
        </w:div>
      </w:divsChild>
    </w:div>
    <w:div w:id="1157260673">
      <w:marLeft w:val="0"/>
      <w:marRight w:val="0"/>
      <w:marTop w:val="340"/>
      <w:marBottom w:val="340"/>
      <w:divBdr>
        <w:top w:val="none" w:sz="0" w:space="0" w:color="auto"/>
        <w:left w:val="none" w:sz="0" w:space="0" w:color="auto"/>
        <w:bottom w:val="none" w:sz="0" w:space="0" w:color="auto"/>
        <w:right w:val="none" w:sz="0" w:space="0" w:color="auto"/>
      </w:divBdr>
    </w:div>
    <w:div w:id="1159884425">
      <w:marLeft w:val="0"/>
      <w:marRight w:val="0"/>
      <w:marTop w:val="0"/>
      <w:marBottom w:val="0"/>
      <w:divBdr>
        <w:top w:val="none" w:sz="0" w:space="0" w:color="auto"/>
        <w:left w:val="none" w:sz="0" w:space="0" w:color="auto"/>
        <w:bottom w:val="none" w:sz="0" w:space="0" w:color="auto"/>
        <w:right w:val="none" w:sz="0" w:space="0" w:color="auto"/>
      </w:divBdr>
    </w:div>
    <w:div w:id="1161892061">
      <w:marLeft w:val="0"/>
      <w:marRight w:val="0"/>
      <w:marTop w:val="0"/>
      <w:marBottom w:val="0"/>
      <w:divBdr>
        <w:top w:val="none" w:sz="0" w:space="0" w:color="auto"/>
        <w:left w:val="none" w:sz="0" w:space="0" w:color="auto"/>
        <w:bottom w:val="none" w:sz="0" w:space="0" w:color="auto"/>
        <w:right w:val="none" w:sz="0" w:space="0" w:color="auto"/>
      </w:divBdr>
      <w:divsChild>
        <w:div w:id="1164734850">
          <w:marLeft w:val="0"/>
          <w:marRight w:val="0"/>
          <w:marTop w:val="0"/>
          <w:marBottom w:val="0"/>
          <w:divBdr>
            <w:top w:val="none" w:sz="0" w:space="0" w:color="auto"/>
            <w:left w:val="none" w:sz="0" w:space="0" w:color="auto"/>
            <w:bottom w:val="none" w:sz="0" w:space="0" w:color="auto"/>
            <w:right w:val="none" w:sz="0" w:space="0" w:color="auto"/>
          </w:divBdr>
          <w:divsChild>
            <w:div w:id="14813112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64322457">
      <w:marLeft w:val="0"/>
      <w:marRight w:val="0"/>
      <w:marTop w:val="0"/>
      <w:marBottom w:val="0"/>
      <w:divBdr>
        <w:top w:val="none" w:sz="0" w:space="0" w:color="auto"/>
        <w:left w:val="none" w:sz="0" w:space="0" w:color="auto"/>
        <w:bottom w:val="none" w:sz="0" w:space="0" w:color="auto"/>
        <w:right w:val="none" w:sz="0" w:space="0" w:color="auto"/>
      </w:divBdr>
      <w:divsChild>
        <w:div w:id="120463217">
          <w:marLeft w:val="0"/>
          <w:marRight w:val="0"/>
          <w:marTop w:val="0"/>
          <w:marBottom w:val="0"/>
          <w:divBdr>
            <w:top w:val="none" w:sz="0" w:space="0" w:color="auto"/>
            <w:left w:val="none" w:sz="0" w:space="0" w:color="auto"/>
            <w:bottom w:val="none" w:sz="0" w:space="0" w:color="auto"/>
            <w:right w:val="none" w:sz="0" w:space="0" w:color="auto"/>
          </w:divBdr>
          <w:divsChild>
            <w:div w:id="4934942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69977951">
      <w:marLeft w:val="0"/>
      <w:marRight w:val="0"/>
      <w:marTop w:val="0"/>
      <w:marBottom w:val="0"/>
      <w:divBdr>
        <w:top w:val="none" w:sz="0" w:space="0" w:color="auto"/>
        <w:left w:val="none" w:sz="0" w:space="0" w:color="auto"/>
        <w:bottom w:val="none" w:sz="0" w:space="0" w:color="auto"/>
        <w:right w:val="none" w:sz="0" w:space="0" w:color="auto"/>
      </w:divBdr>
    </w:div>
    <w:div w:id="1171719947">
      <w:marLeft w:val="0"/>
      <w:marRight w:val="0"/>
      <w:marTop w:val="0"/>
      <w:marBottom w:val="100"/>
      <w:divBdr>
        <w:top w:val="none" w:sz="0" w:space="0" w:color="auto"/>
        <w:left w:val="none" w:sz="0" w:space="0" w:color="auto"/>
        <w:bottom w:val="none" w:sz="0" w:space="0" w:color="auto"/>
        <w:right w:val="none" w:sz="0" w:space="0" w:color="auto"/>
      </w:divBdr>
    </w:div>
    <w:div w:id="1184590637">
      <w:marLeft w:val="0"/>
      <w:marRight w:val="0"/>
      <w:marTop w:val="0"/>
      <w:marBottom w:val="100"/>
      <w:divBdr>
        <w:top w:val="none" w:sz="0" w:space="0" w:color="auto"/>
        <w:left w:val="none" w:sz="0" w:space="0" w:color="auto"/>
        <w:bottom w:val="none" w:sz="0" w:space="0" w:color="auto"/>
        <w:right w:val="none" w:sz="0" w:space="0" w:color="auto"/>
      </w:divBdr>
    </w:div>
    <w:div w:id="1194000654">
      <w:marLeft w:val="0"/>
      <w:marRight w:val="0"/>
      <w:marTop w:val="180"/>
      <w:marBottom w:val="0"/>
      <w:divBdr>
        <w:top w:val="none" w:sz="0" w:space="0" w:color="auto"/>
        <w:left w:val="none" w:sz="0" w:space="0" w:color="auto"/>
        <w:bottom w:val="none" w:sz="0" w:space="0" w:color="auto"/>
        <w:right w:val="none" w:sz="0" w:space="0" w:color="auto"/>
      </w:divBdr>
    </w:div>
    <w:div w:id="1198276271">
      <w:marLeft w:val="0"/>
      <w:marRight w:val="0"/>
      <w:marTop w:val="100"/>
      <w:marBottom w:val="100"/>
      <w:divBdr>
        <w:top w:val="none" w:sz="0" w:space="0" w:color="auto"/>
        <w:left w:val="none" w:sz="0" w:space="0" w:color="auto"/>
        <w:bottom w:val="none" w:sz="0" w:space="0" w:color="auto"/>
        <w:right w:val="none" w:sz="0" w:space="0" w:color="auto"/>
      </w:divBdr>
    </w:div>
    <w:div w:id="1202323871">
      <w:marLeft w:val="0"/>
      <w:marRight w:val="0"/>
      <w:marTop w:val="0"/>
      <w:marBottom w:val="0"/>
      <w:divBdr>
        <w:top w:val="none" w:sz="0" w:space="0" w:color="auto"/>
        <w:left w:val="none" w:sz="0" w:space="0" w:color="auto"/>
        <w:bottom w:val="none" w:sz="0" w:space="0" w:color="auto"/>
        <w:right w:val="none" w:sz="0" w:space="0" w:color="auto"/>
      </w:divBdr>
      <w:divsChild>
        <w:div w:id="1529249212">
          <w:marLeft w:val="0"/>
          <w:marRight w:val="0"/>
          <w:marTop w:val="0"/>
          <w:marBottom w:val="100"/>
          <w:divBdr>
            <w:top w:val="none" w:sz="0" w:space="0" w:color="auto"/>
            <w:left w:val="none" w:sz="0" w:space="0" w:color="auto"/>
            <w:bottom w:val="none" w:sz="0" w:space="0" w:color="auto"/>
            <w:right w:val="none" w:sz="0" w:space="0" w:color="auto"/>
          </w:divBdr>
        </w:div>
      </w:divsChild>
    </w:div>
    <w:div w:id="1207794049">
      <w:marLeft w:val="0"/>
      <w:marRight w:val="0"/>
      <w:marTop w:val="180"/>
      <w:marBottom w:val="0"/>
      <w:divBdr>
        <w:top w:val="none" w:sz="0" w:space="0" w:color="auto"/>
        <w:left w:val="none" w:sz="0" w:space="0" w:color="auto"/>
        <w:bottom w:val="none" w:sz="0" w:space="0" w:color="auto"/>
        <w:right w:val="none" w:sz="0" w:space="0" w:color="auto"/>
      </w:divBdr>
    </w:div>
    <w:div w:id="1208378157">
      <w:marLeft w:val="0"/>
      <w:marRight w:val="0"/>
      <w:marTop w:val="100"/>
      <w:marBottom w:val="100"/>
      <w:divBdr>
        <w:top w:val="none" w:sz="0" w:space="0" w:color="auto"/>
        <w:left w:val="none" w:sz="0" w:space="0" w:color="auto"/>
        <w:bottom w:val="none" w:sz="0" w:space="0" w:color="auto"/>
        <w:right w:val="none" w:sz="0" w:space="0" w:color="auto"/>
      </w:divBdr>
      <w:divsChild>
        <w:div w:id="1556774356">
          <w:marLeft w:val="0"/>
          <w:marRight w:val="0"/>
          <w:marTop w:val="0"/>
          <w:marBottom w:val="0"/>
          <w:divBdr>
            <w:top w:val="none" w:sz="0" w:space="0" w:color="auto"/>
            <w:left w:val="none" w:sz="0" w:space="0" w:color="auto"/>
            <w:bottom w:val="none" w:sz="0" w:space="0" w:color="auto"/>
            <w:right w:val="none" w:sz="0" w:space="0" w:color="auto"/>
          </w:divBdr>
        </w:div>
      </w:divsChild>
    </w:div>
    <w:div w:id="1212376362">
      <w:marLeft w:val="0"/>
      <w:marRight w:val="0"/>
      <w:marTop w:val="0"/>
      <w:marBottom w:val="100"/>
      <w:divBdr>
        <w:top w:val="none" w:sz="0" w:space="0" w:color="auto"/>
        <w:left w:val="none" w:sz="0" w:space="0" w:color="auto"/>
        <w:bottom w:val="none" w:sz="0" w:space="0" w:color="auto"/>
        <w:right w:val="none" w:sz="0" w:space="0" w:color="auto"/>
      </w:divBdr>
    </w:div>
    <w:div w:id="1218860279">
      <w:marLeft w:val="0"/>
      <w:marRight w:val="0"/>
      <w:marTop w:val="100"/>
      <w:marBottom w:val="100"/>
      <w:divBdr>
        <w:top w:val="none" w:sz="0" w:space="0" w:color="auto"/>
        <w:left w:val="none" w:sz="0" w:space="0" w:color="auto"/>
        <w:bottom w:val="none" w:sz="0" w:space="0" w:color="auto"/>
        <w:right w:val="none" w:sz="0" w:space="0" w:color="auto"/>
      </w:divBdr>
    </w:div>
    <w:div w:id="1219198942">
      <w:marLeft w:val="0"/>
      <w:marRight w:val="0"/>
      <w:marTop w:val="180"/>
      <w:marBottom w:val="0"/>
      <w:divBdr>
        <w:top w:val="none" w:sz="0" w:space="0" w:color="auto"/>
        <w:left w:val="none" w:sz="0" w:space="0" w:color="auto"/>
        <w:bottom w:val="none" w:sz="0" w:space="0" w:color="auto"/>
        <w:right w:val="none" w:sz="0" w:space="0" w:color="auto"/>
      </w:divBdr>
      <w:divsChild>
        <w:div w:id="238642425">
          <w:marLeft w:val="0"/>
          <w:marRight w:val="0"/>
          <w:marTop w:val="0"/>
          <w:marBottom w:val="0"/>
          <w:divBdr>
            <w:top w:val="none" w:sz="0" w:space="0" w:color="auto"/>
            <w:left w:val="none" w:sz="0" w:space="0" w:color="auto"/>
            <w:bottom w:val="none" w:sz="0" w:space="0" w:color="auto"/>
            <w:right w:val="none" w:sz="0" w:space="0" w:color="auto"/>
          </w:divBdr>
        </w:div>
      </w:divsChild>
    </w:div>
    <w:div w:id="1220432762">
      <w:marLeft w:val="0"/>
      <w:marRight w:val="0"/>
      <w:marTop w:val="180"/>
      <w:marBottom w:val="0"/>
      <w:divBdr>
        <w:top w:val="none" w:sz="0" w:space="0" w:color="auto"/>
        <w:left w:val="none" w:sz="0" w:space="0" w:color="auto"/>
        <w:bottom w:val="none" w:sz="0" w:space="0" w:color="auto"/>
        <w:right w:val="none" w:sz="0" w:space="0" w:color="auto"/>
      </w:divBdr>
      <w:divsChild>
        <w:div w:id="2089106849">
          <w:marLeft w:val="0"/>
          <w:marRight w:val="0"/>
          <w:marTop w:val="0"/>
          <w:marBottom w:val="0"/>
          <w:divBdr>
            <w:top w:val="none" w:sz="0" w:space="0" w:color="auto"/>
            <w:left w:val="none" w:sz="0" w:space="0" w:color="auto"/>
            <w:bottom w:val="none" w:sz="0" w:space="0" w:color="auto"/>
            <w:right w:val="none" w:sz="0" w:space="0" w:color="auto"/>
          </w:divBdr>
        </w:div>
      </w:divsChild>
    </w:div>
    <w:div w:id="1221984764">
      <w:marLeft w:val="0"/>
      <w:marRight w:val="0"/>
      <w:marTop w:val="0"/>
      <w:marBottom w:val="100"/>
      <w:divBdr>
        <w:top w:val="none" w:sz="0" w:space="0" w:color="auto"/>
        <w:left w:val="none" w:sz="0" w:space="0" w:color="auto"/>
        <w:bottom w:val="none" w:sz="0" w:space="0" w:color="auto"/>
        <w:right w:val="none" w:sz="0" w:space="0" w:color="auto"/>
      </w:divBdr>
    </w:div>
    <w:div w:id="1237058983">
      <w:marLeft w:val="0"/>
      <w:marRight w:val="0"/>
      <w:marTop w:val="0"/>
      <w:marBottom w:val="0"/>
      <w:divBdr>
        <w:top w:val="none" w:sz="0" w:space="0" w:color="auto"/>
        <w:left w:val="none" w:sz="0" w:space="0" w:color="auto"/>
        <w:bottom w:val="none" w:sz="0" w:space="0" w:color="auto"/>
        <w:right w:val="none" w:sz="0" w:space="0" w:color="auto"/>
      </w:divBdr>
    </w:div>
    <w:div w:id="1245145944">
      <w:marLeft w:val="0"/>
      <w:marRight w:val="0"/>
      <w:marTop w:val="0"/>
      <w:marBottom w:val="0"/>
      <w:divBdr>
        <w:top w:val="none" w:sz="0" w:space="0" w:color="auto"/>
        <w:left w:val="none" w:sz="0" w:space="0" w:color="auto"/>
        <w:bottom w:val="none" w:sz="0" w:space="0" w:color="auto"/>
        <w:right w:val="none" w:sz="0" w:space="0" w:color="auto"/>
      </w:divBdr>
    </w:div>
    <w:div w:id="1249466598">
      <w:marLeft w:val="0"/>
      <w:marRight w:val="0"/>
      <w:marTop w:val="100"/>
      <w:marBottom w:val="100"/>
      <w:divBdr>
        <w:top w:val="none" w:sz="0" w:space="0" w:color="auto"/>
        <w:left w:val="none" w:sz="0" w:space="0" w:color="auto"/>
        <w:bottom w:val="none" w:sz="0" w:space="0" w:color="auto"/>
        <w:right w:val="none" w:sz="0" w:space="0" w:color="auto"/>
      </w:divBdr>
    </w:div>
    <w:div w:id="1251356391">
      <w:marLeft w:val="0"/>
      <w:marRight w:val="0"/>
      <w:marTop w:val="100"/>
      <w:marBottom w:val="100"/>
      <w:divBdr>
        <w:top w:val="none" w:sz="0" w:space="0" w:color="auto"/>
        <w:left w:val="none" w:sz="0" w:space="0" w:color="auto"/>
        <w:bottom w:val="none" w:sz="0" w:space="0" w:color="auto"/>
        <w:right w:val="none" w:sz="0" w:space="0" w:color="auto"/>
      </w:divBdr>
    </w:div>
    <w:div w:id="1266041536">
      <w:marLeft w:val="0"/>
      <w:marRight w:val="0"/>
      <w:marTop w:val="60"/>
      <w:marBottom w:val="100"/>
      <w:divBdr>
        <w:top w:val="none" w:sz="0" w:space="0" w:color="auto"/>
        <w:left w:val="none" w:sz="0" w:space="0" w:color="auto"/>
        <w:bottom w:val="none" w:sz="0" w:space="0" w:color="auto"/>
        <w:right w:val="none" w:sz="0" w:space="0" w:color="auto"/>
      </w:divBdr>
    </w:div>
    <w:div w:id="1267348122">
      <w:marLeft w:val="0"/>
      <w:marRight w:val="0"/>
      <w:marTop w:val="0"/>
      <w:marBottom w:val="0"/>
      <w:divBdr>
        <w:top w:val="none" w:sz="0" w:space="0" w:color="auto"/>
        <w:left w:val="none" w:sz="0" w:space="0" w:color="auto"/>
        <w:bottom w:val="none" w:sz="0" w:space="0" w:color="auto"/>
        <w:right w:val="none" w:sz="0" w:space="0" w:color="auto"/>
      </w:divBdr>
    </w:div>
    <w:div w:id="1270628423">
      <w:marLeft w:val="0"/>
      <w:marRight w:val="0"/>
      <w:marTop w:val="0"/>
      <w:marBottom w:val="0"/>
      <w:divBdr>
        <w:top w:val="none" w:sz="0" w:space="0" w:color="auto"/>
        <w:left w:val="none" w:sz="0" w:space="0" w:color="auto"/>
        <w:bottom w:val="none" w:sz="0" w:space="0" w:color="auto"/>
        <w:right w:val="none" w:sz="0" w:space="0" w:color="auto"/>
      </w:divBdr>
    </w:div>
    <w:div w:id="1291665138">
      <w:marLeft w:val="0"/>
      <w:marRight w:val="0"/>
      <w:marTop w:val="0"/>
      <w:marBottom w:val="100"/>
      <w:divBdr>
        <w:top w:val="none" w:sz="0" w:space="0" w:color="auto"/>
        <w:left w:val="none" w:sz="0" w:space="0" w:color="auto"/>
        <w:bottom w:val="none" w:sz="0" w:space="0" w:color="auto"/>
        <w:right w:val="none" w:sz="0" w:space="0" w:color="auto"/>
      </w:divBdr>
    </w:div>
    <w:div w:id="1293098641">
      <w:marLeft w:val="0"/>
      <w:marRight w:val="0"/>
      <w:marTop w:val="180"/>
      <w:marBottom w:val="0"/>
      <w:divBdr>
        <w:top w:val="none" w:sz="0" w:space="0" w:color="auto"/>
        <w:left w:val="none" w:sz="0" w:space="0" w:color="auto"/>
        <w:bottom w:val="none" w:sz="0" w:space="0" w:color="auto"/>
        <w:right w:val="none" w:sz="0" w:space="0" w:color="auto"/>
      </w:divBdr>
    </w:div>
    <w:div w:id="1296064648">
      <w:marLeft w:val="0"/>
      <w:marRight w:val="0"/>
      <w:marTop w:val="100"/>
      <w:marBottom w:val="0"/>
      <w:divBdr>
        <w:top w:val="none" w:sz="0" w:space="0" w:color="auto"/>
        <w:left w:val="none" w:sz="0" w:space="0" w:color="auto"/>
        <w:bottom w:val="none" w:sz="0" w:space="0" w:color="auto"/>
        <w:right w:val="none" w:sz="0" w:space="0" w:color="auto"/>
      </w:divBdr>
    </w:div>
    <w:div w:id="1297368681">
      <w:marLeft w:val="0"/>
      <w:marRight w:val="0"/>
      <w:marTop w:val="0"/>
      <w:marBottom w:val="0"/>
      <w:divBdr>
        <w:top w:val="none" w:sz="0" w:space="0" w:color="auto"/>
        <w:left w:val="none" w:sz="0" w:space="0" w:color="auto"/>
        <w:bottom w:val="none" w:sz="0" w:space="0" w:color="auto"/>
        <w:right w:val="none" w:sz="0" w:space="0" w:color="auto"/>
      </w:divBdr>
    </w:div>
    <w:div w:id="1303265868">
      <w:marLeft w:val="0"/>
      <w:marRight w:val="0"/>
      <w:marTop w:val="100"/>
      <w:marBottom w:val="100"/>
      <w:divBdr>
        <w:top w:val="none" w:sz="0" w:space="0" w:color="auto"/>
        <w:left w:val="none" w:sz="0" w:space="0" w:color="auto"/>
        <w:bottom w:val="none" w:sz="0" w:space="0" w:color="auto"/>
        <w:right w:val="none" w:sz="0" w:space="0" w:color="auto"/>
      </w:divBdr>
    </w:div>
    <w:div w:id="1306544525">
      <w:marLeft w:val="0"/>
      <w:marRight w:val="0"/>
      <w:marTop w:val="0"/>
      <w:marBottom w:val="0"/>
      <w:divBdr>
        <w:top w:val="none" w:sz="0" w:space="0" w:color="auto"/>
        <w:left w:val="none" w:sz="0" w:space="0" w:color="auto"/>
        <w:bottom w:val="none" w:sz="0" w:space="0" w:color="auto"/>
        <w:right w:val="none" w:sz="0" w:space="0" w:color="auto"/>
      </w:divBdr>
      <w:divsChild>
        <w:div w:id="990868593">
          <w:marLeft w:val="0"/>
          <w:marRight w:val="0"/>
          <w:marTop w:val="0"/>
          <w:marBottom w:val="0"/>
          <w:divBdr>
            <w:top w:val="none" w:sz="0" w:space="0" w:color="auto"/>
            <w:left w:val="none" w:sz="0" w:space="0" w:color="auto"/>
            <w:bottom w:val="none" w:sz="0" w:space="0" w:color="auto"/>
            <w:right w:val="none" w:sz="0" w:space="0" w:color="auto"/>
          </w:divBdr>
          <w:divsChild>
            <w:div w:id="209874344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20426808">
      <w:marLeft w:val="0"/>
      <w:marRight w:val="0"/>
      <w:marTop w:val="0"/>
      <w:marBottom w:val="100"/>
      <w:divBdr>
        <w:top w:val="none" w:sz="0" w:space="0" w:color="auto"/>
        <w:left w:val="none" w:sz="0" w:space="0" w:color="auto"/>
        <w:bottom w:val="none" w:sz="0" w:space="0" w:color="auto"/>
        <w:right w:val="none" w:sz="0" w:space="0" w:color="auto"/>
      </w:divBdr>
    </w:div>
    <w:div w:id="1324116044">
      <w:marLeft w:val="0"/>
      <w:marRight w:val="0"/>
      <w:marTop w:val="0"/>
      <w:marBottom w:val="100"/>
      <w:divBdr>
        <w:top w:val="none" w:sz="0" w:space="0" w:color="auto"/>
        <w:left w:val="none" w:sz="0" w:space="0" w:color="auto"/>
        <w:bottom w:val="none" w:sz="0" w:space="0" w:color="auto"/>
        <w:right w:val="none" w:sz="0" w:space="0" w:color="auto"/>
      </w:divBdr>
    </w:div>
    <w:div w:id="1326782887">
      <w:marLeft w:val="0"/>
      <w:marRight w:val="0"/>
      <w:marTop w:val="0"/>
      <w:marBottom w:val="0"/>
      <w:divBdr>
        <w:top w:val="none" w:sz="0" w:space="0" w:color="auto"/>
        <w:left w:val="none" w:sz="0" w:space="0" w:color="auto"/>
        <w:bottom w:val="none" w:sz="0" w:space="0" w:color="auto"/>
        <w:right w:val="none" w:sz="0" w:space="0" w:color="auto"/>
      </w:divBdr>
    </w:div>
    <w:div w:id="1330056627">
      <w:marLeft w:val="0"/>
      <w:marRight w:val="0"/>
      <w:marTop w:val="0"/>
      <w:marBottom w:val="100"/>
      <w:divBdr>
        <w:top w:val="none" w:sz="0" w:space="0" w:color="auto"/>
        <w:left w:val="none" w:sz="0" w:space="0" w:color="auto"/>
        <w:bottom w:val="none" w:sz="0" w:space="0" w:color="auto"/>
        <w:right w:val="none" w:sz="0" w:space="0" w:color="auto"/>
      </w:divBdr>
    </w:div>
    <w:div w:id="1339891951">
      <w:marLeft w:val="0"/>
      <w:marRight w:val="0"/>
      <w:marTop w:val="0"/>
      <w:marBottom w:val="0"/>
      <w:divBdr>
        <w:top w:val="none" w:sz="0" w:space="0" w:color="auto"/>
        <w:left w:val="none" w:sz="0" w:space="0" w:color="auto"/>
        <w:bottom w:val="none" w:sz="0" w:space="0" w:color="auto"/>
        <w:right w:val="none" w:sz="0" w:space="0" w:color="auto"/>
      </w:divBdr>
    </w:div>
    <w:div w:id="1340086733">
      <w:marLeft w:val="0"/>
      <w:marRight w:val="0"/>
      <w:marTop w:val="0"/>
      <w:marBottom w:val="0"/>
      <w:divBdr>
        <w:top w:val="none" w:sz="0" w:space="0" w:color="auto"/>
        <w:left w:val="none" w:sz="0" w:space="0" w:color="auto"/>
        <w:bottom w:val="none" w:sz="0" w:space="0" w:color="auto"/>
        <w:right w:val="none" w:sz="0" w:space="0" w:color="auto"/>
      </w:divBdr>
    </w:div>
    <w:div w:id="1341471532">
      <w:marLeft w:val="0"/>
      <w:marRight w:val="0"/>
      <w:marTop w:val="180"/>
      <w:marBottom w:val="0"/>
      <w:divBdr>
        <w:top w:val="none" w:sz="0" w:space="0" w:color="auto"/>
        <w:left w:val="none" w:sz="0" w:space="0" w:color="auto"/>
        <w:bottom w:val="none" w:sz="0" w:space="0" w:color="auto"/>
        <w:right w:val="none" w:sz="0" w:space="0" w:color="auto"/>
      </w:divBdr>
    </w:div>
    <w:div w:id="1348016530">
      <w:marLeft w:val="0"/>
      <w:marRight w:val="0"/>
      <w:marTop w:val="0"/>
      <w:marBottom w:val="100"/>
      <w:divBdr>
        <w:top w:val="none" w:sz="0" w:space="0" w:color="auto"/>
        <w:left w:val="none" w:sz="0" w:space="0" w:color="auto"/>
        <w:bottom w:val="none" w:sz="0" w:space="0" w:color="auto"/>
        <w:right w:val="none" w:sz="0" w:space="0" w:color="auto"/>
      </w:divBdr>
    </w:div>
    <w:div w:id="1352296266">
      <w:marLeft w:val="0"/>
      <w:marRight w:val="0"/>
      <w:marTop w:val="180"/>
      <w:marBottom w:val="0"/>
      <w:divBdr>
        <w:top w:val="none" w:sz="0" w:space="0" w:color="auto"/>
        <w:left w:val="none" w:sz="0" w:space="0" w:color="auto"/>
        <w:bottom w:val="none" w:sz="0" w:space="0" w:color="auto"/>
        <w:right w:val="none" w:sz="0" w:space="0" w:color="auto"/>
      </w:divBdr>
    </w:div>
    <w:div w:id="1352951487">
      <w:marLeft w:val="0"/>
      <w:marRight w:val="0"/>
      <w:marTop w:val="0"/>
      <w:marBottom w:val="100"/>
      <w:divBdr>
        <w:top w:val="none" w:sz="0" w:space="0" w:color="auto"/>
        <w:left w:val="none" w:sz="0" w:space="0" w:color="auto"/>
        <w:bottom w:val="none" w:sz="0" w:space="0" w:color="auto"/>
        <w:right w:val="none" w:sz="0" w:space="0" w:color="auto"/>
      </w:divBdr>
    </w:div>
    <w:div w:id="1355153737">
      <w:marLeft w:val="0"/>
      <w:marRight w:val="0"/>
      <w:marTop w:val="180"/>
      <w:marBottom w:val="0"/>
      <w:divBdr>
        <w:top w:val="none" w:sz="0" w:space="0" w:color="auto"/>
        <w:left w:val="none" w:sz="0" w:space="0" w:color="auto"/>
        <w:bottom w:val="none" w:sz="0" w:space="0" w:color="auto"/>
        <w:right w:val="none" w:sz="0" w:space="0" w:color="auto"/>
      </w:divBdr>
    </w:div>
    <w:div w:id="1366830049">
      <w:marLeft w:val="0"/>
      <w:marRight w:val="0"/>
      <w:marTop w:val="0"/>
      <w:marBottom w:val="0"/>
      <w:divBdr>
        <w:top w:val="none" w:sz="0" w:space="0" w:color="auto"/>
        <w:left w:val="none" w:sz="0" w:space="0" w:color="auto"/>
        <w:bottom w:val="none" w:sz="0" w:space="0" w:color="auto"/>
        <w:right w:val="none" w:sz="0" w:space="0" w:color="auto"/>
      </w:divBdr>
    </w:div>
    <w:div w:id="1371416516">
      <w:marLeft w:val="0"/>
      <w:marRight w:val="0"/>
      <w:marTop w:val="0"/>
      <w:marBottom w:val="0"/>
      <w:divBdr>
        <w:top w:val="none" w:sz="0" w:space="0" w:color="auto"/>
        <w:left w:val="none" w:sz="0" w:space="0" w:color="auto"/>
        <w:bottom w:val="none" w:sz="0" w:space="0" w:color="auto"/>
        <w:right w:val="none" w:sz="0" w:space="0" w:color="auto"/>
      </w:divBdr>
    </w:div>
    <w:div w:id="1384140902">
      <w:marLeft w:val="0"/>
      <w:marRight w:val="0"/>
      <w:marTop w:val="0"/>
      <w:marBottom w:val="0"/>
      <w:divBdr>
        <w:top w:val="none" w:sz="0" w:space="0" w:color="auto"/>
        <w:left w:val="none" w:sz="0" w:space="0" w:color="auto"/>
        <w:bottom w:val="none" w:sz="0" w:space="0" w:color="auto"/>
        <w:right w:val="none" w:sz="0" w:space="0" w:color="auto"/>
      </w:divBdr>
    </w:div>
    <w:div w:id="1386295859">
      <w:marLeft w:val="0"/>
      <w:marRight w:val="0"/>
      <w:marTop w:val="0"/>
      <w:marBottom w:val="100"/>
      <w:divBdr>
        <w:top w:val="none" w:sz="0" w:space="0" w:color="auto"/>
        <w:left w:val="none" w:sz="0" w:space="0" w:color="auto"/>
        <w:bottom w:val="none" w:sz="0" w:space="0" w:color="auto"/>
        <w:right w:val="none" w:sz="0" w:space="0" w:color="auto"/>
      </w:divBdr>
    </w:div>
    <w:div w:id="1387024399">
      <w:marLeft w:val="0"/>
      <w:marRight w:val="0"/>
      <w:marTop w:val="180"/>
      <w:marBottom w:val="0"/>
      <w:divBdr>
        <w:top w:val="none" w:sz="0" w:space="0" w:color="auto"/>
        <w:left w:val="none" w:sz="0" w:space="0" w:color="auto"/>
        <w:bottom w:val="none" w:sz="0" w:space="0" w:color="auto"/>
        <w:right w:val="none" w:sz="0" w:space="0" w:color="auto"/>
      </w:divBdr>
    </w:div>
    <w:div w:id="1392777013">
      <w:marLeft w:val="0"/>
      <w:marRight w:val="0"/>
      <w:marTop w:val="180"/>
      <w:marBottom w:val="0"/>
      <w:divBdr>
        <w:top w:val="none" w:sz="0" w:space="0" w:color="auto"/>
        <w:left w:val="none" w:sz="0" w:space="0" w:color="auto"/>
        <w:bottom w:val="none" w:sz="0" w:space="0" w:color="auto"/>
        <w:right w:val="none" w:sz="0" w:space="0" w:color="auto"/>
      </w:divBdr>
    </w:div>
    <w:div w:id="1397507740">
      <w:marLeft w:val="0"/>
      <w:marRight w:val="0"/>
      <w:marTop w:val="0"/>
      <w:marBottom w:val="0"/>
      <w:divBdr>
        <w:top w:val="none" w:sz="0" w:space="0" w:color="auto"/>
        <w:left w:val="none" w:sz="0" w:space="0" w:color="auto"/>
        <w:bottom w:val="none" w:sz="0" w:space="0" w:color="auto"/>
        <w:right w:val="none" w:sz="0" w:space="0" w:color="auto"/>
      </w:divBdr>
      <w:divsChild>
        <w:div w:id="166987922">
          <w:marLeft w:val="0"/>
          <w:marRight w:val="0"/>
          <w:marTop w:val="0"/>
          <w:marBottom w:val="0"/>
          <w:divBdr>
            <w:top w:val="none" w:sz="0" w:space="0" w:color="auto"/>
            <w:left w:val="none" w:sz="0" w:space="0" w:color="auto"/>
            <w:bottom w:val="none" w:sz="0" w:space="0" w:color="auto"/>
            <w:right w:val="none" w:sz="0" w:space="0" w:color="auto"/>
          </w:divBdr>
          <w:divsChild>
            <w:div w:id="7464180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99858922">
      <w:marLeft w:val="0"/>
      <w:marRight w:val="0"/>
      <w:marTop w:val="180"/>
      <w:marBottom w:val="0"/>
      <w:divBdr>
        <w:top w:val="none" w:sz="0" w:space="0" w:color="auto"/>
        <w:left w:val="none" w:sz="0" w:space="0" w:color="auto"/>
        <w:bottom w:val="none" w:sz="0" w:space="0" w:color="auto"/>
        <w:right w:val="none" w:sz="0" w:space="0" w:color="auto"/>
      </w:divBdr>
    </w:div>
    <w:div w:id="1410730998">
      <w:marLeft w:val="0"/>
      <w:marRight w:val="0"/>
      <w:marTop w:val="100"/>
      <w:marBottom w:val="100"/>
      <w:divBdr>
        <w:top w:val="none" w:sz="0" w:space="0" w:color="auto"/>
        <w:left w:val="none" w:sz="0" w:space="0" w:color="auto"/>
        <w:bottom w:val="none" w:sz="0" w:space="0" w:color="auto"/>
        <w:right w:val="none" w:sz="0" w:space="0" w:color="auto"/>
      </w:divBdr>
    </w:div>
    <w:div w:id="1441415288">
      <w:marLeft w:val="0"/>
      <w:marRight w:val="0"/>
      <w:marTop w:val="180"/>
      <w:marBottom w:val="0"/>
      <w:divBdr>
        <w:top w:val="none" w:sz="0" w:space="0" w:color="auto"/>
        <w:left w:val="none" w:sz="0" w:space="0" w:color="auto"/>
        <w:bottom w:val="none" w:sz="0" w:space="0" w:color="auto"/>
        <w:right w:val="none" w:sz="0" w:space="0" w:color="auto"/>
      </w:divBdr>
    </w:div>
    <w:div w:id="1441416110">
      <w:marLeft w:val="0"/>
      <w:marRight w:val="0"/>
      <w:marTop w:val="100"/>
      <w:marBottom w:val="100"/>
      <w:divBdr>
        <w:top w:val="none" w:sz="0" w:space="0" w:color="auto"/>
        <w:left w:val="none" w:sz="0" w:space="0" w:color="auto"/>
        <w:bottom w:val="none" w:sz="0" w:space="0" w:color="auto"/>
        <w:right w:val="none" w:sz="0" w:space="0" w:color="auto"/>
      </w:divBdr>
    </w:div>
    <w:div w:id="1450321712">
      <w:marLeft w:val="0"/>
      <w:marRight w:val="0"/>
      <w:marTop w:val="0"/>
      <w:marBottom w:val="0"/>
      <w:divBdr>
        <w:top w:val="none" w:sz="0" w:space="0" w:color="auto"/>
        <w:left w:val="none" w:sz="0" w:space="0" w:color="auto"/>
        <w:bottom w:val="none" w:sz="0" w:space="0" w:color="auto"/>
        <w:right w:val="none" w:sz="0" w:space="0" w:color="auto"/>
      </w:divBdr>
      <w:divsChild>
        <w:div w:id="1552038334">
          <w:marLeft w:val="0"/>
          <w:marRight w:val="0"/>
          <w:marTop w:val="0"/>
          <w:marBottom w:val="100"/>
          <w:divBdr>
            <w:top w:val="none" w:sz="0" w:space="0" w:color="auto"/>
            <w:left w:val="none" w:sz="0" w:space="0" w:color="auto"/>
            <w:bottom w:val="none" w:sz="0" w:space="0" w:color="auto"/>
            <w:right w:val="none" w:sz="0" w:space="0" w:color="auto"/>
          </w:divBdr>
        </w:div>
      </w:divsChild>
    </w:div>
    <w:div w:id="1450663034">
      <w:marLeft w:val="0"/>
      <w:marRight w:val="0"/>
      <w:marTop w:val="180"/>
      <w:marBottom w:val="0"/>
      <w:divBdr>
        <w:top w:val="none" w:sz="0" w:space="0" w:color="auto"/>
        <w:left w:val="none" w:sz="0" w:space="0" w:color="auto"/>
        <w:bottom w:val="none" w:sz="0" w:space="0" w:color="auto"/>
        <w:right w:val="none" w:sz="0" w:space="0" w:color="auto"/>
      </w:divBdr>
    </w:div>
    <w:div w:id="1452358162">
      <w:marLeft w:val="0"/>
      <w:marRight w:val="0"/>
      <w:marTop w:val="180"/>
      <w:marBottom w:val="0"/>
      <w:divBdr>
        <w:top w:val="none" w:sz="0" w:space="0" w:color="auto"/>
        <w:left w:val="none" w:sz="0" w:space="0" w:color="auto"/>
        <w:bottom w:val="none" w:sz="0" w:space="0" w:color="auto"/>
        <w:right w:val="none" w:sz="0" w:space="0" w:color="auto"/>
      </w:divBdr>
    </w:div>
    <w:div w:id="1460029726">
      <w:marLeft w:val="0"/>
      <w:marRight w:val="0"/>
      <w:marTop w:val="0"/>
      <w:marBottom w:val="100"/>
      <w:divBdr>
        <w:top w:val="none" w:sz="0" w:space="0" w:color="auto"/>
        <w:left w:val="none" w:sz="0" w:space="0" w:color="auto"/>
        <w:bottom w:val="none" w:sz="0" w:space="0" w:color="auto"/>
        <w:right w:val="none" w:sz="0" w:space="0" w:color="auto"/>
      </w:divBdr>
    </w:div>
    <w:div w:id="1461461614">
      <w:marLeft w:val="0"/>
      <w:marRight w:val="0"/>
      <w:marTop w:val="180"/>
      <w:marBottom w:val="0"/>
      <w:divBdr>
        <w:top w:val="none" w:sz="0" w:space="0" w:color="auto"/>
        <w:left w:val="none" w:sz="0" w:space="0" w:color="auto"/>
        <w:bottom w:val="none" w:sz="0" w:space="0" w:color="auto"/>
        <w:right w:val="none" w:sz="0" w:space="0" w:color="auto"/>
      </w:divBdr>
    </w:div>
    <w:div w:id="1463619636">
      <w:marLeft w:val="0"/>
      <w:marRight w:val="0"/>
      <w:marTop w:val="0"/>
      <w:marBottom w:val="0"/>
      <w:divBdr>
        <w:top w:val="none" w:sz="0" w:space="0" w:color="auto"/>
        <w:left w:val="none" w:sz="0" w:space="0" w:color="auto"/>
        <w:bottom w:val="none" w:sz="0" w:space="0" w:color="auto"/>
        <w:right w:val="none" w:sz="0" w:space="0" w:color="auto"/>
      </w:divBdr>
    </w:div>
    <w:div w:id="1467892932">
      <w:marLeft w:val="0"/>
      <w:marRight w:val="0"/>
      <w:marTop w:val="180"/>
      <w:marBottom w:val="100"/>
      <w:divBdr>
        <w:top w:val="none" w:sz="0" w:space="0" w:color="auto"/>
        <w:left w:val="none" w:sz="0" w:space="0" w:color="auto"/>
        <w:bottom w:val="none" w:sz="0" w:space="0" w:color="auto"/>
        <w:right w:val="none" w:sz="0" w:space="0" w:color="auto"/>
      </w:divBdr>
    </w:div>
    <w:div w:id="1468741879">
      <w:marLeft w:val="0"/>
      <w:marRight w:val="0"/>
      <w:marTop w:val="0"/>
      <w:marBottom w:val="100"/>
      <w:divBdr>
        <w:top w:val="none" w:sz="0" w:space="0" w:color="auto"/>
        <w:left w:val="none" w:sz="0" w:space="0" w:color="auto"/>
        <w:bottom w:val="none" w:sz="0" w:space="0" w:color="auto"/>
        <w:right w:val="none" w:sz="0" w:space="0" w:color="auto"/>
      </w:divBdr>
    </w:div>
    <w:div w:id="1472553525">
      <w:marLeft w:val="0"/>
      <w:marRight w:val="0"/>
      <w:marTop w:val="100"/>
      <w:marBottom w:val="100"/>
      <w:divBdr>
        <w:top w:val="none" w:sz="0" w:space="0" w:color="auto"/>
        <w:left w:val="none" w:sz="0" w:space="0" w:color="auto"/>
        <w:bottom w:val="none" w:sz="0" w:space="0" w:color="auto"/>
        <w:right w:val="none" w:sz="0" w:space="0" w:color="auto"/>
      </w:divBdr>
    </w:div>
    <w:div w:id="1472865416">
      <w:marLeft w:val="0"/>
      <w:marRight w:val="0"/>
      <w:marTop w:val="0"/>
      <w:marBottom w:val="100"/>
      <w:divBdr>
        <w:top w:val="none" w:sz="0" w:space="0" w:color="auto"/>
        <w:left w:val="none" w:sz="0" w:space="0" w:color="auto"/>
        <w:bottom w:val="none" w:sz="0" w:space="0" w:color="auto"/>
        <w:right w:val="none" w:sz="0" w:space="0" w:color="auto"/>
      </w:divBdr>
    </w:div>
    <w:div w:id="1474639633">
      <w:marLeft w:val="0"/>
      <w:marRight w:val="0"/>
      <w:marTop w:val="0"/>
      <w:marBottom w:val="100"/>
      <w:divBdr>
        <w:top w:val="none" w:sz="0" w:space="0" w:color="auto"/>
        <w:left w:val="none" w:sz="0" w:space="0" w:color="auto"/>
        <w:bottom w:val="none" w:sz="0" w:space="0" w:color="auto"/>
        <w:right w:val="none" w:sz="0" w:space="0" w:color="auto"/>
      </w:divBdr>
    </w:div>
    <w:div w:id="1476215886">
      <w:marLeft w:val="0"/>
      <w:marRight w:val="0"/>
      <w:marTop w:val="0"/>
      <w:marBottom w:val="100"/>
      <w:divBdr>
        <w:top w:val="none" w:sz="0" w:space="0" w:color="auto"/>
        <w:left w:val="none" w:sz="0" w:space="0" w:color="auto"/>
        <w:bottom w:val="none" w:sz="0" w:space="0" w:color="auto"/>
        <w:right w:val="none" w:sz="0" w:space="0" w:color="auto"/>
      </w:divBdr>
      <w:divsChild>
        <w:div w:id="443161167">
          <w:marLeft w:val="0"/>
          <w:marRight w:val="0"/>
          <w:marTop w:val="0"/>
          <w:marBottom w:val="0"/>
          <w:divBdr>
            <w:top w:val="none" w:sz="0" w:space="0" w:color="auto"/>
            <w:left w:val="none" w:sz="0" w:space="0" w:color="auto"/>
            <w:bottom w:val="none" w:sz="0" w:space="0" w:color="auto"/>
            <w:right w:val="none" w:sz="0" w:space="0" w:color="auto"/>
          </w:divBdr>
        </w:div>
      </w:divsChild>
    </w:div>
    <w:div w:id="1477064965">
      <w:marLeft w:val="0"/>
      <w:marRight w:val="0"/>
      <w:marTop w:val="100"/>
      <w:marBottom w:val="100"/>
      <w:divBdr>
        <w:top w:val="none" w:sz="0" w:space="0" w:color="auto"/>
        <w:left w:val="none" w:sz="0" w:space="0" w:color="auto"/>
        <w:bottom w:val="none" w:sz="0" w:space="0" w:color="auto"/>
        <w:right w:val="none" w:sz="0" w:space="0" w:color="auto"/>
      </w:divBdr>
    </w:div>
    <w:div w:id="1477340022">
      <w:marLeft w:val="0"/>
      <w:marRight w:val="0"/>
      <w:marTop w:val="0"/>
      <w:marBottom w:val="100"/>
      <w:divBdr>
        <w:top w:val="none" w:sz="0" w:space="0" w:color="auto"/>
        <w:left w:val="none" w:sz="0" w:space="0" w:color="auto"/>
        <w:bottom w:val="none" w:sz="0" w:space="0" w:color="auto"/>
        <w:right w:val="none" w:sz="0" w:space="0" w:color="auto"/>
      </w:divBdr>
    </w:div>
    <w:div w:id="1477642184">
      <w:marLeft w:val="0"/>
      <w:marRight w:val="0"/>
      <w:marTop w:val="0"/>
      <w:marBottom w:val="0"/>
      <w:divBdr>
        <w:top w:val="none" w:sz="0" w:space="0" w:color="auto"/>
        <w:left w:val="none" w:sz="0" w:space="0" w:color="auto"/>
        <w:bottom w:val="none" w:sz="0" w:space="0" w:color="auto"/>
        <w:right w:val="none" w:sz="0" w:space="0" w:color="auto"/>
      </w:divBdr>
    </w:div>
    <w:div w:id="1479608004">
      <w:marLeft w:val="0"/>
      <w:marRight w:val="0"/>
      <w:marTop w:val="180"/>
      <w:marBottom w:val="0"/>
      <w:divBdr>
        <w:top w:val="none" w:sz="0" w:space="0" w:color="auto"/>
        <w:left w:val="none" w:sz="0" w:space="0" w:color="auto"/>
        <w:bottom w:val="none" w:sz="0" w:space="0" w:color="auto"/>
        <w:right w:val="none" w:sz="0" w:space="0" w:color="auto"/>
      </w:divBdr>
    </w:div>
    <w:div w:id="1486166772">
      <w:marLeft w:val="0"/>
      <w:marRight w:val="0"/>
      <w:marTop w:val="100"/>
      <w:marBottom w:val="100"/>
      <w:divBdr>
        <w:top w:val="none" w:sz="0" w:space="0" w:color="auto"/>
        <w:left w:val="none" w:sz="0" w:space="0" w:color="auto"/>
        <w:bottom w:val="none" w:sz="0" w:space="0" w:color="auto"/>
        <w:right w:val="none" w:sz="0" w:space="0" w:color="auto"/>
      </w:divBdr>
    </w:div>
    <w:div w:id="1486432562">
      <w:marLeft w:val="0"/>
      <w:marRight w:val="0"/>
      <w:marTop w:val="0"/>
      <w:marBottom w:val="100"/>
      <w:divBdr>
        <w:top w:val="none" w:sz="0" w:space="0" w:color="auto"/>
        <w:left w:val="none" w:sz="0" w:space="0" w:color="auto"/>
        <w:bottom w:val="none" w:sz="0" w:space="0" w:color="auto"/>
        <w:right w:val="none" w:sz="0" w:space="0" w:color="auto"/>
      </w:divBdr>
    </w:div>
    <w:div w:id="1486825142">
      <w:marLeft w:val="0"/>
      <w:marRight w:val="0"/>
      <w:marTop w:val="0"/>
      <w:marBottom w:val="0"/>
      <w:divBdr>
        <w:top w:val="none" w:sz="0" w:space="0" w:color="auto"/>
        <w:left w:val="none" w:sz="0" w:space="0" w:color="auto"/>
        <w:bottom w:val="none" w:sz="0" w:space="0" w:color="auto"/>
        <w:right w:val="none" w:sz="0" w:space="0" w:color="auto"/>
      </w:divBdr>
      <w:divsChild>
        <w:div w:id="48695616">
          <w:marLeft w:val="0"/>
          <w:marRight w:val="0"/>
          <w:marTop w:val="0"/>
          <w:marBottom w:val="0"/>
          <w:divBdr>
            <w:top w:val="none" w:sz="0" w:space="0" w:color="auto"/>
            <w:left w:val="none" w:sz="0" w:space="0" w:color="auto"/>
            <w:bottom w:val="none" w:sz="0" w:space="0" w:color="auto"/>
            <w:right w:val="none" w:sz="0" w:space="0" w:color="auto"/>
          </w:divBdr>
          <w:divsChild>
            <w:div w:id="36008662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92982727">
      <w:marLeft w:val="0"/>
      <w:marRight w:val="0"/>
      <w:marTop w:val="0"/>
      <w:marBottom w:val="0"/>
      <w:divBdr>
        <w:top w:val="none" w:sz="0" w:space="0" w:color="auto"/>
        <w:left w:val="none" w:sz="0" w:space="0" w:color="auto"/>
        <w:bottom w:val="none" w:sz="0" w:space="0" w:color="auto"/>
        <w:right w:val="none" w:sz="0" w:space="0" w:color="auto"/>
      </w:divBdr>
      <w:divsChild>
        <w:div w:id="1903448672">
          <w:marLeft w:val="0"/>
          <w:marRight w:val="0"/>
          <w:marTop w:val="0"/>
          <w:marBottom w:val="100"/>
          <w:divBdr>
            <w:top w:val="none" w:sz="0" w:space="0" w:color="auto"/>
            <w:left w:val="none" w:sz="0" w:space="0" w:color="auto"/>
            <w:bottom w:val="none" w:sz="0" w:space="0" w:color="auto"/>
            <w:right w:val="none" w:sz="0" w:space="0" w:color="auto"/>
          </w:divBdr>
        </w:div>
      </w:divsChild>
    </w:div>
    <w:div w:id="1499811242">
      <w:marLeft w:val="0"/>
      <w:marRight w:val="0"/>
      <w:marTop w:val="180"/>
      <w:marBottom w:val="0"/>
      <w:divBdr>
        <w:top w:val="none" w:sz="0" w:space="0" w:color="auto"/>
        <w:left w:val="none" w:sz="0" w:space="0" w:color="auto"/>
        <w:bottom w:val="none" w:sz="0" w:space="0" w:color="auto"/>
        <w:right w:val="none" w:sz="0" w:space="0" w:color="auto"/>
      </w:divBdr>
    </w:div>
    <w:div w:id="1502349775">
      <w:marLeft w:val="0"/>
      <w:marRight w:val="0"/>
      <w:marTop w:val="0"/>
      <w:marBottom w:val="0"/>
      <w:divBdr>
        <w:top w:val="none" w:sz="0" w:space="0" w:color="auto"/>
        <w:left w:val="none" w:sz="0" w:space="0" w:color="auto"/>
        <w:bottom w:val="none" w:sz="0" w:space="0" w:color="auto"/>
        <w:right w:val="none" w:sz="0" w:space="0" w:color="auto"/>
      </w:divBdr>
    </w:div>
    <w:div w:id="1506477109">
      <w:marLeft w:val="0"/>
      <w:marRight w:val="0"/>
      <w:marTop w:val="100"/>
      <w:marBottom w:val="100"/>
      <w:divBdr>
        <w:top w:val="none" w:sz="0" w:space="0" w:color="auto"/>
        <w:left w:val="none" w:sz="0" w:space="0" w:color="auto"/>
        <w:bottom w:val="none" w:sz="0" w:space="0" w:color="auto"/>
        <w:right w:val="none" w:sz="0" w:space="0" w:color="auto"/>
      </w:divBdr>
    </w:div>
    <w:div w:id="1508400025">
      <w:marLeft w:val="0"/>
      <w:marRight w:val="0"/>
      <w:marTop w:val="0"/>
      <w:marBottom w:val="0"/>
      <w:divBdr>
        <w:top w:val="none" w:sz="0" w:space="0" w:color="auto"/>
        <w:left w:val="none" w:sz="0" w:space="0" w:color="auto"/>
        <w:bottom w:val="none" w:sz="0" w:space="0" w:color="auto"/>
        <w:right w:val="none" w:sz="0" w:space="0" w:color="auto"/>
      </w:divBdr>
    </w:div>
    <w:div w:id="1509906414">
      <w:marLeft w:val="0"/>
      <w:marRight w:val="0"/>
      <w:marTop w:val="0"/>
      <w:marBottom w:val="0"/>
      <w:divBdr>
        <w:top w:val="none" w:sz="0" w:space="0" w:color="auto"/>
        <w:left w:val="none" w:sz="0" w:space="0" w:color="auto"/>
        <w:bottom w:val="none" w:sz="0" w:space="0" w:color="auto"/>
        <w:right w:val="none" w:sz="0" w:space="0" w:color="auto"/>
      </w:divBdr>
      <w:divsChild>
        <w:div w:id="764544373">
          <w:marLeft w:val="0"/>
          <w:marRight w:val="0"/>
          <w:marTop w:val="0"/>
          <w:marBottom w:val="100"/>
          <w:divBdr>
            <w:top w:val="none" w:sz="0" w:space="0" w:color="auto"/>
            <w:left w:val="none" w:sz="0" w:space="0" w:color="auto"/>
            <w:bottom w:val="none" w:sz="0" w:space="0" w:color="auto"/>
            <w:right w:val="none" w:sz="0" w:space="0" w:color="auto"/>
          </w:divBdr>
        </w:div>
      </w:divsChild>
    </w:div>
    <w:div w:id="1515336697">
      <w:marLeft w:val="0"/>
      <w:marRight w:val="0"/>
      <w:marTop w:val="180"/>
      <w:marBottom w:val="0"/>
      <w:divBdr>
        <w:top w:val="none" w:sz="0" w:space="0" w:color="auto"/>
        <w:left w:val="none" w:sz="0" w:space="0" w:color="auto"/>
        <w:bottom w:val="none" w:sz="0" w:space="0" w:color="auto"/>
        <w:right w:val="none" w:sz="0" w:space="0" w:color="auto"/>
      </w:divBdr>
    </w:div>
    <w:div w:id="1517187325">
      <w:marLeft w:val="0"/>
      <w:marRight w:val="0"/>
      <w:marTop w:val="0"/>
      <w:marBottom w:val="0"/>
      <w:divBdr>
        <w:top w:val="none" w:sz="0" w:space="0" w:color="auto"/>
        <w:left w:val="none" w:sz="0" w:space="0" w:color="auto"/>
        <w:bottom w:val="none" w:sz="0" w:space="0" w:color="auto"/>
        <w:right w:val="none" w:sz="0" w:space="0" w:color="auto"/>
      </w:divBdr>
      <w:divsChild>
        <w:div w:id="137382537">
          <w:marLeft w:val="0"/>
          <w:marRight w:val="0"/>
          <w:marTop w:val="0"/>
          <w:marBottom w:val="0"/>
          <w:divBdr>
            <w:top w:val="none" w:sz="0" w:space="0" w:color="auto"/>
            <w:left w:val="none" w:sz="0" w:space="0" w:color="auto"/>
            <w:bottom w:val="none" w:sz="0" w:space="0" w:color="auto"/>
            <w:right w:val="none" w:sz="0" w:space="0" w:color="auto"/>
          </w:divBdr>
        </w:div>
      </w:divsChild>
    </w:div>
    <w:div w:id="1519465524">
      <w:marLeft w:val="0"/>
      <w:marRight w:val="0"/>
      <w:marTop w:val="0"/>
      <w:marBottom w:val="100"/>
      <w:divBdr>
        <w:top w:val="none" w:sz="0" w:space="0" w:color="auto"/>
        <w:left w:val="none" w:sz="0" w:space="0" w:color="auto"/>
        <w:bottom w:val="none" w:sz="0" w:space="0" w:color="auto"/>
        <w:right w:val="none" w:sz="0" w:space="0" w:color="auto"/>
      </w:divBdr>
    </w:div>
    <w:div w:id="1530752712">
      <w:marLeft w:val="0"/>
      <w:marRight w:val="0"/>
      <w:marTop w:val="0"/>
      <w:marBottom w:val="0"/>
      <w:divBdr>
        <w:top w:val="none" w:sz="0" w:space="0" w:color="auto"/>
        <w:left w:val="none" w:sz="0" w:space="0" w:color="auto"/>
        <w:bottom w:val="none" w:sz="0" w:space="0" w:color="auto"/>
        <w:right w:val="none" w:sz="0" w:space="0" w:color="auto"/>
      </w:divBdr>
      <w:divsChild>
        <w:div w:id="1657954213">
          <w:marLeft w:val="0"/>
          <w:marRight w:val="0"/>
          <w:marTop w:val="0"/>
          <w:marBottom w:val="0"/>
          <w:divBdr>
            <w:top w:val="none" w:sz="0" w:space="0" w:color="auto"/>
            <w:left w:val="none" w:sz="0" w:space="0" w:color="auto"/>
            <w:bottom w:val="none" w:sz="0" w:space="0" w:color="auto"/>
            <w:right w:val="none" w:sz="0" w:space="0" w:color="auto"/>
          </w:divBdr>
          <w:divsChild>
            <w:div w:id="394036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44561528">
      <w:marLeft w:val="0"/>
      <w:marRight w:val="0"/>
      <w:marTop w:val="100"/>
      <w:marBottom w:val="0"/>
      <w:divBdr>
        <w:top w:val="none" w:sz="0" w:space="0" w:color="auto"/>
        <w:left w:val="none" w:sz="0" w:space="0" w:color="auto"/>
        <w:bottom w:val="none" w:sz="0" w:space="0" w:color="auto"/>
        <w:right w:val="none" w:sz="0" w:space="0" w:color="auto"/>
      </w:divBdr>
      <w:divsChild>
        <w:div w:id="638918332">
          <w:marLeft w:val="0"/>
          <w:marRight w:val="0"/>
          <w:marTop w:val="0"/>
          <w:marBottom w:val="0"/>
          <w:divBdr>
            <w:top w:val="none" w:sz="0" w:space="0" w:color="auto"/>
            <w:left w:val="none" w:sz="0" w:space="0" w:color="auto"/>
            <w:bottom w:val="none" w:sz="0" w:space="0" w:color="auto"/>
            <w:right w:val="none" w:sz="0" w:space="0" w:color="auto"/>
          </w:divBdr>
        </w:div>
        <w:div w:id="537938897">
          <w:marLeft w:val="0"/>
          <w:marRight w:val="0"/>
          <w:marTop w:val="0"/>
          <w:marBottom w:val="0"/>
          <w:divBdr>
            <w:top w:val="none" w:sz="0" w:space="0" w:color="auto"/>
            <w:left w:val="none" w:sz="0" w:space="0" w:color="auto"/>
            <w:bottom w:val="none" w:sz="0" w:space="0" w:color="auto"/>
            <w:right w:val="none" w:sz="0" w:space="0" w:color="auto"/>
          </w:divBdr>
        </w:div>
      </w:divsChild>
    </w:div>
    <w:div w:id="1545362968">
      <w:marLeft w:val="0"/>
      <w:marRight w:val="0"/>
      <w:marTop w:val="100"/>
      <w:marBottom w:val="0"/>
      <w:divBdr>
        <w:top w:val="none" w:sz="0" w:space="0" w:color="auto"/>
        <w:left w:val="none" w:sz="0" w:space="0" w:color="auto"/>
        <w:bottom w:val="none" w:sz="0" w:space="0" w:color="auto"/>
        <w:right w:val="none" w:sz="0" w:space="0" w:color="auto"/>
      </w:divBdr>
    </w:div>
    <w:div w:id="1557474660">
      <w:marLeft w:val="0"/>
      <w:marRight w:val="0"/>
      <w:marTop w:val="180"/>
      <w:marBottom w:val="0"/>
      <w:divBdr>
        <w:top w:val="none" w:sz="0" w:space="0" w:color="auto"/>
        <w:left w:val="none" w:sz="0" w:space="0" w:color="auto"/>
        <w:bottom w:val="none" w:sz="0" w:space="0" w:color="auto"/>
        <w:right w:val="none" w:sz="0" w:space="0" w:color="auto"/>
      </w:divBdr>
    </w:div>
    <w:div w:id="1558398952">
      <w:marLeft w:val="0"/>
      <w:marRight w:val="0"/>
      <w:marTop w:val="0"/>
      <w:marBottom w:val="100"/>
      <w:divBdr>
        <w:top w:val="none" w:sz="0" w:space="0" w:color="auto"/>
        <w:left w:val="none" w:sz="0" w:space="0" w:color="auto"/>
        <w:bottom w:val="none" w:sz="0" w:space="0" w:color="auto"/>
        <w:right w:val="none" w:sz="0" w:space="0" w:color="auto"/>
      </w:divBdr>
    </w:div>
    <w:div w:id="1562251239">
      <w:marLeft w:val="0"/>
      <w:marRight w:val="0"/>
      <w:marTop w:val="180"/>
      <w:marBottom w:val="0"/>
      <w:divBdr>
        <w:top w:val="none" w:sz="0" w:space="0" w:color="auto"/>
        <w:left w:val="none" w:sz="0" w:space="0" w:color="auto"/>
        <w:bottom w:val="none" w:sz="0" w:space="0" w:color="auto"/>
        <w:right w:val="none" w:sz="0" w:space="0" w:color="auto"/>
      </w:divBdr>
    </w:div>
    <w:div w:id="1564170135">
      <w:marLeft w:val="0"/>
      <w:marRight w:val="0"/>
      <w:marTop w:val="0"/>
      <w:marBottom w:val="0"/>
      <w:divBdr>
        <w:top w:val="none" w:sz="0" w:space="0" w:color="auto"/>
        <w:left w:val="none" w:sz="0" w:space="0" w:color="auto"/>
        <w:bottom w:val="none" w:sz="0" w:space="0" w:color="auto"/>
        <w:right w:val="none" w:sz="0" w:space="0" w:color="auto"/>
      </w:divBdr>
    </w:div>
    <w:div w:id="1565413139">
      <w:marLeft w:val="0"/>
      <w:marRight w:val="0"/>
      <w:marTop w:val="0"/>
      <w:marBottom w:val="100"/>
      <w:divBdr>
        <w:top w:val="none" w:sz="0" w:space="0" w:color="auto"/>
        <w:left w:val="none" w:sz="0" w:space="0" w:color="auto"/>
        <w:bottom w:val="none" w:sz="0" w:space="0" w:color="auto"/>
        <w:right w:val="none" w:sz="0" w:space="0" w:color="auto"/>
      </w:divBdr>
    </w:div>
    <w:div w:id="1567840862">
      <w:marLeft w:val="0"/>
      <w:marRight w:val="0"/>
      <w:marTop w:val="0"/>
      <w:marBottom w:val="0"/>
      <w:divBdr>
        <w:top w:val="none" w:sz="0" w:space="0" w:color="auto"/>
        <w:left w:val="none" w:sz="0" w:space="0" w:color="auto"/>
        <w:bottom w:val="none" w:sz="0" w:space="0" w:color="auto"/>
        <w:right w:val="none" w:sz="0" w:space="0" w:color="auto"/>
      </w:divBdr>
    </w:div>
    <w:div w:id="1568563948">
      <w:marLeft w:val="0"/>
      <w:marRight w:val="0"/>
      <w:marTop w:val="100"/>
      <w:marBottom w:val="100"/>
      <w:divBdr>
        <w:top w:val="none" w:sz="0" w:space="0" w:color="auto"/>
        <w:left w:val="none" w:sz="0" w:space="0" w:color="auto"/>
        <w:bottom w:val="none" w:sz="0" w:space="0" w:color="auto"/>
        <w:right w:val="none" w:sz="0" w:space="0" w:color="auto"/>
      </w:divBdr>
    </w:div>
    <w:div w:id="1578855212">
      <w:marLeft w:val="0"/>
      <w:marRight w:val="0"/>
      <w:marTop w:val="0"/>
      <w:marBottom w:val="0"/>
      <w:divBdr>
        <w:top w:val="none" w:sz="0" w:space="0" w:color="auto"/>
        <w:left w:val="none" w:sz="0" w:space="0" w:color="auto"/>
        <w:bottom w:val="none" w:sz="0" w:space="0" w:color="auto"/>
        <w:right w:val="none" w:sz="0" w:space="0" w:color="auto"/>
      </w:divBdr>
      <w:divsChild>
        <w:div w:id="1993409562">
          <w:marLeft w:val="0"/>
          <w:marRight w:val="0"/>
          <w:marTop w:val="0"/>
          <w:marBottom w:val="100"/>
          <w:divBdr>
            <w:top w:val="none" w:sz="0" w:space="0" w:color="auto"/>
            <w:left w:val="none" w:sz="0" w:space="0" w:color="auto"/>
            <w:bottom w:val="none" w:sz="0" w:space="0" w:color="auto"/>
            <w:right w:val="none" w:sz="0" w:space="0" w:color="auto"/>
          </w:divBdr>
        </w:div>
      </w:divsChild>
    </w:div>
    <w:div w:id="1580824970">
      <w:marLeft w:val="0"/>
      <w:marRight w:val="0"/>
      <w:marTop w:val="180"/>
      <w:marBottom w:val="0"/>
      <w:divBdr>
        <w:top w:val="none" w:sz="0" w:space="0" w:color="auto"/>
        <w:left w:val="none" w:sz="0" w:space="0" w:color="auto"/>
        <w:bottom w:val="none" w:sz="0" w:space="0" w:color="auto"/>
        <w:right w:val="none" w:sz="0" w:space="0" w:color="auto"/>
      </w:divBdr>
    </w:div>
    <w:div w:id="1584875683">
      <w:marLeft w:val="0"/>
      <w:marRight w:val="0"/>
      <w:marTop w:val="0"/>
      <w:marBottom w:val="100"/>
      <w:divBdr>
        <w:top w:val="none" w:sz="0" w:space="0" w:color="auto"/>
        <w:left w:val="none" w:sz="0" w:space="0" w:color="auto"/>
        <w:bottom w:val="none" w:sz="0" w:space="0" w:color="auto"/>
        <w:right w:val="none" w:sz="0" w:space="0" w:color="auto"/>
      </w:divBdr>
    </w:div>
    <w:div w:id="1585992676">
      <w:marLeft w:val="0"/>
      <w:marRight w:val="0"/>
      <w:marTop w:val="180"/>
      <w:marBottom w:val="0"/>
      <w:divBdr>
        <w:top w:val="none" w:sz="0" w:space="0" w:color="auto"/>
        <w:left w:val="none" w:sz="0" w:space="0" w:color="auto"/>
        <w:bottom w:val="none" w:sz="0" w:space="0" w:color="auto"/>
        <w:right w:val="none" w:sz="0" w:space="0" w:color="auto"/>
      </w:divBdr>
    </w:div>
    <w:div w:id="1589269080">
      <w:marLeft w:val="0"/>
      <w:marRight w:val="0"/>
      <w:marTop w:val="0"/>
      <w:marBottom w:val="0"/>
      <w:divBdr>
        <w:top w:val="none" w:sz="0" w:space="0" w:color="auto"/>
        <w:left w:val="none" w:sz="0" w:space="0" w:color="auto"/>
        <w:bottom w:val="none" w:sz="0" w:space="0" w:color="auto"/>
        <w:right w:val="none" w:sz="0" w:space="0" w:color="auto"/>
      </w:divBdr>
      <w:divsChild>
        <w:div w:id="1823618564">
          <w:marLeft w:val="0"/>
          <w:marRight w:val="0"/>
          <w:marTop w:val="0"/>
          <w:marBottom w:val="100"/>
          <w:divBdr>
            <w:top w:val="none" w:sz="0" w:space="0" w:color="auto"/>
            <w:left w:val="none" w:sz="0" w:space="0" w:color="auto"/>
            <w:bottom w:val="none" w:sz="0" w:space="0" w:color="auto"/>
            <w:right w:val="none" w:sz="0" w:space="0" w:color="auto"/>
          </w:divBdr>
        </w:div>
      </w:divsChild>
    </w:div>
    <w:div w:id="1589382143">
      <w:marLeft w:val="0"/>
      <w:marRight w:val="0"/>
      <w:marTop w:val="100"/>
      <w:marBottom w:val="0"/>
      <w:divBdr>
        <w:top w:val="none" w:sz="0" w:space="0" w:color="auto"/>
        <w:left w:val="none" w:sz="0" w:space="0" w:color="auto"/>
        <w:bottom w:val="none" w:sz="0" w:space="0" w:color="auto"/>
        <w:right w:val="none" w:sz="0" w:space="0" w:color="auto"/>
      </w:divBdr>
      <w:divsChild>
        <w:div w:id="266621449">
          <w:marLeft w:val="0"/>
          <w:marRight w:val="0"/>
          <w:marTop w:val="0"/>
          <w:marBottom w:val="0"/>
          <w:divBdr>
            <w:top w:val="none" w:sz="0" w:space="0" w:color="auto"/>
            <w:left w:val="none" w:sz="0" w:space="0" w:color="auto"/>
            <w:bottom w:val="none" w:sz="0" w:space="0" w:color="auto"/>
            <w:right w:val="none" w:sz="0" w:space="0" w:color="auto"/>
          </w:divBdr>
        </w:div>
      </w:divsChild>
    </w:div>
    <w:div w:id="1590388817">
      <w:marLeft w:val="0"/>
      <w:marRight w:val="0"/>
      <w:marTop w:val="100"/>
      <w:marBottom w:val="100"/>
      <w:divBdr>
        <w:top w:val="none" w:sz="0" w:space="0" w:color="auto"/>
        <w:left w:val="none" w:sz="0" w:space="0" w:color="auto"/>
        <w:bottom w:val="none" w:sz="0" w:space="0" w:color="auto"/>
        <w:right w:val="none" w:sz="0" w:space="0" w:color="auto"/>
      </w:divBdr>
    </w:div>
    <w:div w:id="1593316541">
      <w:marLeft w:val="0"/>
      <w:marRight w:val="0"/>
      <w:marTop w:val="100"/>
      <w:marBottom w:val="0"/>
      <w:divBdr>
        <w:top w:val="none" w:sz="0" w:space="0" w:color="auto"/>
        <w:left w:val="none" w:sz="0" w:space="0" w:color="auto"/>
        <w:bottom w:val="none" w:sz="0" w:space="0" w:color="auto"/>
        <w:right w:val="none" w:sz="0" w:space="0" w:color="auto"/>
      </w:divBdr>
    </w:div>
    <w:div w:id="1594166788">
      <w:marLeft w:val="0"/>
      <w:marRight w:val="0"/>
      <w:marTop w:val="0"/>
      <w:marBottom w:val="100"/>
      <w:divBdr>
        <w:top w:val="none" w:sz="0" w:space="0" w:color="auto"/>
        <w:left w:val="none" w:sz="0" w:space="0" w:color="auto"/>
        <w:bottom w:val="none" w:sz="0" w:space="0" w:color="auto"/>
        <w:right w:val="none" w:sz="0" w:space="0" w:color="auto"/>
      </w:divBdr>
    </w:div>
    <w:div w:id="1606963011">
      <w:marLeft w:val="0"/>
      <w:marRight w:val="0"/>
      <w:marTop w:val="0"/>
      <w:marBottom w:val="0"/>
      <w:divBdr>
        <w:top w:val="none" w:sz="0" w:space="0" w:color="auto"/>
        <w:left w:val="none" w:sz="0" w:space="0" w:color="auto"/>
        <w:bottom w:val="none" w:sz="0" w:space="0" w:color="auto"/>
        <w:right w:val="none" w:sz="0" w:space="0" w:color="auto"/>
      </w:divBdr>
    </w:div>
    <w:div w:id="1607469935">
      <w:marLeft w:val="0"/>
      <w:marRight w:val="0"/>
      <w:marTop w:val="100"/>
      <w:marBottom w:val="100"/>
      <w:divBdr>
        <w:top w:val="none" w:sz="0" w:space="0" w:color="auto"/>
        <w:left w:val="none" w:sz="0" w:space="0" w:color="auto"/>
        <w:bottom w:val="none" w:sz="0" w:space="0" w:color="auto"/>
        <w:right w:val="none" w:sz="0" w:space="0" w:color="auto"/>
      </w:divBdr>
    </w:div>
    <w:div w:id="1611932659">
      <w:marLeft w:val="0"/>
      <w:marRight w:val="0"/>
      <w:marTop w:val="180"/>
      <w:marBottom w:val="0"/>
      <w:divBdr>
        <w:top w:val="none" w:sz="0" w:space="0" w:color="auto"/>
        <w:left w:val="none" w:sz="0" w:space="0" w:color="auto"/>
        <w:bottom w:val="none" w:sz="0" w:space="0" w:color="auto"/>
        <w:right w:val="none" w:sz="0" w:space="0" w:color="auto"/>
      </w:divBdr>
      <w:divsChild>
        <w:div w:id="2052340761">
          <w:marLeft w:val="0"/>
          <w:marRight w:val="0"/>
          <w:marTop w:val="100"/>
          <w:marBottom w:val="0"/>
          <w:divBdr>
            <w:top w:val="none" w:sz="0" w:space="0" w:color="auto"/>
            <w:left w:val="none" w:sz="0" w:space="0" w:color="auto"/>
            <w:bottom w:val="none" w:sz="0" w:space="0" w:color="auto"/>
            <w:right w:val="none" w:sz="0" w:space="0" w:color="auto"/>
          </w:divBdr>
        </w:div>
      </w:divsChild>
    </w:div>
    <w:div w:id="1612398060">
      <w:marLeft w:val="0"/>
      <w:marRight w:val="0"/>
      <w:marTop w:val="0"/>
      <w:marBottom w:val="0"/>
      <w:divBdr>
        <w:top w:val="none" w:sz="0" w:space="0" w:color="auto"/>
        <w:left w:val="none" w:sz="0" w:space="0" w:color="auto"/>
        <w:bottom w:val="none" w:sz="0" w:space="0" w:color="auto"/>
        <w:right w:val="none" w:sz="0" w:space="0" w:color="auto"/>
      </w:divBdr>
    </w:div>
    <w:div w:id="1613627580">
      <w:marLeft w:val="0"/>
      <w:marRight w:val="0"/>
      <w:marTop w:val="180"/>
      <w:marBottom w:val="0"/>
      <w:divBdr>
        <w:top w:val="none" w:sz="0" w:space="0" w:color="auto"/>
        <w:left w:val="none" w:sz="0" w:space="0" w:color="auto"/>
        <w:bottom w:val="none" w:sz="0" w:space="0" w:color="auto"/>
        <w:right w:val="none" w:sz="0" w:space="0" w:color="auto"/>
      </w:divBdr>
    </w:div>
    <w:div w:id="1614819196">
      <w:marLeft w:val="0"/>
      <w:marRight w:val="0"/>
      <w:marTop w:val="180"/>
      <w:marBottom w:val="0"/>
      <w:divBdr>
        <w:top w:val="none" w:sz="0" w:space="0" w:color="auto"/>
        <w:left w:val="none" w:sz="0" w:space="0" w:color="auto"/>
        <w:bottom w:val="none" w:sz="0" w:space="0" w:color="auto"/>
        <w:right w:val="none" w:sz="0" w:space="0" w:color="auto"/>
      </w:divBdr>
    </w:div>
    <w:div w:id="1617174623">
      <w:marLeft w:val="0"/>
      <w:marRight w:val="0"/>
      <w:marTop w:val="0"/>
      <w:marBottom w:val="0"/>
      <w:divBdr>
        <w:top w:val="none" w:sz="0" w:space="0" w:color="auto"/>
        <w:left w:val="none" w:sz="0" w:space="0" w:color="auto"/>
        <w:bottom w:val="none" w:sz="0" w:space="0" w:color="auto"/>
        <w:right w:val="none" w:sz="0" w:space="0" w:color="auto"/>
      </w:divBdr>
    </w:div>
    <w:div w:id="1618220017">
      <w:marLeft w:val="0"/>
      <w:marRight w:val="0"/>
      <w:marTop w:val="180"/>
      <w:marBottom w:val="100"/>
      <w:divBdr>
        <w:top w:val="none" w:sz="0" w:space="0" w:color="auto"/>
        <w:left w:val="none" w:sz="0" w:space="0" w:color="auto"/>
        <w:bottom w:val="none" w:sz="0" w:space="0" w:color="auto"/>
        <w:right w:val="none" w:sz="0" w:space="0" w:color="auto"/>
      </w:divBdr>
    </w:div>
    <w:div w:id="1619725296">
      <w:marLeft w:val="0"/>
      <w:marRight w:val="0"/>
      <w:marTop w:val="0"/>
      <w:marBottom w:val="100"/>
      <w:divBdr>
        <w:top w:val="none" w:sz="0" w:space="0" w:color="auto"/>
        <w:left w:val="none" w:sz="0" w:space="0" w:color="auto"/>
        <w:bottom w:val="none" w:sz="0" w:space="0" w:color="auto"/>
        <w:right w:val="none" w:sz="0" w:space="0" w:color="auto"/>
      </w:divBdr>
    </w:div>
    <w:div w:id="1622417694">
      <w:marLeft w:val="0"/>
      <w:marRight w:val="0"/>
      <w:marTop w:val="0"/>
      <w:marBottom w:val="0"/>
      <w:divBdr>
        <w:top w:val="none" w:sz="0" w:space="0" w:color="auto"/>
        <w:left w:val="none" w:sz="0" w:space="0" w:color="auto"/>
        <w:bottom w:val="none" w:sz="0" w:space="0" w:color="auto"/>
        <w:right w:val="none" w:sz="0" w:space="0" w:color="auto"/>
      </w:divBdr>
    </w:div>
    <w:div w:id="1625575357">
      <w:marLeft w:val="0"/>
      <w:marRight w:val="0"/>
      <w:marTop w:val="0"/>
      <w:marBottom w:val="100"/>
      <w:divBdr>
        <w:top w:val="none" w:sz="0" w:space="0" w:color="auto"/>
        <w:left w:val="none" w:sz="0" w:space="0" w:color="auto"/>
        <w:bottom w:val="none" w:sz="0" w:space="0" w:color="auto"/>
        <w:right w:val="none" w:sz="0" w:space="0" w:color="auto"/>
      </w:divBdr>
    </w:div>
    <w:div w:id="1627664559">
      <w:marLeft w:val="0"/>
      <w:marRight w:val="0"/>
      <w:marTop w:val="0"/>
      <w:marBottom w:val="0"/>
      <w:divBdr>
        <w:top w:val="none" w:sz="0" w:space="0" w:color="auto"/>
        <w:left w:val="none" w:sz="0" w:space="0" w:color="auto"/>
        <w:bottom w:val="none" w:sz="0" w:space="0" w:color="auto"/>
        <w:right w:val="none" w:sz="0" w:space="0" w:color="auto"/>
      </w:divBdr>
      <w:divsChild>
        <w:div w:id="560290551">
          <w:marLeft w:val="0"/>
          <w:marRight w:val="0"/>
          <w:marTop w:val="0"/>
          <w:marBottom w:val="100"/>
          <w:divBdr>
            <w:top w:val="none" w:sz="0" w:space="0" w:color="auto"/>
            <w:left w:val="none" w:sz="0" w:space="0" w:color="auto"/>
            <w:bottom w:val="none" w:sz="0" w:space="0" w:color="auto"/>
            <w:right w:val="none" w:sz="0" w:space="0" w:color="auto"/>
          </w:divBdr>
        </w:div>
      </w:divsChild>
    </w:div>
    <w:div w:id="1628000302">
      <w:marLeft w:val="0"/>
      <w:marRight w:val="0"/>
      <w:marTop w:val="180"/>
      <w:marBottom w:val="0"/>
      <w:divBdr>
        <w:top w:val="none" w:sz="0" w:space="0" w:color="auto"/>
        <w:left w:val="none" w:sz="0" w:space="0" w:color="auto"/>
        <w:bottom w:val="none" w:sz="0" w:space="0" w:color="auto"/>
        <w:right w:val="none" w:sz="0" w:space="0" w:color="auto"/>
      </w:divBdr>
    </w:div>
    <w:div w:id="1628391032">
      <w:marLeft w:val="0"/>
      <w:marRight w:val="0"/>
      <w:marTop w:val="0"/>
      <w:marBottom w:val="0"/>
      <w:divBdr>
        <w:top w:val="none" w:sz="0" w:space="0" w:color="auto"/>
        <w:left w:val="none" w:sz="0" w:space="0" w:color="auto"/>
        <w:bottom w:val="none" w:sz="0" w:space="0" w:color="auto"/>
        <w:right w:val="none" w:sz="0" w:space="0" w:color="auto"/>
      </w:divBdr>
    </w:div>
    <w:div w:id="1629045761">
      <w:marLeft w:val="0"/>
      <w:marRight w:val="0"/>
      <w:marTop w:val="180"/>
      <w:marBottom w:val="100"/>
      <w:divBdr>
        <w:top w:val="none" w:sz="0" w:space="0" w:color="auto"/>
        <w:left w:val="none" w:sz="0" w:space="0" w:color="auto"/>
        <w:bottom w:val="none" w:sz="0" w:space="0" w:color="auto"/>
        <w:right w:val="none" w:sz="0" w:space="0" w:color="auto"/>
      </w:divBdr>
    </w:div>
    <w:div w:id="1629503781">
      <w:marLeft w:val="0"/>
      <w:marRight w:val="0"/>
      <w:marTop w:val="0"/>
      <w:marBottom w:val="0"/>
      <w:divBdr>
        <w:top w:val="none" w:sz="0" w:space="0" w:color="auto"/>
        <w:left w:val="none" w:sz="0" w:space="0" w:color="auto"/>
        <w:bottom w:val="none" w:sz="0" w:space="0" w:color="auto"/>
        <w:right w:val="none" w:sz="0" w:space="0" w:color="auto"/>
      </w:divBdr>
    </w:div>
    <w:div w:id="1630278969">
      <w:marLeft w:val="0"/>
      <w:marRight w:val="0"/>
      <w:marTop w:val="0"/>
      <w:marBottom w:val="0"/>
      <w:divBdr>
        <w:top w:val="none" w:sz="0" w:space="0" w:color="auto"/>
        <w:left w:val="none" w:sz="0" w:space="0" w:color="auto"/>
        <w:bottom w:val="none" w:sz="0" w:space="0" w:color="auto"/>
        <w:right w:val="none" w:sz="0" w:space="0" w:color="auto"/>
      </w:divBdr>
      <w:divsChild>
        <w:div w:id="2107535941">
          <w:marLeft w:val="0"/>
          <w:marRight w:val="0"/>
          <w:marTop w:val="0"/>
          <w:marBottom w:val="0"/>
          <w:divBdr>
            <w:top w:val="none" w:sz="0" w:space="0" w:color="auto"/>
            <w:left w:val="none" w:sz="0" w:space="0" w:color="auto"/>
            <w:bottom w:val="none" w:sz="0" w:space="0" w:color="auto"/>
            <w:right w:val="none" w:sz="0" w:space="0" w:color="auto"/>
          </w:divBdr>
          <w:divsChild>
            <w:div w:id="171530166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32981192">
      <w:marLeft w:val="0"/>
      <w:marRight w:val="0"/>
      <w:marTop w:val="180"/>
      <w:marBottom w:val="0"/>
      <w:divBdr>
        <w:top w:val="none" w:sz="0" w:space="0" w:color="auto"/>
        <w:left w:val="none" w:sz="0" w:space="0" w:color="auto"/>
        <w:bottom w:val="none" w:sz="0" w:space="0" w:color="auto"/>
        <w:right w:val="none" w:sz="0" w:space="0" w:color="auto"/>
      </w:divBdr>
    </w:div>
    <w:div w:id="1633094079">
      <w:marLeft w:val="0"/>
      <w:marRight w:val="0"/>
      <w:marTop w:val="0"/>
      <w:marBottom w:val="0"/>
      <w:divBdr>
        <w:top w:val="none" w:sz="0" w:space="0" w:color="auto"/>
        <w:left w:val="none" w:sz="0" w:space="0" w:color="auto"/>
        <w:bottom w:val="none" w:sz="0" w:space="0" w:color="auto"/>
        <w:right w:val="none" w:sz="0" w:space="0" w:color="auto"/>
      </w:divBdr>
      <w:divsChild>
        <w:div w:id="361593627">
          <w:marLeft w:val="0"/>
          <w:marRight w:val="0"/>
          <w:marTop w:val="0"/>
          <w:marBottom w:val="100"/>
          <w:divBdr>
            <w:top w:val="none" w:sz="0" w:space="0" w:color="auto"/>
            <w:left w:val="none" w:sz="0" w:space="0" w:color="auto"/>
            <w:bottom w:val="none" w:sz="0" w:space="0" w:color="auto"/>
            <w:right w:val="none" w:sz="0" w:space="0" w:color="auto"/>
          </w:divBdr>
        </w:div>
      </w:divsChild>
    </w:div>
    <w:div w:id="1639650456">
      <w:marLeft w:val="0"/>
      <w:marRight w:val="0"/>
      <w:marTop w:val="180"/>
      <w:marBottom w:val="0"/>
      <w:divBdr>
        <w:top w:val="none" w:sz="0" w:space="0" w:color="auto"/>
        <w:left w:val="none" w:sz="0" w:space="0" w:color="auto"/>
        <w:bottom w:val="none" w:sz="0" w:space="0" w:color="auto"/>
        <w:right w:val="none" w:sz="0" w:space="0" w:color="auto"/>
      </w:divBdr>
    </w:div>
    <w:div w:id="1640187405">
      <w:marLeft w:val="0"/>
      <w:marRight w:val="0"/>
      <w:marTop w:val="0"/>
      <w:marBottom w:val="0"/>
      <w:divBdr>
        <w:top w:val="none" w:sz="0" w:space="0" w:color="auto"/>
        <w:left w:val="none" w:sz="0" w:space="0" w:color="auto"/>
        <w:bottom w:val="none" w:sz="0" w:space="0" w:color="auto"/>
        <w:right w:val="none" w:sz="0" w:space="0" w:color="auto"/>
      </w:divBdr>
      <w:divsChild>
        <w:div w:id="579026457">
          <w:marLeft w:val="0"/>
          <w:marRight w:val="0"/>
          <w:marTop w:val="0"/>
          <w:marBottom w:val="0"/>
          <w:divBdr>
            <w:top w:val="none" w:sz="0" w:space="0" w:color="auto"/>
            <w:left w:val="none" w:sz="0" w:space="0" w:color="auto"/>
            <w:bottom w:val="none" w:sz="0" w:space="0" w:color="auto"/>
            <w:right w:val="none" w:sz="0" w:space="0" w:color="auto"/>
          </w:divBdr>
          <w:divsChild>
            <w:div w:id="73775342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40454825">
      <w:marLeft w:val="0"/>
      <w:marRight w:val="0"/>
      <w:marTop w:val="0"/>
      <w:marBottom w:val="0"/>
      <w:divBdr>
        <w:top w:val="none" w:sz="0" w:space="0" w:color="auto"/>
        <w:left w:val="none" w:sz="0" w:space="0" w:color="auto"/>
        <w:bottom w:val="none" w:sz="0" w:space="0" w:color="auto"/>
        <w:right w:val="none" w:sz="0" w:space="0" w:color="auto"/>
      </w:divBdr>
    </w:div>
    <w:div w:id="1642811566">
      <w:marLeft w:val="0"/>
      <w:marRight w:val="0"/>
      <w:marTop w:val="0"/>
      <w:marBottom w:val="0"/>
      <w:divBdr>
        <w:top w:val="none" w:sz="0" w:space="0" w:color="auto"/>
        <w:left w:val="none" w:sz="0" w:space="0" w:color="auto"/>
        <w:bottom w:val="none" w:sz="0" w:space="0" w:color="auto"/>
        <w:right w:val="none" w:sz="0" w:space="0" w:color="auto"/>
      </w:divBdr>
    </w:div>
    <w:div w:id="1643922453">
      <w:marLeft w:val="0"/>
      <w:marRight w:val="0"/>
      <w:marTop w:val="180"/>
      <w:marBottom w:val="0"/>
      <w:divBdr>
        <w:top w:val="none" w:sz="0" w:space="0" w:color="auto"/>
        <w:left w:val="none" w:sz="0" w:space="0" w:color="auto"/>
        <w:bottom w:val="none" w:sz="0" w:space="0" w:color="auto"/>
        <w:right w:val="none" w:sz="0" w:space="0" w:color="auto"/>
      </w:divBdr>
    </w:div>
    <w:div w:id="1646161108">
      <w:marLeft w:val="0"/>
      <w:marRight w:val="0"/>
      <w:marTop w:val="0"/>
      <w:marBottom w:val="0"/>
      <w:divBdr>
        <w:top w:val="none" w:sz="0" w:space="0" w:color="auto"/>
        <w:left w:val="none" w:sz="0" w:space="0" w:color="auto"/>
        <w:bottom w:val="none" w:sz="0" w:space="0" w:color="auto"/>
        <w:right w:val="none" w:sz="0" w:space="0" w:color="auto"/>
      </w:divBdr>
    </w:div>
    <w:div w:id="1649556580">
      <w:marLeft w:val="0"/>
      <w:marRight w:val="0"/>
      <w:marTop w:val="0"/>
      <w:marBottom w:val="100"/>
      <w:divBdr>
        <w:top w:val="none" w:sz="0" w:space="0" w:color="auto"/>
        <w:left w:val="none" w:sz="0" w:space="0" w:color="auto"/>
        <w:bottom w:val="none" w:sz="0" w:space="0" w:color="auto"/>
        <w:right w:val="none" w:sz="0" w:space="0" w:color="auto"/>
      </w:divBdr>
    </w:div>
    <w:div w:id="1651252262">
      <w:marLeft w:val="0"/>
      <w:marRight w:val="0"/>
      <w:marTop w:val="0"/>
      <w:marBottom w:val="0"/>
      <w:divBdr>
        <w:top w:val="none" w:sz="0" w:space="0" w:color="auto"/>
        <w:left w:val="none" w:sz="0" w:space="0" w:color="auto"/>
        <w:bottom w:val="none" w:sz="0" w:space="0" w:color="auto"/>
        <w:right w:val="none" w:sz="0" w:space="0" w:color="auto"/>
      </w:divBdr>
    </w:div>
    <w:div w:id="1652442064">
      <w:marLeft w:val="0"/>
      <w:marRight w:val="0"/>
      <w:marTop w:val="100"/>
      <w:marBottom w:val="100"/>
      <w:divBdr>
        <w:top w:val="none" w:sz="0" w:space="0" w:color="auto"/>
        <w:left w:val="none" w:sz="0" w:space="0" w:color="auto"/>
        <w:bottom w:val="none" w:sz="0" w:space="0" w:color="auto"/>
        <w:right w:val="none" w:sz="0" w:space="0" w:color="auto"/>
      </w:divBdr>
    </w:div>
    <w:div w:id="1662539297">
      <w:marLeft w:val="0"/>
      <w:marRight w:val="0"/>
      <w:marTop w:val="180"/>
      <w:marBottom w:val="0"/>
      <w:divBdr>
        <w:top w:val="none" w:sz="0" w:space="0" w:color="auto"/>
        <w:left w:val="none" w:sz="0" w:space="0" w:color="auto"/>
        <w:bottom w:val="none" w:sz="0" w:space="0" w:color="auto"/>
        <w:right w:val="none" w:sz="0" w:space="0" w:color="auto"/>
      </w:divBdr>
    </w:div>
    <w:div w:id="1677464889">
      <w:marLeft w:val="0"/>
      <w:marRight w:val="0"/>
      <w:marTop w:val="100"/>
      <w:marBottom w:val="0"/>
      <w:divBdr>
        <w:top w:val="none" w:sz="0" w:space="0" w:color="auto"/>
        <w:left w:val="none" w:sz="0" w:space="0" w:color="auto"/>
        <w:bottom w:val="none" w:sz="0" w:space="0" w:color="auto"/>
        <w:right w:val="none" w:sz="0" w:space="0" w:color="auto"/>
      </w:divBdr>
    </w:div>
    <w:div w:id="1680424079">
      <w:marLeft w:val="0"/>
      <w:marRight w:val="0"/>
      <w:marTop w:val="0"/>
      <w:marBottom w:val="0"/>
      <w:divBdr>
        <w:top w:val="none" w:sz="0" w:space="0" w:color="auto"/>
        <w:left w:val="none" w:sz="0" w:space="0" w:color="auto"/>
        <w:bottom w:val="none" w:sz="0" w:space="0" w:color="auto"/>
        <w:right w:val="none" w:sz="0" w:space="0" w:color="auto"/>
      </w:divBdr>
    </w:div>
    <w:div w:id="1682856276">
      <w:marLeft w:val="0"/>
      <w:marRight w:val="0"/>
      <w:marTop w:val="180"/>
      <w:marBottom w:val="0"/>
      <w:divBdr>
        <w:top w:val="none" w:sz="0" w:space="0" w:color="auto"/>
        <w:left w:val="none" w:sz="0" w:space="0" w:color="auto"/>
        <w:bottom w:val="none" w:sz="0" w:space="0" w:color="auto"/>
        <w:right w:val="none" w:sz="0" w:space="0" w:color="auto"/>
      </w:divBdr>
    </w:div>
    <w:div w:id="1682856570">
      <w:marLeft w:val="0"/>
      <w:marRight w:val="0"/>
      <w:marTop w:val="100"/>
      <w:marBottom w:val="100"/>
      <w:divBdr>
        <w:top w:val="none" w:sz="0" w:space="0" w:color="auto"/>
        <w:left w:val="none" w:sz="0" w:space="0" w:color="auto"/>
        <w:bottom w:val="none" w:sz="0" w:space="0" w:color="auto"/>
        <w:right w:val="none" w:sz="0" w:space="0" w:color="auto"/>
      </w:divBdr>
    </w:div>
    <w:div w:id="1683124567">
      <w:marLeft w:val="0"/>
      <w:marRight w:val="0"/>
      <w:marTop w:val="100"/>
      <w:marBottom w:val="100"/>
      <w:divBdr>
        <w:top w:val="none" w:sz="0" w:space="0" w:color="auto"/>
        <w:left w:val="none" w:sz="0" w:space="0" w:color="auto"/>
        <w:bottom w:val="none" w:sz="0" w:space="0" w:color="auto"/>
        <w:right w:val="none" w:sz="0" w:space="0" w:color="auto"/>
      </w:divBdr>
    </w:div>
    <w:div w:id="1686396425">
      <w:marLeft w:val="0"/>
      <w:marRight w:val="0"/>
      <w:marTop w:val="0"/>
      <w:marBottom w:val="100"/>
      <w:divBdr>
        <w:top w:val="none" w:sz="0" w:space="0" w:color="auto"/>
        <w:left w:val="none" w:sz="0" w:space="0" w:color="auto"/>
        <w:bottom w:val="none" w:sz="0" w:space="0" w:color="auto"/>
        <w:right w:val="none" w:sz="0" w:space="0" w:color="auto"/>
      </w:divBdr>
    </w:div>
    <w:div w:id="1686470153">
      <w:marLeft w:val="0"/>
      <w:marRight w:val="0"/>
      <w:marTop w:val="0"/>
      <w:marBottom w:val="0"/>
      <w:divBdr>
        <w:top w:val="none" w:sz="0" w:space="0" w:color="auto"/>
        <w:left w:val="none" w:sz="0" w:space="0" w:color="auto"/>
        <w:bottom w:val="none" w:sz="0" w:space="0" w:color="auto"/>
        <w:right w:val="none" w:sz="0" w:space="0" w:color="auto"/>
      </w:divBdr>
      <w:divsChild>
        <w:div w:id="330454541">
          <w:marLeft w:val="0"/>
          <w:marRight w:val="0"/>
          <w:marTop w:val="0"/>
          <w:marBottom w:val="0"/>
          <w:divBdr>
            <w:top w:val="none" w:sz="0" w:space="0" w:color="auto"/>
            <w:left w:val="none" w:sz="0" w:space="0" w:color="auto"/>
            <w:bottom w:val="none" w:sz="0" w:space="0" w:color="auto"/>
            <w:right w:val="none" w:sz="0" w:space="0" w:color="auto"/>
          </w:divBdr>
          <w:divsChild>
            <w:div w:id="100578695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87514235">
      <w:marLeft w:val="0"/>
      <w:marRight w:val="0"/>
      <w:marTop w:val="0"/>
      <w:marBottom w:val="100"/>
      <w:divBdr>
        <w:top w:val="none" w:sz="0" w:space="0" w:color="auto"/>
        <w:left w:val="none" w:sz="0" w:space="0" w:color="auto"/>
        <w:bottom w:val="none" w:sz="0" w:space="0" w:color="auto"/>
        <w:right w:val="none" w:sz="0" w:space="0" w:color="auto"/>
      </w:divBdr>
    </w:div>
    <w:div w:id="1699357908">
      <w:marLeft w:val="0"/>
      <w:marRight w:val="0"/>
      <w:marTop w:val="100"/>
      <w:marBottom w:val="100"/>
      <w:divBdr>
        <w:top w:val="none" w:sz="0" w:space="0" w:color="auto"/>
        <w:left w:val="none" w:sz="0" w:space="0" w:color="auto"/>
        <w:bottom w:val="none" w:sz="0" w:space="0" w:color="auto"/>
        <w:right w:val="none" w:sz="0" w:space="0" w:color="auto"/>
      </w:divBdr>
    </w:div>
    <w:div w:id="1705519543">
      <w:marLeft w:val="0"/>
      <w:marRight w:val="0"/>
      <w:marTop w:val="180"/>
      <w:marBottom w:val="100"/>
      <w:divBdr>
        <w:top w:val="none" w:sz="0" w:space="0" w:color="auto"/>
        <w:left w:val="none" w:sz="0" w:space="0" w:color="auto"/>
        <w:bottom w:val="none" w:sz="0" w:space="0" w:color="auto"/>
        <w:right w:val="none" w:sz="0" w:space="0" w:color="auto"/>
      </w:divBdr>
    </w:div>
    <w:div w:id="1708678104">
      <w:marLeft w:val="0"/>
      <w:marRight w:val="0"/>
      <w:marTop w:val="0"/>
      <w:marBottom w:val="0"/>
      <w:divBdr>
        <w:top w:val="none" w:sz="0" w:space="0" w:color="auto"/>
        <w:left w:val="none" w:sz="0" w:space="0" w:color="auto"/>
        <w:bottom w:val="none" w:sz="0" w:space="0" w:color="auto"/>
        <w:right w:val="none" w:sz="0" w:space="0" w:color="auto"/>
      </w:divBdr>
    </w:div>
    <w:div w:id="1711611164">
      <w:marLeft w:val="0"/>
      <w:marRight w:val="0"/>
      <w:marTop w:val="100"/>
      <w:marBottom w:val="100"/>
      <w:divBdr>
        <w:top w:val="none" w:sz="0" w:space="0" w:color="auto"/>
        <w:left w:val="none" w:sz="0" w:space="0" w:color="auto"/>
        <w:bottom w:val="none" w:sz="0" w:space="0" w:color="auto"/>
        <w:right w:val="none" w:sz="0" w:space="0" w:color="auto"/>
      </w:divBdr>
    </w:div>
    <w:div w:id="1713455455">
      <w:marLeft w:val="0"/>
      <w:marRight w:val="0"/>
      <w:marTop w:val="0"/>
      <w:marBottom w:val="0"/>
      <w:divBdr>
        <w:top w:val="none" w:sz="0" w:space="0" w:color="auto"/>
        <w:left w:val="none" w:sz="0" w:space="0" w:color="auto"/>
        <w:bottom w:val="none" w:sz="0" w:space="0" w:color="auto"/>
        <w:right w:val="none" w:sz="0" w:space="0" w:color="auto"/>
      </w:divBdr>
    </w:div>
    <w:div w:id="1717663224">
      <w:marLeft w:val="0"/>
      <w:marRight w:val="0"/>
      <w:marTop w:val="100"/>
      <w:marBottom w:val="100"/>
      <w:divBdr>
        <w:top w:val="none" w:sz="0" w:space="0" w:color="auto"/>
        <w:left w:val="none" w:sz="0" w:space="0" w:color="auto"/>
        <w:bottom w:val="none" w:sz="0" w:space="0" w:color="auto"/>
        <w:right w:val="none" w:sz="0" w:space="0" w:color="auto"/>
      </w:divBdr>
    </w:div>
    <w:div w:id="1719086786">
      <w:marLeft w:val="0"/>
      <w:marRight w:val="0"/>
      <w:marTop w:val="0"/>
      <w:marBottom w:val="0"/>
      <w:divBdr>
        <w:top w:val="none" w:sz="0" w:space="0" w:color="auto"/>
        <w:left w:val="none" w:sz="0" w:space="0" w:color="auto"/>
        <w:bottom w:val="none" w:sz="0" w:space="0" w:color="auto"/>
        <w:right w:val="none" w:sz="0" w:space="0" w:color="auto"/>
      </w:divBdr>
      <w:divsChild>
        <w:div w:id="192229846">
          <w:marLeft w:val="0"/>
          <w:marRight w:val="0"/>
          <w:marTop w:val="0"/>
          <w:marBottom w:val="0"/>
          <w:divBdr>
            <w:top w:val="none" w:sz="0" w:space="0" w:color="auto"/>
            <w:left w:val="none" w:sz="0" w:space="0" w:color="auto"/>
            <w:bottom w:val="none" w:sz="0" w:space="0" w:color="auto"/>
            <w:right w:val="none" w:sz="0" w:space="0" w:color="auto"/>
          </w:divBdr>
          <w:divsChild>
            <w:div w:id="19982190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19818144">
      <w:marLeft w:val="0"/>
      <w:marRight w:val="0"/>
      <w:marTop w:val="0"/>
      <w:marBottom w:val="0"/>
      <w:divBdr>
        <w:top w:val="none" w:sz="0" w:space="0" w:color="auto"/>
        <w:left w:val="none" w:sz="0" w:space="0" w:color="auto"/>
        <w:bottom w:val="none" w:sz="0" w:space="0" w:color="auto"/>
        <w:right w:val="none" w:sz="0" w:space="0" w:color="auto"/>
      </w:divBdr>
      <w:divsChild>
        <w:div w:id="1118178464">
          <w:marLeft w:val="0"/>
          <w:marRight w:val="0"/>
          <w:marTop w:val="0"/>
          <w:marBottom w:val="100"/>
          <w:divBdr>
            <w:top w:val="none" w:sz="0" w:space="0" w:color="auto"/>
            <w:left w:val="none" w:sz="0" w:space="0" w:color="auto"/>
            <w:bottom w:val="none" w:sz="0" w:space="0" w:color="auto"/>
            <w:right w:val="none" w:sz="0" w:space="0" w:color="auto"/>
          </w:divBdr>
        </w:div>
      </w:divsChild>
    </w:div>
    <w:div w:id="1721787003">
      <w:marLeft w:val="0"/>
      <w:marRight w:val="0"/>
      <w:marTop w:val="100"/>
      <w:marBottom w:val="0"/>
      <w:divBdr>
        <w:top w:val="none" w:sz="0" w:space="0" w:color="auto"/>
        <w:left w:val="none" w:sz="0" w:space="0" w:color="auto"/>
        <w:bottom w:val="none" w:sz="0" w:space="0" w:color="auto"/>
        <w:right w:val="none" w:sz="0" w:space="0" w:color="auto"/>
      </w:divBdr>
    </w:div>
    <w:div w:id="1727223019">
      <w:marLeft w:val="0"/>
      <w:marRight w:val="0"/>
      <w:marTop w:val="0"/>
      <w:marBottom w:val="100"/>
      <w:divBdr>
        <w:top w:val="none" w:sz="0" w:space="0" w:color="auto"/>
        <w:left w:val="none" w:sz="0" w:space="0" w:color="auto"/>
        <w:bottom w:val="none" w:sz="0" w:space="0" w:color="auto"/>
        <w:right w:val="none" w:sz="0" w:space="0" w:color="auto"/>
      </w:divBdr>
    </w:div>
    <w:div w:id="1729307678">
      <w:marLeft w:val="0"/>
      <w:marRight w:val="0"/>
      <w:marTop w:val="100"/>
      <w:marBottom w:val="100"/>
      <w:divBdr>
        <w:top w:val="none" w:sz="0" w:space="0" w:color="auto"/>
        <w:left w:val="none" w:sz="0" w:space="0" w:color="auto"/>
        <w:bottom w:val="none" w:sz="0" w:space="0" w:color="auto"/>
        <w:right w:val="none" w:sz="0" w:space="0" w:color="auto"/>
      </w:divBdr>
    </w:div>
    <w:div w:id="1729839602">
      <w:marLeft w:val="0"/>
      <w:marRight w:val="0"/>
      <w:marTop w:val="0"/>
      <w:marBottom w:val="0"/>
      <w:divBdr>
        <w:top w:val="none" w:sz="0" w:space="0" w:color="auto"/>
        <w:left w:val="none" w:sz="0" w:space="0" w:color="auto"/>
        <w:bottom w:val="none" w:sz="0" w:space="0" w:color="auto"/>
        <w:right w:val="none" w:sz="0" w:space="0" w:color="auto"/>
      </w:divBdr>
    </w:div>
    <w:div w:id="1731533837">
      <w:marLeft w:val="0"/>
      <w:marRight w:val="0"/>
      <w:marTop w:val="180"/>
      <w:marBottom w:val="0"/>
      <w:divBdr>
        <w:top w:val="none" w:sz="0" w:space="0" w:color="auto"/>
        <w:left w:val="none" w:sz="0" w:space="0" w:color="auto"/>
        <w:bottom w:val="none" w:sz="0" w:space="0" w:color="auto"/>
        <w:right w:val="none" w:sz="0" w:space="0" w:color="auto"/>
      </w:divBdr>
      <w:divsChild>
        <w:div w:id="1290163229">
          <w:marLeft w:val="0"/>
          <w:marRight w:val="0"/>
          <w:marTop w:val="0"/>
          <w:marBottom w:val="0"/>
          <w:divBdr>
            <w:top w:val="none" w:sz="0" w:space="0" w:color="auto"/>
            <w:left w:val="none" w:sz="0" w:space="0" w:color="auto"/>
            <w:bottom w:val="none" w:sz="0" w:space="0" w:color="auto"/>
            <w:right w:val="none" w:sz="0" w:space="0" w:color="auto"/>
          </w:divBdr>
        </w:div>
        <w:div w:id="1833332145">
          <w:marLeft w:val="0"/>
          <w:marRight w:val="0"/>
          <w:marTop w:val="0"/>
          <w:marBottom w:val="0"/>
          <w:divBdr>
            <w:top w:val="none" w:sz="0" w:space="0" w:color="auto"/>
            <w:left w:val="none" w:sz="0" w:space="0" w:color="auto"/>
            <w:bottom w:val="none" w:sz="0" w:space="0" w:color="auto"/>
            <w:right w:val="none" w:sz="0" w:space="0" w:color="auto"/>
          </w:divBdr>
        </w:div>
      </w:divsChild>
    </w:div>
    <w:div w:id="1733196161">
      <w:marLeft w:val="0"/>
      <w:marRight w:val="0"/>
      <w:marTop w:val="0"/>
      <w:marBottom w:val="0"/>
      <w:divBdr>
        <w:top w:val="none" w:sz="0" w:space="0" w:color="auto"/>
        <w:left w:val="none" w:sz="0" w:space="0" w:color="auto"/>
        <w:bottom w:val="none" w:sz="0" w:space="0" w:color="auto"/>
        <w:right w:val="none" w:sz="0" w:space="0" w:color="auto"/>
      </w:divBdr>
      <w:divsChild>
        <w:div w:id="304699561">
          <w:marLeft w:val="0"/>
          <w:marRight w:val="0"/>
          <w:marTop w:val="0"/>
          <w:marBottom w:val="100"/>
          <w:divBdr>
            <w:top w:val="none" w:sz="0" w:space="0" w:color="auto"/>
            <w:left w:val="none" w:sz="0" w:space="0" w:color="auto"/>
            <w:bottom w:val="none" w:sz="0" w:space="0" w:color="auto"/>
            <w:right w:val="none" w:sz="0" w:space="0" w:color="auto"/>
          </w:divBdr>
        </w:div>
      </w:divsChild>
    </w:div>
    <w:div w:id="1733695466">
      <w:marLeft w:val="0"/>
      <w:marRight w:val="0"/>
      <w:marTop w:val="180"/>
      <w:marBottom w:val="0"/>
      <w:divBdr>
        <w:top w:val="none" w:sz="0" w:space="0" w:color="auto"/>
        <w:left w:val="none" w:sz="0" w:space="0" w:color="auto"/>
        <w:bottom w:val="none" w:sz="0" w:space="0" w:color="auto"/>
        <w:right w:val="none" w:sz="0" w:space="0" w:color="auto"/>
      </w:divBdr>
    </w:div>
    <w:div w:id="1735007490">
      <w:marLeft w:val="0"/>
      <w:marRight w:val="0"/>
      <w:marTop w:val="100"/>
      <w:marBottom w:val="100"/>
      <w:divBdr>
        <w:top w:val="none" w:sz="0" w:space="0" w:color="auto"/>
        <w:left w:val="none" w:sz="0" w:space="0" w:color="auto"/>
        <w:bottom w:val="none" w:sz="0" w:space="0" w:color="auto"/>
        <w:right w:val="none" w:sz="0" w:space="0" w:color="auto"/>
      </w:divBdr>
    </w:div>
    <w:div w:id="1735658963">
      <w:marLeft w:val="0"/>
      <w:marRight w:val="0"/>
      <w:marTop w:val="100"/>
      <w:marBottom w:val="100"/>
      <w:divBdr>
        <w:top w:val="none" w:sz="0" w:space="0" w:color="auto"/>
        <w:left w:val="none" w:sz="0" w:space="0" w:color="auto"/>
        <w:bottom w:val="none" w:sz="0" w:space="0" w:color="auto"/>
        <w:right w:val="none" w:sz="0" w:space="0" w:color="auto"/>
      </w:divBdr>
    </w:div>
    <w:div w:id="1737513849">
      <w:marLeft w:val="0"/>
      <w:marRight w:val="0"/>
      <w:marTop w:val="100"/>
      <w:marBottom w:val="0"/>
      <w:divBdr>
        <w:top w:val="none" w:sz="0" w:space="0" w:color="auto"/>
        <w:left w:val="none" w:sz="0" w:space="0" w:color="auto"/>
        <w:bottom w:val="none" w:sz="0" w:space="0" w:color="auto"/>
        <w:right w:val="none" w:sz="0" w:space="0" w:color="auto"/>
      </w:divBdr>
    </w:div>
    <w:div w:id="1738819830">
      <w:marLeft w:val="0"/>
      <w:marRight w:val="0"/>
      <w:marTop w:val="0"/>
      <w:marBottom w:val="0"/>
      <w:divBdr>
        <w:top w:val="none" w:sz="0" w:space="0" w:color="auto"/>
        <w:left w:val="none" w:sz="0" w:space="0" w:color="auto"/>
        <w:bottom w:val="none" w:sz="0" w:space="0" w:color="auto"/>
        <w:right w:val="none" w:sz="0" w:space="0" w:color="auto"/>
      </w:divBdr>
      <w:divsChild>
        <w:div w:id="561913657">
          <w:marLeft w:val="0"/>
          <w:marRight w:val="0"/>
          <w:marTop w:val="0"/>
          <w:marBottom w:val="100"/>
          <w:divBdr>
            <w:top w:val="none" w:sz="0" w:space="0" w:color="auto"/>
            <w:left w:val="none" w:sz="0" w:space="0" w:color="auto"/>
            <w:bottom w:val="none" w:sz="0" w:space="0" w:color="auto"/>
            <w:right w:val="none" w:sz="0" w:space="0" w:color="auto"/>
          </w:divBdr>
        </w:div>
      </w:divsChild>
    </w:div>
    <w:div w:id="1752463835">
      <w:marLeft w:val="0"/>
      <w:marRight w:val="0"/>
      <w:marTop w:val="180"/>
      <w:marBottom w:val="0"/>
      <w:divBdr>
        <w:top w:val="none" w:sz="0" w:space="0" w:color="auto"/>
        <w:left w:val="none" w:sz="0" w:space="0" w:color="auto"/>
        <w:bottom w:val="none" w:sz="0" w:space="0" w:color="auto"/>
        <w:right w:val="none" w:sz="0" w:space="0" w:color="auto"/>
      </w:divBdr>
    </w:div>
    <w:div w:id="1758290189">
      <w:marLeft w:val="0"/>
      <w:marRight w:val="0"/>
      <w:marTop w:val="180"/>
      <w:marBottom w:val="0"/>
      <w:divBdr>
        <w:top w:val="none" w:sz="0" w:space="0" w:color="auto"/>
        <w:left w:val="none" w:sz="0" w:space="0" w:color="auto"/>
        <w:bottom w:val="none" w:sz="0" w:space="0" w:color="auto"/>
        <w:right w:val="none" w:sz="0" w:space="0" w:color="auto"/>
      </w:divBdr>
    </w:div>
    <w:div w:id="1760055551">
      <w:marLeft w:val="0"/>
      <w:marRight w:val="0"/>
      <w:marTop w:val="0"/>
      <w:marBottom w:val="100"/>
      <w:divBdr>
        <w:top w:val="none" w:sz="0" w:space="0" w:color="auto"/>
        <w:left w:val="none" w:sz="0" w:space="0" w:color="auto"/>
        <w:bottom w:val="none" w:sz="0" w:space="0" w:color="auto"/>
        <w:right w:val="none" w:sz="0" w:space="0" w:color="auto"/>
      </w:divBdr>
    </w:div>
    <w:div w:id="1765762383">
      <w:marLeft w:val="0"/>
      <w:marRight w:val="0"/>
      <w:marTop w:val="0"/>
      <w:marBottom w:val="0"/>
      <w:divBdr>
        <w:top w:val="none" w:sz="0" w:space="0" w:color="auto"/>
        <w:left w:val="none" w:sz="0" w:space="0" w:color="auto"/>
        <w:bottom w:val="none" w:sz="0" w:space="0" w:color="auto"/>
        <w:right w:val="none" w:sz="0" w:space="0" w:color="auto"/>
      </w:divBdr>
      <w:divsChild>
        <w:div w:id="1652707950">
          <w:marLeft w:val="0"/>
          <w:marRight w:val="0"/>
          <w:marTop w:val="0"/>
          <w:marBottom w:val="100"/>
          <w:divBdr>
            <w:top w:val="none" w:sz="0" w:space="0" w:color="auto"/>
            <w:left w:val="none" w:sz="0" w:space="0" w:color="auto"/>
            <w:bottom w:val="none" w:sz="0" w:space="0" w:color="auto"/>
            <w:right w:val="none" w:sz="0" w:space="0" w:color="auto"/>
          </w:divBdr>
        </w:div>
      </w:divsChild>
    </w:div>
    <w:div w:id="1768043672">
      <w:marLeft w:val="0"/>
      <w:marRight w:val="0"/>
      <w:marTop w:val="0"/>
      <w:marBottom w:val="0"/>
      <w:divBdr>
        <w:top w:val="none" w:sz="0" w:space="0" w:color="auto"/>
        <w:left w:val="none" w:sz="0" w:space="0" w:color="auto"/>
        <w:bottom w:val="none" w:sz="0" w:space="0" w:color="auto"/>
        <w:right w:val="none" w:sz="0" w:space="0" w:color="auto"/>
      </w:divBdr>
    </w:div>
    <w:div w:id="1771584368">
      <w:marLeft w:val="0"/>
      <w:marRight w:val="0"/>
      <w:marTop w:val="0"/>
      <w:marBottom w:val="0"/>
      <w:divBdr>
        <w:top w:val="none" w:sz="0" w:space="0" w:color="auto"/>
        <w:left w:val="none" w:sz="0" w:space="0" w:color="auto"/>
        <w:bottom w:val="none" w:sz="0" w:space="0" w:color="auto"/>
        <w:right w:val="none" w:sz="0" w:space="0" w:color="auto"/>
      </w:divBdr>
      <w:divsChild>
        <w:div w:id="1299795796">
          <w:marLeft w:val="0"/>
          <w:marRight w:val="0"/>
          <w:marTop w:val="0"/>
          <w:marBottom w:val="100"/>
          <w:divBdr>
            <w:top w:val="none" w:sz="0" w:space="0" w:color="auto"/>
            <w:left w:val="none" w:sz="0" w:space="0" w:color="auto"/>
            <w:bottom w:val="none" w:sz="0" w:space="0" w:color="auto"/>
            <w:right w:val="none" w:sz="0" w:space="0" w:color="auto"/>
          </w:divBdr>
        </w:div>
      </w:divsChild>
    </w:div>
    <w:div w:id="1772167266">
      <w:marLeft w:val="0"/>
      <w:marRight w:val="0"/>
      <w:marTop w:val="0"/>
      <w:marBottom w:val="100"/>
      <w:divBdr>
        <w:top w:val="none" w:sz="0" w:space="0" w:color="auto"/>
        <w:left w:val="none" w:sz="0" w:space="0" w:color="auto"/>
        <w:bottom w:val="none" w:sz="0" w:space="0" w:color="auto"/>
        <w:right w:val="none" w:sz="0" w:space="0" w:color="auto"/>
      </w:divBdr>
    </w:div>
    <w:div w:id="1775589622">
      <w:marLeft w:val="0"/>
      <w:marRight w:val="0"/>
      <w:marTop w:val="100"/>
      <w:marBottom w:val="0"/>
      <w:divBdr>
        <w:top w:val="none" w:sz="0" w:space="0" w:color="auto"/>
        <w:left w:val="none" w:sz="0" w:space="0" w:color="auto"/>
        <w:bottom w:val="none" w:sz="0" w:space="0" w:color="auto"/>
        <w:right w:val="none" w:sz="0" w:space="0" w:color="auto"/>
      </w:divBdr>
      <w:divsChild>
        <w:div w:id="1950241443">
          <w:marLeft w:val="0"/>
          <w:marRight w:val="0"/>
          <w:marTop w:val="0"/>
          <w:marBottom w:val="0"/>
          <w:divBdr>
            <w:top w:val="none" w:sz="0" w:space="0" w:color="auto"/>
            <w:left w:val="none" w:sz="0" w:space="0" w:color="auto"/>
            <w:bottom w:val="none" w:sz="0" w:space="0" w:color="auto"/>
            <w:right w:val="none" w:sz="0" w:space="0" w:color="auto"/>
          </w:divBdr>
        </w:div>
      </w:divsChild>
    </w:div>
    <w:div w:id="1775779721">
      <w:marLeft w:val="0"/>
      <w:marRight w:val="0"/>
      <w:marTop w:val="180"/>
      <w:marBottom w:val="0"/>
      <w:divBdr>
        <w:top w:val="none" w:sz="0" w:space="0" w:color="auto"/>
        <w:left w:val="none" w:sz="0" w:space="0" w:color="auto"/>
        <w:bottom w:val="none" w:sz="0" w:space="0" w:color="auto"/>
        <w:right w:val="none" w:sz="0" w:space="0" w:color="auto"/>
      </w:divBdr>
    </w:div>
    <w:div w:id="1776557789">
      <w:marLeft w:val="0"/>
      <w:marRight w:val="0"/>
      <w:marTop w:val="180"/>
      <w:marBottom w:val="0"/>
      <w:divBdr>
        <w:top w:val="none" w:sz="0" w:space="0" w:color="auto"/>
        <w:left w:val="none" w:sz="0" w:space="0" w:color="auto"/>
        <w:bottom w:val="none" w:sz="0" w:space="0" w:color="auto"/>
        <w:right w:val="none" w:sz="0" w:space="0" w:color="auto"/>
      </w:divBdr>
    </w:div>
    <w:div w:id="1778065019">
      <w:marLeft w:val="0"/>
      <w:marRight w:val="0"/>
      <w:marTop w:val="180"/>
      <w:marBottom w:val="0"/>
      <w:divBdr>
        <w:top w:val="none" w:sz="0" w:space="0" w:color="auto"/>
        <w:left w:val="none" w:sz="0" w:space="0" w:color="auto"/>
        <w:bottom w:val="none" w:sz="0" w:space="0" w:color="auto"/>
        <w:right w:val="none" w:sz="0" w:space="0" w:color="auto"/>
      </w:divBdr>
    </w:div>
    <w:div w:id="1785492580">
      <w:marLeft w:val="0"/>
      <w:marRight w:val="0"/>
      <w:marTop w:val="0"/>
      <w:marBottom w:val="0"/>
      <w:divBdr>
        <w:top w:val="none" w:sz="0" w:space="0" w:color="auto"/>
        <w:left w:val="none" w:sz="0" w:space="0" w:color="auto"/>
        <w:bottom w:val="none" w:sz="0" w:space="0" w:color="auto"/>
        <w:right w:val="none" w:sz="0" w:space="0" w:color="auto"/>
      </w:divBdr>
    </w:div>
    <w:div w:id="1785728502">
      <w:marLeft w:val="0"/>
      <w:marRight w:val="0"/>
      <w:marTop w:val="0"/>
      <w:marBottom w:val="0"/>
      <w:divBdr>
        <w:top w:val="none" w:sz="0" w:space="0" w:color="auto"/>
        <w:left w:val="none" w:sz="0" w:space="0" w:color="auto"/>
        <w:bottom w:val="none" w:sz="0" w:space="0" w:color="auto"/>
        <w:right w:val="none" w:sz="0" w:space="0" w:color="auto"/>
      </w:divBdr>
    </w:div>
    <w:div w:id="1788742882">
      <w:marLeft w:val="0"/>
      <w:marRight w:val="0"/>
      <w:marTop w:val="0"/>
      <w:marBottom w:val="0"/>
      <w:divBdr>
        <w:top w:val="none" w:sz="0" w:space="0" w:color="auto"/>
        <w:left w:val="none" w:sz="0" w:space="0" w:color="auto"/>
        <w:bottom w:val="none" w:sz="0" w:space="0" w:color="auto"/>
        <w:right w:val="none" w:sz="0" w:space="0" w:color="auto"/>
      </w:divBdr>
    </w:div>
    <w:div w:id="1797675415">
      <w:marLeft w:val="0"/>
      <w:marRight w:val="0"/>
      <w:marTop w:val="180"/>
      <w:marBottom w:val="100"/>
      <w:divBdr>
        <w:top w:val="none" w:sz="0" w:space="0" w:color="auto"/>
        <w:left w:val="none" w:sz="0" w:space="0" w:color="auto"/>
        <w:bottom w:val="none" w:sz="0" w:space="0" w:color="auto"/>
        <w:right w:val="none" w:sz="0" w:space="0" w:color="auto"/>
      </w:divBdr>
    </w:div>
    <w:div w:id="1803498337">
      <w:marLeft w:val="0"/>
      <w:marRight w:val="0"/>
      <w:marTop w:val="100"/>
      <w:marBottom w:val="100"/>
      <w:divBdr>
        <w:top w:val="none" w:sz="0" w:space="0" w:color="auto"/>
        <w:left w:val="none" w:sz="0" w:space="0" w:color="auto"/>
        <w:bottom w:val="none" w:sz="0" w:space="0" w:color="auto"/>
        <w:right w:val="none" w:sz="0" w:space="0" w:color="auto"/>
      </w:divBdr>
    </w:div>
    <w:div w:id="1807580349">
      <w:marLeft w:val="0"/>
      <w:marRight w:val="0"/>
      <w:marTop w:val="100"/>
      <w:marBottom w:val="100"/>
      <w:divBdr>
        <w:top w:val="none" w:sz="0" w:space="0" w:color="auto"/>
        <w:left w:val="none" w:sz="0" w:space="0" w:color="auto"/>
        <w:bottom w:val="none" w:sz="0" w:space="0" w:color="auto"/>
        <w:right w:val="none" w:sz="0" w:space="0" w:color="auto"/>
      </w:divBdr>
    </w:div>
    <w:div w:id="1817602855">
      <w:marLeft w:val="0"/>
      <w:marRight w:val="0"/>
      <w:marTop w:val="180"/>
      <w:marBottom w:val="100"/>
      <w:divBdr>
        <w:top w:val="none" w:sz="0" w:space="0" w:color="auto"/>
        <w:left w:val="none" w:sz="0" w:space="0" w:color="auto"/>
        <w:bottom w:val="none" w:sz="0" w:space="0" w:color="auto"/>
        <w:right w:val="none" w:sz="0" w:space="0" w:color="auto"/>
      </w:divBdr>
    </w:div>
    <w:div w:id="1818064808">
      <w:marLeft w:val="0"/>
      <w:marRight w:val="0"/>
      <w:marTop w:val="0"/>
      <w:marBottom w:val="100"/>
      <w:divBdr>
        <w:top w:val="none" w:sz="0" w:space="0" w:color="auto"/>
        <w:left w:val="none" w:sz="0" w:space="0" w:color="auto"/>
        <w:bottom w:val="none" w:sz="0" w:space="0" w:color="auto"/>
        <w:right w:val="none" w:sz="0" w:space="0" w:color="auto"/>
      </w:divBdr>
    </w:div>
    <w:div w:id="1820345902">
      <w:marLeft w:val="0"/>
      <w:marRight w:val="0"/>
      <w:marTop w:val="0"/>
      <w:marBottom w:val="0"/>
      <w:divBdr>
        <w:top w:val="none" w:sz="0" w:space="0" w:color="auto"/>
        <w:left w:val="none" w:sz="0" w:space="0" w:color="auto"/>
        <w:bottom w:val="none" w:sz="0" w:space="0" w:color="auto"/>
        <w:right w:val="none" w:sz="0" w:space="0" w:color="auto"/>
      </w:divBdr>
    </w:div>
    <w:div w:id="1822504613">
      <w:marLeft w:val="0"/>
      <w:marRight w:val="0"/>
      <w:marTop w:val="0"/>
      <w:marBottom w:val="0"/>
      <w:divBdr>
        <w:top w:val="none" w:sz="0" w:space="0" w:color="auto"/>
        <w:left w:val="none" w:sz="0" w:space="0" w:color="auto"/>
        <w:bottom w:val="none" w:sz="0" w:space="0" w:color="auto"/>
        <w:right w:val="none" w:sz="0" w:space="0" w:color="auto"/>
      </w:divBdr>
    </w:div>
    <w:div w:id="1824392006">
      <w:marLeft w:val="0"/>
      <w:marRight w:val="0"/>
      <w:marTop w:val="0"/>
      <w:marBottom w:val="100"/>
      <w:divBdr>
        <w:top w:val="none" w:sz="0" w:space="0" w:color="auto"/>
        <w:left w:val="none" w:sz="0" w:space="0" w:color="auto"/>
        <w:bottom w:val="none" w:sz="0" w:space="0" w:color="auto"/>
        <w:right w:val="none" w:sz="0" w:space="0" w:color="auto"/>
      </w:divBdr>
    </w:div>
    <w:div w:id="1824739001">
      <w:marLeft w:val="0"/>
      <w:marRight w:val="0"/>
      <w:marTop w:val="100"/>
      <w:marBottom w:val="0"/>
      <w:divBdr>
        <w:top w:val="none" w:sz="0" w:space="0" w:color="auto"/>
        <w:left w:val="none" w:sz="0" w:space="0" w:color="auto"/>
        <w:bottom w:val="none" w:sz="0" w:space="0" w:color="auto"/>
        <w:right w:val="none" w:sz="0" w:space="0" w:color="auto"/>
      </w:divBdr>
    </w:div>
    <w:div w:id="1835992110">
      <w:marLeft w:val="0"/>
      <w:marRight w:val="0"/>
      <w:marTop w:val="0"/>
      <w:marBottom w:val="0"/>
      <w:divBdr>
        <w:top w:val="none" w:sz="0" w:space="0" w:color="auto"/>
        <w:left w:val="none" w:sz="0" w:space="0" w:color="auto"/>
        <w:bottom w:val="none" w:sz="0" w:space="0" w:color="auto"/>
        <w:right w:val="none" w:sz="0" w:space="0" w:color="auto"/>
      </w:divBdr>
    </w:div>
    <w:div w:id="1842817720">
      <w:marLeft w:val="0"/>
      <w:marRight w:val="0"/>
      <w:marTop w:val="180"/>
      <w:marBottom w:val="100"/>
      <w:divBdr>
        <w:top w:val="none" w:sz="0" w:space="0" w:color="auto"/>
        <w:left w:val="none" w:sz="0" w:space="0" w:color="auto"/>
        <w:bottom w:val="none" w:sz="0" w:space="0" w:color="auto"/>
        <w:right w:val="none" w:sz="0" w:space="0" w:color="auto"/>
      </w:divBdr>
    </w:div>
    <w:div w:id="1848666040">
      <w:marLeft w:val="0"/>
      <w:marRight w:val="0"/>
      <w:marTop w:val="0"/>
      <w:marBottom w:val="0"/>
      <w:divBdr>
        <w:top w:val="none" w:sz="0" w:space="0" w:color="auto"/>
        <w:left w:val="none" w:sz="0" w:space="0" w:color="auto"/>
        <w:bottom w:val="none" w:sz="0" w:space="0" w:color="auto"/>
        <w:right w:val="none" w:sz="0" w:space="0" w:color="auto"/>
      </w:divBdr>
      <w:divsChild>
        <w:div w:id="175969638">
          <w:marLeft w:val="0"/>
          <w:marRight w:val="0"/>
          <w:marTop w:val="0"/>
          <w:marBottom w:val="100"/>
          <w:divBdr>
            <w:top w:val="none" w:sz="0" w:space="0" w:color="auto"/>
            <w:left w:val="none" w:sz="0" w:space="0" w:color="auto"/>
            <w:bottom w:val="none" w:sz="0" w:space="0" w:color="auto"/>
            <w:right w:val="none" w:sz="0" w:space="0" w:color="auto"/>
          </w:divBdr>
        </w:div>
      </w:divsChild>
    </w:div>
    <w:div w:id="1854412954">
      <w:marLeft w:val="0"/>
      <w:marRight w:val="0"/>
      <w:marTop w:val="0"/>
      <w:marBottom w:val="100"/>
      <w:divBdr>
        <w:top w:val="none" w:sz="0" w:space="0" w:color="auto"/>
        <w:left w:val="none" w:sz="0" w:space="0" w:color="auto"/>
        <w:bottom w:val="none" w:sz="0" w:space="0" w:color="auto"/>
        <w:right w:val="none" w:sz="0" w:space="0" w:color="auto"/>
      </w:divBdr>
    </w:div>
    <w:div w:id="1860049704">
      <w:marLeft w:val="0"/>
      <w:marRight w:val="0"/>
      <w:marTop w:val="0"/>
      <w:marBottom w:val="0"/>
      <w:divBdr>
        <w:top w:val="none" w:sz="0" w:space="0" w:color="auto"/>
        <w:left w:val="none" w:sz="0" w:space="0" w:color="auto"/>
        <w:bottom w:val="none" w:sz="0" w:space="0" w:color="auto"/>
        <w:right w:val="none" w:sz="0" w:space="0" w:color="auto"/>
      </w:divBdr>
      <w:divsChild>
        <w:div w:id="830874909">
          <w:marLeft w:val="0"/>
          <w:marRight w:val="0"/>
          <w:marTop w:val="0"/>
          <w:marBottom w:val="0"/>
          <w:divBdr>
            <w:top w:val="none" w:sz="0" w:space="0" w:color="auto"/>
            <w:left w:val="none" w:sz="0" w:space="0" w:color="auto"/>
            <w:bottom w:val="none" w:sz="0" w:space="0" w:color="auto"/>
            <w:right w:val="none" w:sz="0" w:space="0" w:color="auto"/>
          </w:divBdr>
          <w:divsChild>
            <w:div w:id="206336644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0269657">
      <w:marLeft w:val="0"/>
      <w:marRight w:val="0"/>
      <w:marTop w:val="180"/>
      <w:marBottom w:val="0"/>
      <w:divBdr>
        <w:top w:val="none" w:sz="0" w:space="0" w:color="auto"/>
        <w:left w:val="none" w:sz="0" w:space="0" w:color="auto"/>
        <w:bottom w:val="none" w:sz="0" w:space="0" w:color="auto"/>
        <w:right w:val="none" w:sz="0" w:space="0" w:color="auto"/>
      </w:divBdr>
    </w:div>
    <w:div w:id="1863936986">
      <w:marLeft w:val="0"/>
      <w:marRight w:val="0"/>
      <w:marTop w:val="180"/>
      <w:marBottom w:val="0"/>
      <w:divBdr>
        <w:top w:val="none" w:sz="0" w:space="0" w:color="auto"/>
        <w:left w:val="none" w:sz="0" w:space="0" w:color="auto"/>
        <w:bottom w:val="none" w:sz="0" w:space="0" w:color="auto"/>
        <w:right w:val="none" w:sz="0" w:space="0" w:color="auto"/>
      </w:divBdr>
    </w:div>
    <w:div w:id="1867139381">
      <w:marLeft w:val="0"/>
      <w:marRight w:val="0"/>
      <w:marTop w:val="0"/>
      <w:marBottom w:val="0"/>
      <w:divBdr>
        <w:top w:val="none" w:sz="0" w:space="0" w:color="auto"/>
        <w:left w:val="none" w:sz="0" w:space="0" w:color="auto"/>
        <w:bottom w:val="none" w:sz="0" w:space="0" w:color="auto"/>
        <w:right w:val="none" w:sz="0" w:space="0" w:color="auto"/>
      </w:divBdr>
    </w:div>
    <w:div w:id="1870415336">
      <w:marLeft w:val="0"/>
      <w:marRight w:val="0"/>
      <w:marTop w:val="100"/>
      <w:marBottom w:val="100"/>
      <w:divBdr>
        <w:top w:val="none" w:sz="0" w:space="0" w:color="auto"/>
        <w:left w:val="none" w:sz="0" w:space="0" w:color="auto"/>
        <w:bottom w:val="none" w:sz="0" w:space="0" w:color="auto"/>
        <w:right w:val="none" w:sz="0" w:space="0" w:color="auto"/>
      </w:divBdr>
    </w:div>
    <w:div w:id="1874029509">
      <w:marLeft w:val="0"/>
      <w:marRight w:val="0"/>
      <w:marTop w:val="0"/>
      <w:marBottom w:val="0"/>
      <w:divBdr>
        <w:top w:val="none" w:sz="0" w:space="0" w:color="auto"/>
        <w:left w:val="none" w:sz="0" w:space="0" w:color="auto"/>
        <w:bottom w:val="none" w:sz="0" w:space="0" w:color="auto"/>
        <w:right w:val="none" w:sz="0" w:space="0" w:color="auto"/>
      </w:divBdr>
    </w:div>
    <w:div w:id="1884904590">
      <w:marLeft w:val="0"/>
      <w:marRight w:val="0"/>
      <w:marTop w:val="100"/>
      <w:marBottom w:val="100"/>
      <w:divBdr>
        <w:top w:val="none" w:sz="0" w:space="0" w:color="auto"/>
        <w:left w:val="none" w:sz="0" w:space="0" w:color="auto"/>
        <w:bottom w:val="none" w:sz="0" w:space="0" w:color="auto"/>
        <w:right w:val="none" w:sz="0" w:space="0" w:color="auto"/>
      </w:divBdr>
    </w:div>
    <w:div w:id="1886524946">
      <w:marLeft w:val="0"/>
      <w:marRight w:val="0"/>
      <w:marTop w:val="0"/>
      <w:marBottom w:val="100"/>
      <w:divBdr>
        <w:top w:val="none" w:sz="0" w:space="0" w:color="auto"/>
        <w:left w:val="none" w:sz="0" w:space="0" w:color="auto"/>
        <w:bottom w:val="none" w:sz="0" w:space="0" w:color="auto"/>
        <w:right w:val="none" w:sz="0" w:space="0" w:color="auto"/>
      </w:divBdr>
    </w:div>
    <w:div w:id="1896236501">
      <w:marLeft w:val="0"/>
      <w:marRight w:val="0"/>
      <w:marTop w:val="180"/>
      <w:marBottom w:val="120"/>
      <w:divBdr>
        <w:top w:val="none" w:sz="0" w:space="0" w:color="auto"/>
        <w:left w:val="none" w:sz="0" w:space="0" w:color="auto"/>
        <w:bottom w:val="none" w:sz="0" w:space="0" w:color="auto"/>
        <w:right w:val="none" w:sz="0" w:space="0" w:color="auto"/>
      </w:divBdr>
    </w:div>
    <w:div w:id="1902251905">
      <w:marLeft w:val="0"/>
      <w:marRight w:val="0"/>
      <w:marTop w:val="0"/>
      <w:marBottom w:val="0"/>
      <w:divBdr>
        <w:top w:val="none" w:sz="0" w:space="0" w:color="auto"/>
        <w:left w:val="none" w:sz="0" w:space="0" w:color="auto"/>
        <w:bottom w:val="none" w:sz="0" w:space="0" w:color="auto"/>
        <w:right w:val="none" w:sz="0" w:space="0" w:color="auto"/>
      </w:divBdr>
      <w:divsChild>
        <w:div w:id="1309554014">
          <w:marLeft w:val="0"/>
          <w:marRight w:val="0"/>
          <w:marTop w:val="0"/>
          <w:marBottom w:val="100"/>
          <w:divBdr>
            <w:top w:val="none" w:sz="0" w:space="0" w:color="auto"/>
            <w:left w:val="none" w:sz="0" w:space="0" w:color="auto"/>
            <w:bottom w:val="none" w:sz="0" w:space="0" w:color="auto"/>
            <w:right w:val="none" w:sz="0" w:space="0" w:color="auto"/>
          </w:divBdr>
        </w:div>
        <w:div w:id="1907910591">
          <w:marLeft w:val="0"/>
          <w:marRight w:val="0"/>
          <w:marTop w:val="0"/>
          <w:marBottom w:val="100"/>
          <w:divBdr>
            <w:top w:val="none" w:sz="0" w:space="0" w:color="auto"/>
            <w:left w:val="none" w:sz="0" w:space="0" w:color="auto"/>
            <w:bottom w:val="none" w:sz="0" w:space="0" w:color="auto"/>
            <w:right w:val="none" w:sz="0" w:space="0" w:color="auto"/>
          </w:divBdr>
        </w:div>
        <w:div w:id="719741585">
          <w:marLeft w:val="0"/>
          <w:marRight w:val="0"/>
          <w:marTop w:val="0"/>
          <w:marBottom w:val="100"/>
          <w:divBdr>
            <w:top w:val="none" w:sz="0" w:space="0" w:color="auto"/>
            <w:left w:val="none" w:sz="0" w:space="0" w:color="auto"/>
            <w:bottom w:val="none" w:sz="0" w:space="0" w:color="auto"/>
            <w:right w:val="none" w:sz="0" w:space="0" w:color="auto"/>
          </w:divBdr>
        </w:div>
      </w:divsChild>
    </w:div>
    <w:div w:id="1902330197">
      <w:marLeft w:val="0"/>
      <w:marRight w:val="0"/>
      <w:marTop w:val="0"/>
      <w:marBottom w:val="100"/>
      <w:divBdr>
        <w:top w:val="none" w:sz="0" w:space="0" w:color="auto"/>
        <w:left w:val="none" w:sz="0" w:space="0" w:color="auto"/>
        <w:bottom w:val="none" w:sz="0" w:space="0" w:color="auto"/>
        <w:right w:val="none" w:sz="0" w:space="0" w:color="auto"/>
      </w:divBdr>
    </w:div>
    <w:div w:id="1913000488">
      <w:marLeft w:val="0"/>
      <w:marRight w:val="0"/>
      <w:marTop w:val="100"/>
      <w:marBottom w:val="100"/>
      <w:divBdr>
        <w:top w:val="none" w:sz="0" w:space="0" w:color="auto"/>
        <w:left w:val="none" w:sz="0" w:space="0" w:color="auto"/>
        <w:bottom w:val="none" w:sz="0" w:space="0" w:color="auto"/>
        <w:right w:val="none" w:sz="0" w:space="0" w:color="auto"/>
      </w:divBdr>
    </w:div>
    <w:div w:id="1916426985">
      <w:marLeft w:val="0"/>
      <w:marRight w:val="0"/>
      <w:marTop w:val="0"/>
      <w:marBottom w:val="0"/>
      <w:divBdr>
        <w:top w:val="none" w:sz="0" w:space="0" w:color="auto"/>
        <w:left w:val="none" w:sz="0" w:space="0" w:color="auto"/>
        <w:bottom w:val="none" w:sz="0" w:space="0" w:color="auto"/>
        <w:right w:val="none" w:sz="0" w:space="0" w:color="auto"/>
      </w:divBdr>
    </w:div>
    <w:div w:id="1920094873">
      <w:marLeft w:val="0"/>
      <w:marRight w:val="0"/>
      <w:marTop w:val="180"/>
      <w:marBottom w:val="0"/>
      <w:divBdr>
        <w:top w:val="none" w:sz="0" w:space="0" w:color="auto"/>
        <w:left w:val="none" w:sz="0" w:space="0" w:color="auto"/>
        <w:bottom w:val="none" w:sz="0" w:space="0" w:color="auto"/>
        <w:right w:val="none" w:sz="0" w:space="0" w:color="auto"/>
      </w:divBdr>
    </w:div>
    <w:div w:id="1921404222">
      <w:marLeft w:val="0"/>
      <w:marRight w:val="0"/>
      <w:marTop w:val="0"/>
      <w:marBottom w:val="100"/>
      <w:divBdr>
        <w:top w:val="none" w:sz="0" w:space="0" w:color="auto"/>
        <w:left w:val="none" w:sz="0" w:space="0" w:color="auto"/>
        <w:bottom w:val="none" w:sz="0" w:space="0" w:color="auto"/>
        <w:right w:val="none" w:sz="0" w:space="0" w:color="auto"/>
      </w:divBdr>
    </w:div>
    <w:div w:id="1921716798">
      <w:marLeft w:val="0"/>
      <w:marRight w:val="0"/>
      <w:marTop w:val="0"/>
      <w:marBottom w:val="0"/>
      <w:divBdr>
        <w:top w:val="none" w:sz="0" w:space="0" w:color="auto"/>
        <w:left w:val="none" w:sz="0" w:space="0" w:color="auto"/>
        <w:bottom w:val="none" w:sz="0" w:space="0" w:color="auto"/>
        <w:right w:val="none" w:sz="0" w:space="0" w:color="auto"/>
      </w:divBdr>
    </w:div>
    <w:div w:id="1923446271">
      <w:marLeft w:val="0"/>
      <w:marRight w:val="0"/>
      <w:marTop w:val="180"/>
      <w:marBottom w:val="0"/>
      <w:divBdr>
        <w:top w:val="none" w:sz="0" w:space="0" w:color="auto"/>
        <w:left w:val="none" w:sz="0" w:space="0" w:color="auto"/>
        <w:bottom w:val="none" w:sz="0" w:space="0" w:color="auto"/>
        <w:right w:val="none" w:sz="0" w:space="0" w:color="auto"/>
      </w:divBdr>
      <w:divsChild>
        <w:div w:id="1877691231">
          <w:marLeft w:val="0"/>
          <w:marRight w:val="0"/>
          <w:marTop w:val="0"/>
          <w:marBottom w:val="0"/>
          <w:divBdr>
            <w:top w:val="none" w:sz="0" w:space="0" w:color="auto"/>
            <w:left w:val="none" w:sz="0" w:space="0" w:color="auto"/>
            <w:bottom w:val="none" w:sz="0" w:space="0" w:color="auto"/>
            <w:right w:val="none" w:sz="0" w:space="0" w:color="auto"/>
          </w:divBdr>
        </w:div>
      </w:divsChild>
    </w:div>
    <w:div w:id="1925651256">
      <w:marLeft w:val="0"/>
      <w:marRight w:val="0"/>
      <w:marTop w:val="180"/>
      <w:marBottom w:val="0"/>
      <w:divBdr>
        <w:top w:val="none" w:sz="0" w:space="0" w:color="auto"/>
        <w:left w:val="none" w:sz="0" w:space="0" w:color="auto"/>
        <w:bottom w:val="none" w:sz="0" w:space="0" w:color="auto"/>
        <w:right w:val="none" w:sz="0" w:space="0" w:color="auto"/>
      </w:divBdr>
    </w:div>
    <w:div w:id="1931892779">
      <w:marLeft w:val="0"/>
      <w:marRight w:val="0"/>
      <w:marTop w:val="0"/>
      <w:marBottom w:val="100"/>
      <w:divBdr>
        <w:top w:val="none" w:sz="0" w:space="0" w:color="auto"/>
        <w:left w:val="none" w:sz="0" w:space="0" w:color="auto"/>
        <w:bottom w:val="none" w:sz="0" w:space="0" w:color="auto"/>
        <w:right w:val="none" w:sz="0" w:space="0" w:color="auto"/>
      </w:divBdr>
    </w:div>
    <w:div w:id="1932741722">
      <w:marLeft w:val="0"/>
      <w:marRight w:val="0"/>
      <w:marTop w:val="0"/>
      <w:marBottom w:val="100"/>
      <w:divBdr>
        <w:top w:val="none" w:sz="0" w:space="0" w:color="auto"/>
        <w:left w:val="none" w:sz="0" w:space="0" w:color="auto"/>
        <w:bottom w:val="none" w:sz="0" w:space="0" w:color="auto"/>
        <w:right w:val="none" w:sz="0" w:space="0" w:color="auto"/>
      </w:divBdr>
    </w:div>
    <w:div w:id="1949042815">
      <w:marLeft w:val="0"/>
      <w:marRight w:val="0"/>
      <w:marTop w:val="0"/>
      <w:marBottom w:val="100"/>
      <w:divBdr>
        <w:top w:val="none" w:sz="0" w:space="0" w:color="auto"/>
        <w:left w:val="none" w:sz="0" w:space="0" w:color="auto"/>
        <w:bottom w:val="none" w:sz="0" w:space="0" w:color="auto"/>
        <w:right w:val="none" w:sz="0" w:space="0" w:color="auto"/>
      </w:divBdr>
    </w:div>
    <w:div w:id="1950968272">
      <w:marLeft w:val="0"/>
      <w:marRight w:val="0"/>
      <w:marTop w:val="0"/>
      <w:marBottom w:val="100"/>
      <w:divBdr>
        <w:top w:val="none" w:sz="0" w:space="0" w:color="auto"/>
        <w:left w:val="none" w:sz="0" w:space="0" w:color="auto"/>
        <w:bottom w:val="none" w:sz="0" w:space="0" w:color="auto"/>
        <w:right w:val="none" w:sz="0" w:space="0" w:color="auto"/>
      </w:divBdr>
    </w:div>
    <w:div w:id="1968046617">
      <w:marLeft w:val="0"/>
      <w:marRight w:val="0"/>
      <w:marTop w:val="100"/>
      <w:marBottom w:val="100"/>
      <w:divBdr>
        <w:top w:val="none" w:sz="0" w:space="0" w:color="auto"/>
        <w:left w:val="none" w:sz="0" w:space="0" w:color="auto"/>
        <w:bottom w:val="none" w:sz="0" w:space="0" w:color="auto"/>
        <w:right w:val="none" w:sz="0" w:space="0" w:color="auto"/>
      </w:divBdr>
    </w:div>
    <w:div w:id="1968317106">
      <w:marLeft w:val="0"/>
      <w:marRight w:val="0"/>
      <w:marTop w:val="100"/>
      <w:marBottom w:val="100"/>
      <w:divBdr>
        <w:top w:val="none" w:sz="0" w:space="0" w:color="auto"/>
        <w:left w:val="none" w:sz="0" w:space="0" w:color="auto"/>
        <w:bottom w:val="none" w:sz="0" w:space="0" w:color="auto"/>
        <w:right w:val="none" w:sz="0" w:space="0" w:color="auto"/>
      </w:divBdr>
    </w:div>
    <w:div w:id="1969388906">
      <w:marLeft w:val="0"/>
      <w:marRight w:val="0"/>
      <w:marTop w:val="0"/>
      <w:marBottom w:val="100"/>
      <w:divBdr>
        <w:top w:val="none" w:sz="0" w:space="0" w:color="auto"/>
        <w:left w:val="none" w:sz="0" w:space="0" w:color="auto"/>
        <w:bottom w:val="none" w:sz="0" w:space="0" w:color="auto"/>
        <w:right w:val="none" w:sz="0" w:space="0" w:color="auto"/>
      </w:divBdr>
      <w:divsChild>
        <w:div w:id="901793626">
          <w:marLeft w:val="0"/>
          <w:marRight w:val="0"/>
          <w:marTop w:val="0"/>
          <w:marBottom w:val="0"/>
          <w:divBdr>
            <w:top w:val="none" w:sz="0" w:space="0" w:color="auto"/>
            <w:left w:val="none" w:sz="0" w:space="0" w:color="auto"/>
            <w:bottom w:val="none" w:sz="0" w:space="0" w:color="auto"/>
            <w:right w:val="none" w:sz="0" w:space="0" w:color="auto"/>
          </w:divBdr>
        </w:div>
      </w:divsChild>
    </w:div>
    <w:div w:id="1970277211">
      <w:marLeft w:val="0"/>
      <w:marRight w:val="0"/>
      <w:marTop w:val="0"/>
      <w:marBottom w:val="100"/>
      <w:divBdr>
        <w:top w:val="none" w:sz="0" w:space="0" w:color="auto"/>
        <w:left w:val="none" w:sz="0" w:space="0" w:color="auto"/>
        <w:bottom w:val="none" w:sz="0" w:space="0" w:color="auto"/>
        <w:right w:val="none" w:sz="0" w:space="0" w:color="auto"/>
      </w:divBdr>
    </w:div>
    <w:div w:id="1978796839">
      <w:marLeft w:val="0"/>
      <w:marRight w:val="0"/>
      <w:marTop w:val="180"/>
      <w:marBottom w:val="0"/>
      <w:divBdr>
        <w:top w:val="none" w:sz="0" w:space="0" w:color="auto"/>
        <w:left w:val="none" w:sz="0" w:space="0" w:color="auto"/>
        <w:bottom w:val="none" w:sz="0" w:space="0" w:color="auto"/>
        <w:right w:val="none" w:sz="0" w:space="0" w:color="auto"/>
      </w:divBdr>
    </w:div>
    <w:div w:id="1980836558">
      <w:marLeft w:val="0"/>
      <w:marRight w:val="0"/>
      <w:marTop w:val="180"/>
      <w:marBottom w:val="100"/>
      <w:divBdr>
        <w:top w:val="none" w:sz="0" w:space="0" w:color="auto"/>
        <w:left w:val="none" w:sz="0" w:space="0" w:color="auto"/>
        <w:bottom w:val="none" w:sz="0" w:space="0" w:color="auto"/>
        <w:right w:val="none" w:sz="0" w:space="0" w:color="auto"/>
      </w:divBdr>
    </w:div>
    <w:div w:id="1983461494">
      <w:marLeft w:val="0"/>
      <w:marRight w:val="0"/>
      <w:marTop w:val="0"/>
      <w:marBottom w:val="100"/>
      <w:divBdr>
        <w:top w:val="none" w:sz="0" w:space="0" w:color="auto"/>
        <w:left w:val="none" w:sz="0" w:space="0" w:color="auto"/>
        <w:bottom w:val="none" w:sz="0" w:space="0" w:color="auto"/>
        <w:right w:val="none" w:sz="0" w:space="0" w:color="auto"/>
      </w:divBdr>
    </w:div>
    <w:div w:id="1988514695">
      <w:marLeft w:val="0"/>
      <w:marRight w:val="0"/>
      <w:marTop w:val="0"/>
      <w:marBottom w:val="0"/>
      <w:divBdr>
        <w:top w:val="none" w:sz="0" w:space="0" w:color="auto"/>
        <w:left w:val="none" w:sz="0" w:space="0" w:color="auto"/>
        <w:bottom w:val="none" w:sz="0" w:space="0" w:color="auto"/>
        <w:right w:val="none" w:sz="0" w:space="0" w:color="auto"/>
      </w:divBdr>
    </w:div>
    <w:div w:id="1989895453">
      <w:marLeft w:val="0"/>
      <w:marRight w:val="0"/>
      <w:marTop w:val="0"/>
      <w:marBottom w:val="0"/>
      <w:divBdr>
        <w:top w:val="none" w:sz="0" w:space="0" w:color="auto"/>
        <w:left w:val="none" w:sz="0" w:space="0" w:color="auto"/>
        <w:bottom w:val="none" w:sz="0" w:space="0" w:color="auto"/>
        <w:right w:val="none" w:sz="0" w:space="0" w:color="auto"/>
      </w:divBdr>
      <w:divsChild>
        <w:div w:id="517893881">
          <w:marLeft w:val="0"/>
          <w:marRight w:val="0"/>
          <w:marTop w:val="0"/>
          <w:marBottom w:val="0"/>
          <w:divBdr>
            <w:top w:val="none" w:sz="0" w:space="0" w:color="auto"/>
            <w:left w:val="none" w:sz="0" w:space="0" w:color="auto"/>
            <w:bottom w:val="none" w:sz="0" w:space="0" w:color="auto"/>
            <w:right w:val="none" w:sz="0" w:space="0" w:color="auto"/>
          </w:divBdr>
          <w:divsChild>
            <w:div w:id="124206347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91053301">
      <w:marLeft w:val="0"/>
      <w:marRight w:val="0"/>
      <w:marTop w:val="100"/>
      <w:marBottom w:val="100"/>
      <w:divBdr>
        <w:top w:val="none" w:sz="0" w:space="0" w:color="auto"/>
        <w:left w:val="none" w:sz="0" w:space="0" w:color="auto"/>
        <w:bottom w:val="none" w:sz="0" w:space="0" w:color="auto"/>
        <w:right w:val="none" w:sz="0" w:space="0" w:color="auto"/>
      </w:divBdr>
    </w:div>
    <w:div w:id="2009089876">
      <w:marLeft w:val="0"/>
      <w:marRight w:val="0"/>
      <w:marTop w:val="0"/>
      <w:marBottom w:val="0"/>
      <w:divBdr>
        <w:top w:val="none" w:sz="0" w:space="0" w:color="auto"/>
        <w:left w:val="none" w:sz="0" w:space="0" w:color="auto"/>
        <w:bottom w:val="none" w:sz="0" w:space="0" w:color="auto"/>
        <w:right w:val="none" w:sz="0" w:space="0" w:color="auto"/>
      </w:divBdr>
      <w:divsChild>
        <w:div w:id="1422676837">
          <w:marLeft w:val="0"/>
          <w:marRight w:val="0"/>
          <w:marTop w:val="0"/>
          <w:marBottom w:val="0"/>
          <w:divBdr>
            <w:top w:val="none" w:sz="0" w:space="0" w:color="auto"/>
            <w:left w:val="none" w:sz="0" w:space="0" w:color="auto"/>
            <w:bottom w:val="none" w:sz="0" w:space="0" w:color="auto"/>
            <w:right w:val="none" w:sz="0" w:space="0" w:color="auto"/>
          </w:divBdr>
          <w:divsChild>
            <w:div w:id="68714810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14259743">
      <w:marLeft w:val="0"/>
      <w:marRight w:val="0"/>
      <w:marTop w:val="0"/>
      <w:marBottom w:val="0"/>
      <w:divBdr>
        <w:top w:val="none" w:sz="0" w:space="0" w:color="auto"/>
        <w:left w:val="none" w:sz="0" w:space="0" w:color="auto"/>
        <w:bottom w:val="none" w:sz="0" w:space="0" w:color="auto"/>
        <w:right w:val="none" w:sz="0" w:space="0" w:color="auto"/>
      </w:divBdr>
    </w:div>
    <w:div w:id="2015374596">
      <w:marLeft w:val="0"/>
      <w:marRight w:val="0"/>
      <w:marTop w:val="0"/>
      <w:marBottom w:val="100"/>
      <w:divBdr>
        <w:top w:val="none" w:sz="0" w:space="0" w:color="auto"/>
        <w:left w:val="none" w:sz="0" w:space="0" w:color="auto"/>
        <w:bottom w:val="none" w:sz="0" w:space="0" w:color="auto"/>
        <w:right w:val="none" w:sz="0" w:space="0" w:color="auto"/>
      </w:divBdr>
    </w:div>
    <w:div w:id="2016763240">
      <w:marLeft w:val="0"/>
      <w:marRight w:val="0"/>
      <w:marTop w:val="180"/>
      <w:marBottom w:val="100"/>
      <w:divBdr>
        <w:top w:val="none" w:sz="0" w:space="0" w:color="auto"/>
        <w:left w:val="none" w:sz="0" w:space="0" w:color="auto"/>
        <w:bottom w:val="none" w:sz="0" w:space="0" w:color="auto"/>
        <w:right w:val="none" w:sz="0" w:space="0" w:color="auto"/>
      </w:divBdr>
    </w:div>
    <w:div w:id="2019774499">
      <w:marLeft w:val="0"/>
      <w:marRight w:val="0"/>
      <w:marTop w:val="0"/>
      <w:marBottom w:val="100"/>
      <w:divBdr>
        <w:top w:val="none" w:sz="0" w:space="0" w:color="auto"/>
        <w:left w:val="none" w:sz="0" w:space="0" w:color="auto"/>
        <w:bottom w:val="none" w:sz="0" w:space="0" w:color="auto"/>
        <w:right w:val="none" w:sz="0" w:space="0" w:color="auto"/>
      </w:divBdr>
    </w:div>
    <w:div w:id="2021393808">
      <w:marLeft w:val="0"/>
      <w:marRight w:val="0"/>
      <w:marTop w:val="100"/>
      <w:marBottom w:val="100"/>
      <w:divBdr>
        <w:top w:val="none" w:sz="0" w:space="0" w:color="auto"/>
        <w:left w:val="none" w:sz="0" w:space="0" w:color="auto"/>
        <w:bottom w:val="none" w:sz="0" w:space="0" w:color="auto"/>
        <w:right w:val="none" w:sz="0" w:space="0" w:color="auto"/>
      </w:divBdr>
    </w:div>
    <w:div w:id="2025476805">
      <w:marLeft w:val="0"/>
      <w:marRight w:val="0"/>
      <w:marTop w:val="0"/>
      <w:marBottom w:val="0"/>
      <w:divBdr>
        <w:top w:val="none" w:sz="0" w:space="0" w:color="auto"/>
        <w:left w:val="none" w:sz="0" w:space="0" w:color="auto"/>
        <w:bottom w:val="none" w:sz="0" w:space="0" w:color="auto"/>
        <w:right w:val="none" w:sz="0" w:space="0" w:color="auto"/>
      </w:divBdr>
    </w:div>
    <w:div w:id="2027898848">
      <w:marLeft w:val="0"/>
      <w:marRight w:val="0"/>
      <w:marTop w:val="0"/>
      <w:marBottom w:val="0"/>
      <w:divBdr>
        <w:top w:val="none" w:sz="0" w:space="0" w:color="auto"/>
        <w:left w:val="none" w:sz="0" w:space="0" w:color="auto"/>
        <w:bottom w:val="none" w:sz="0" w:space="0" w:color="auto"/>
        <w:right w:val="none" w:sz="0" w:space="0" w:color="auto"/>
      </w:divBdr>
      <w:divsChild>
        <w:div w:id="1863281504">
          <w:marLeft w:val="0"/>
          <w:marRight w:val="0"/>
          <w:marTop w:val="0"/>
          <w:marBottom w:val="100"/>
          <w:divBdr>
            <w:top w:val="none" w:sz="0" w:space="0" w:color="auto"/>
            <w:left w:val="none" w:sz="0" w:space="0" w:color="auto"/>
            <w:bottom w:val="none" w:sz="0" w:space="0" w:color="auto"/>
            <w:right w:val="none" w:sz="0" w:space="0" w:color="auto"/>
          </w:divBdr>
        </w:div>
      </w:divsChild>
    </w:div>
    <w:div w:id="2032485114">
      <w:marLeft w:val="0"/>
      <w:marRight w:val="0"/>
      <w:marTop w:val="0"/>
      <w:marBottom w:val="100"/>
      <w:divBdr>
        <w:top w:val="none" w:sz="0" w:space="0" w:color="auto"/>
        <w:left w:val="none" w:sz="0" w:space="0" w:color="auto"/>
        <w:bottom w:val="none" w:sz="0" w:space="0" w:color="auto"/>
        <w:right w:val="none" w:sz="0" w:space="0" w:color="auto"/>
      </w:divBdr>
    </w:div>
    <w:div w:id="2036807682">
      <w:marLeft w:val="0"/>
      <w:marRight w:val="0"/>
      <w:marTop w:val="0"/>
      <w:marBottom w:val="100"/>
      <w:divBdr>
        <w:top w:val="none" w:sz="0" w:space="0" w:color="auto"/>
        <w:left w:val="none" w:sz="0" w:space="0" w:color="auto"/>
        <w:bottom w:val="none" w:sz="0" w:space="0" w:color="auto"/>
        <w:right w:val="none" w:sz="0" w:space="0" w:color="auto"/>
      </w:divBdr>
    </w:div>
    <w:div w:id="2046175635">
      <w:marLeft w:val="0"/>
      <w:marRight w:val="0"/>
      <w:marTop w:val="180"/>
      <w:marBottom w:val="0"/>
      <w:divBdr>
        <w:top w:val="none" w:sz="0" w:space="0" w:color="auto"/>
        <w:left w:val="none" w:sz="0" w:space="0" w:color="auto"/>
        <w:bottom w:val="none" w:sz="0" w:space="0" w:color="auto"/>
        <w:right w:val="none" w:sz="0" w:space="0" w:color="auto"/>
      </w:divBdr>
    </w:div>
    <w:div w:id="2049334059">
      <w:marLeft w:val="0"/>
      <w:marRight w:val="0"/>
      <w:marTop w:val="0"/>
      <w:marBottom w:val="0"/>
      <w:divBdr>
        <w:top w:val="none" w:sz="0" w:space="0" w:color="auto"/>
        <w:left w:val="none" w:sz="0" w:space="0" w:color="auto"/>
        <w:bottom w:val="none" w:sz="0" w:space="0" w:color="auto"/>
        <w:right w:val="none" w:sz="0" w:space="0" w:color="auto"/>
      </w:divBdr>
    </w:div>
    <w:div w:id="2057925116">
      <w:marLeft w:val="0"/>
      <w:marRight w:val="0"/>
      <w:marTop w:val="0"/>
      <w:marBottom w:val="0"/>
      <w:divBdr>
        <w:top w:val="none" w:sz="0" w:space="0" w:color="auto"/>
        <w:left w:val="none" w:sz="0" w:space="0" w:color="auto"/>
        <w:bottom w:val="none" w:sz="0" w:space="0" w:color="auto"/>
        <w:right w:val="none" w:sz="0" w:space="0" w:color="auto"/>
      </w:divBdr>
    </w:div>
    <w:div w:id="2061173977">
      <w:marLeft w:val="0"/>
      <w:marRight w:val="0"/>
      <w:marTop w:val="0"/>
      <w:marBottom w:val="100"/>
      <w:divBdr>
        <w:top w:val="none" w:sz="0" w:space="0" w:color="auto"/>
        <w:left w:val="none" w:sz="0" w:space="0" w:color="auto"/>
        <w:bottom w:val="none" w:sz="0" w:space="0" w:color="auto"/>
        <w:right w:val="none" w:sz="0" w:space="0" w:color="auto"/>
      </w:divBdr>
    </w:div>
    <w:div w:id="2066489660">
      <w:marLeft w:val="0"/>
      <w:marRight w:val="0"/>
      <w:marTop w:val="0"/>
      <w:marBottom w:val="0"/>
      <w:divBdr>
        <w:top w:val="none" w:sz="0" w:space="0" w:color="auto"/>
        <w:left w:val="none" w:sz="0" w:space="0" w:color="auto"/>
        <w:bottom w:val="none" w:sz="0" w:space="0" w:color="auto"/>
        <w:right w:val="none" w:sz="0" w:space="0" w:color="auto"/>
      </w:divBdr>
    </w:div>
    <w:div w:id="2072538593">
      <w:marLeft w:val="0"/>
      <w:marRight w:val="0"/>
      <w:marTop w:val="0"/>
      <w:marBottom w:val="100"/>
      <w:divBdr>
        <w:top w:val="none" w:sz="0" w:space="0" w:color="auto"/>
        <w:left w:val="none" w:sz="0" w:space="0" w:color="auto"/>
        <w:bottom w:val="none" w:sz="0" w:space="0" w:color="auto"/>
        <w:right w:val="none" w:sz="0" w:space="0" w:color="auto"/>
      </w:divBdr>
    </w:div>
    <w:div w:id="2074696787">
      <w:marLeft w:val="0"/>
      <w:marRight w:val="0"/>
      <w:marTop w:val="100"/>
      <w:marBottom w:val="100"/>
      <w:divBdr>
        <w:top w:val="none" w:sz="0" w:space="0" w:color="auto"/>
        <w:left w:val="none" w:sz="0" w:space="0" w:color="auto"/>
        <w:bottom w:val="none" w:sz="0" w:space="0" w:color="auto"/>
        <w:right w:val="none" w:sz="0" w:space="0" w:color="auto"/>
      </w:divBdr>
    </w:div>
    <w:div w:id="2075348463">
      <w:marLeft w:val="0"/>
      <w:marRight w:val="0"/>
      <w:marTop w:val="180"/>
      <w:marBottom w:val="0"/>
      <w:divBdr>
        <w:top w:val="none" w:sz="0" w:space="0" w:color="auto"/>
        <w:left w:val="none" w:sz="0" w:space="0" w:color="auto"/>
        <w:bottom w:val="none" w:sz="0" w:space="0" w:color="auto"/>
        <w:right w:val="none" w:sz="0" w:space="0" w:color="auto"/>
      </w:divBdr>
    </w:div>
    <w:div w:id="2075540831">
      <w:marLeft w:val="0"/>
      <w:marRight w:val="0"/>
      <w:marTop w:val="0"/>
      <w:marBottom w:val="100"/>
      <w:divBdr>
        <w:top w:val="none" w:sz="0" w:space="0" w:color="auto"/>
        <w:left w:val="none" w:sz="0" w:space="0" w:color="auto"/>
        <w:bottom w:val="none" w:sz="0" w:space="0" w:color="auto"/>
        <w:right w:val="none" w:sz="0" w:space="0" w:color="auto"/>
      </w:divBdr>
    </w:div>
    <w:div w:id="2090807654">
      <w:marLeft w:val="0"/>
      <w:marRight w:val="0"/>
      <w:marTop w:val="0"/>
      <w:marBottom w:val="100"/>
      <w:divBdr>
        <w:top w:val="none" w:sz="0" w:space="0" w:color="auto"/>
        <w:left w:val="none" w:sz="0" w:space="0" w:color="auto"/>
        <w:bottom w:val="none" w:sz="0" w:space="0" w:color="auto"/>
        <w:right w:val="none" w:sz="0" w:space="0" w:color="auto"/>
      </w:divBdr>
    </w:div>
    <w:div w:id="2095589244">
      <w:marLeft w:val="0"/>
      <w:marRight w:val="0"/>
      <w:marTop w:val="0"/>
      <w:marBottom w:val="0"/>
      <w:divBdr>
        <w:top w:val="none" w:sz="0" w:space="0" w:color="auto"/>
        <w:left w:val="none" w:sz="0" w:space="0" w:color="auto"/>
        <w:bottom w:val="none" w:sz="0" w:space="0" w:color="auto"/>
        <w:right w:val="none" w:sz="0" w:space="0" w:color="auto"/>
      </w:divBdr>
    </w:div>
    <w:div w:id="2096512736">
      <w:marLeft w:val="0"/>
      <w:marRight w:val="0"/>
      <w:marTop w:val="0"/>
      <w:marBottom w:val="100"/>
      <w:divBdr>
        <w:top w:val="none" w:sz="0" w:space="0" w:color="auto"/>
        <w:left w:val="none" w:sz="0" w:space="0" w:color="auto"/>
        <w:bottom w:val="none" w:sz="0" w:space="0" w:color="auto"/>
        <w:right w:val="none" w:sz="0" w:space="0" w:color="auto"/>
      </w:divBdr>
    </w:div>
    <w:div w:id="2104377276">
      <w:marLeft w:val="0"/>
      <w:marRight w:val="0"/>
      <w:marTop w:val="180"/>
      <w:marBottom w:val="0"/>
      <w:divBdr>
        <w:top w:val="none" w:sz="0" w:space="0" w:color="auto"/>
        <w:left w:val="none" w:sz="0" w:space="0" w:color="auto"/>
        <w:bottom w:val="none" w:sz="0" w:space="0" w:color="auto"/>
        <w:right w:val="none" w:sz="0" w:space="0" w:color="auto"/>
      </w:divBdr>
    </w:div>
    <w:div w:id="2104958748">
      <w:marLeft w:val="0"/>
      <w:marRight w:val="0"/>
      <w:marTop w:val="0"/>
      <w:marBottom w:val="0"/>
      <w:divBdr>
        <w:top w:val="none" w:sz="0" w:space="0" w:color="auto"/>
        <w:left w:val="none" w:sz="0" w:space="0" w:color="auto"/>
        <w:bottom w:val="none" w:sz="0" w:space="0" w:color="auto"/>
        <w:right w:val="none" w:sz="0" w:space="0" w:color="auto"/>
      </w:divBdr>
      <w:divsChild>
        <w:div w:id="2101219005">
          <w:marLeft w:val="0"/>
          <w:marRight w:val="0"/>
          <w:marTop w:val="0"/>
          <w:marBottom w:val="0"/>
          <w:divBdr>
            <w:top w:val="none" w:sz="0" w:space="0" w:color="auto"/>
            <w:left w:val="none" w:sz="0" w:space="0" w:color="auto"/>
            <w:bottom w:val="none" w:sz="0" w:space="0" w:color="auto"/>
            <w:right w:val="none" w:sz="0" w:space="0" w:color="auto"/>
          </w:divBdr>
          <w:divsChild>
            <w:div w:id="19392922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09235372">
      <w:marLeft w:val="0"/>
      <w:marRight w:val="0"/>
      <w:marTop w:val="180"/>
      <w:marBottom w:val="0"/>
      <w:divBdr>
        <w:top w:val="none" w:sz="0" w:space="0" w:color="auto"/>
        <w:left w:val="none" w:sz="0" w:space="0" w:color="auto"/>
        <w:bottom w:val="none" w:sz="0" w:space="0" w:color="auto"/>
        <w:right w:val="none" w:sz="0" w:space="0" w:color="auto"/>
      </w:divBdr>
    </w:div>
    <w:div w:id="2115202612">
      <w:marLeft w:val="0"/>
      <w:marRight w:val="0"/>
      <w:marTop w:val="0"/>
      <w:marBottom w:val="0"/>
      <w:divBdr>
        <w:top w:val="none" w:sz="0" w:space="0" w:color="auto"/>
        <w:left w:val="none" w:sz="0" w:space="0" w:color="auto"/>
        <w:bottom w:val="none" w:sz="0" w:space="0" w:color="auto"/>
        <w:right w:val="none" w:sz="0" w:space="0" w:color="auto"/>
      </w:divBdr>
      <w:divsChild>
        <w:div w:id="1972710393">
          <w:marLeft w:val="0"/>
          <w:marRight w:val="0"/>
          <w:marTop w:val="0"/>
          <w:marBottom w:val="100"/>
          <w:divBdr>
            <w:top w:val="none" w:sz="0" w:space="0" w:color="auto"/>
            <w:left w:val="none" w:sz="0" w:space="0" w:color="auto"/>
            <w:bottom w:val="none" w:sz="0" w:space="0" w:color="auto"/>
            <w:right w:val="none" w:sz="0" w:space="0" w:color="auto"/>
          </w:divBdr>
        </w:div>
      </w:divsChild>
    </w:div>
    <w:div w:id="2116055467">
      <w:marLeft w:val="0"/>
      <w:marRight w:val="0"/>
      <w:marTop w:val="180"/>
      <w:marBottom w:val="0"/>
      <w:divBdr>
        <w:top w:val="none" w:sz="0" w:space="0" w:color="auto"/>
        <w:left w:val="none" w:sz="0" w:space="0" w:color="auto"/>
        <w:bottom w:val="none" w:sz="0" w:space="0" w:color="auto"/>
        <w:right w:val="none" w:sz="0" w:space="0" w:color="auto"/>
      </w:divBdr>
    </w:div>
    <w:div w:id="2126003701">
      <w:marLeft w:val="0"/>
      <w:marRight w:val="0"/>
      <w:marTop w:val="0"/>
      <w:marBottom w:val="100"/>
      <w:divBdr>
        <w:top w:val="none" w:sz="0" w:space="0" w:color="auto"/>
        <w:left w:val="none" w:sz="0" w:space="0" w:color="auto"/>
        <w:bottom w:val="none" w:sz="0" w:space="0" w:color="auto"/>
        <w:right w:val="none" w:sz="0" w:space="0" w:color="auto"/>
      </w:divBdr>
    </w:div>
    <w:div w:id="2134598068">
      <w:marLeft w:val="0"/>
      <w:marRight w:val="0"/>
      <w:marTop w:val="100"/>
      <w:marBottom w:val="100"/>
      <w:divBdr>
        <w:top w:val="none" w:sz="0" w:space="0" w:color="auto"/>
        <w:left w:val="none" w:sz="0" w:space="0" w:color="auto"/>
        <w:bottom w:val="none" w:sz="0" w:space="0" w:color="auto"/>
        <w:right w:val="none" w:sz="0" w:space="0" w:color="auto"/>
      </w:divBdr>
    </w:div>
    <w:div w:id="2138713614">
      <w:marLeft w:val="0"/>
      <w:marRight w:val="0"/>
      <w:marTop w:val="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5q2cy2210-q.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0000202058/000020205822000029/exhibit3bby-lawamendment.htm" TargetMode="External"/><Relationship Id="rId12" Type="http://schemas.openxmlformats.org/officeDocument/2006/relationships/hyperlink" Target="exhibit322cy22-q210x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202058/000020205822000029/exhibit3arestatedcertifi.htm" TargetMode="External"/><Relationship Id="rId11" Type="http://schemas.openxmlformats.org/officeDocument/2006/relationships/hyperlink" Target="exhibit321cy22-q210xq.htm" TargetMode="External"/><Relationship Id="rId5" Type="http://schemas.openxmlformats.org/officeDocument/2006/relationships/hyperlink" Target="https://www.sec.gov/Archives/edgar/data/0000202058/000020205822000029/exhibit3arestatedcertifi.htm" TargetMode="External"/><Relationship Id="rId10" Type="http://schemas.openxmlformats.org/officeDocument/2006/relationships/hyperlink" Target="exhibit312cy22-q210xq.htm" TargetMode="External"/><Relationship Id="rId4" Type="http://schemas.openxmlformats.org/officeDocument/2006/relationships/image" Target="file:///E:\projects\LLMs\new_data_collection\data_new\htm\L3HARRIS%20TECHNOLOGIES,%20INC\hrs-20220701_g1.jpg" TargetMode="External"/><Relationship Id="rId9" Type="http://schemas.openxmlformats.org/officeDocument/2006/relationships/hyperlink" Target="exhibit311cy22-q210xq.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27832</Words>
  <Characters>158644</Characters>
  <Application>Microsoft Office Word</Application>
  <DocSecurity>0</DocSecurity>
  <Lines>1322</Lines>
  <Paragraphs>372</Paragraphs>
  <ScaleCrop>false</ScaleCrop>
  <Company/>
  <LinksUpToDate>false</LinksUpToDate>
  <CharactersWithSpaces>186104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hrs-20220701</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