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9777F">
      <w:pPr>
        <w:divId w:val="987586423"/>
        <w:rPr>
          <w:rFonts w:eastAsia="Times New Roman"/>
          <w:vanish/>
        </w:rPr>
      </w:pPr>
      <w:r>
        <w:rPr>
          <w:rFonts w:eastAsia="Times New Roman"/>
          <w:vanish/>
        </w:rPr>
        <w:t>December 300000202058false2022Q33100002020582022-01-012022-09-3000002020582022-10-21xbrli:shares00002020582022-07-022022-09-30iso4217:USD00002020582021-07-032021-10-0100002020582021-01-022021-10-01iso4217:USDxbrli:shares00002020582022-09-30</w:t>
      </w:r>
      <w:r>
        <w:rPr>
          <w:rFonts w:eastAsia="Times New Roman"/>
          <w:vanish/>
        </w:rPr>
        <w:t>00002020582021-12-3100002020582021-01-0100002020582021-10-010000202058us-gaap:CommonStockMember2022-07-010000202058us-gaap:OtherAdditionalCapitalMember2022-07-010000202058us-gaap:RetainedEarningsMember2022-07-010000202058us-gaap:AccumulatedOtherComprehensi</w:t>
      </w:r>
      <w:r>
        <w:rPr>
          <w:rFonts w:eastAsia="Times New Roman"/>
          <w:vanish/>
        </w:rPr>
        <w:t>veIncomeMember2022-07-010000202058us-gaap:NoncontrollingInterestMember2022-07-0100002020582022-07-010000202058us-gaap:RetainedEarningsMember2022-07-022022-09-300000202058us-gaap:NoncontrollingInterestMember2022-07-022022-09-300000202058us-gaap:AccumulatedO</w:t>
      </w:r>
      <w:r>
        <w:rPr>
          <w:rFonts w:eastAsia="Times New Roman"/>
          <w:vanish/>
        </w:rPr>
        <w:t>therComprehensiveIncomeMember2022-07-022022-09-300000202058us-gaap:OtherAdditionalCapitalMember2022-07-022022-09-300000202058us-gaap:CommonStockMember2022-07-022022-09-300000202058us-gaap:CommonStockMember2022-09-300000202058us-gaap:OtherAdditionalCapitalM</w:t>
      </w:r>
      <w:r>
        <w:rPr>
          <w:rFonts w:eastAsia="Times New Roman"/>
          <w:vanish/>
        </w:rPr>
        <w:t>ember2022-09-300000202058us-gaap:RetainedEarningsMember2022-09-300000202058us-gaap:AccumulatedOtherComprehensiveIncomeMember2022-09-300000202058us-gaap:NoncontrollingInterestMember2022-09-300000202058us-gaap:CommonStockMember2021-07-020000202058us-gaap:Oth</w:t>
      </w:r>
      <w:r>
        <w:rPr>
          <w:rFonts w:eastAsia="Times New Roman"/>
          <w:vanish/>
        </w:rPr>
        <w:t>erAdditionalCapitalMember2021-07-020000202058us-gaap:RetainedEarningsMember2021-07-020000202058us-gaap:AccumulatedOtherComprehensiveIncomeMember2021-07-020000202058us-gaap:NoncontrollingInterestMember2021-07-0200002020582021-07-020000202058us-gaap:Retained</w:t>
      </w:r>
      <w:r>
        <w:rPr>
          <w:rFonts w:eastAsia="Times New Roman"/>
          <w:vanish/>
        </w:rPr>
        <w:t>EarningsMember2021-07-032021-10-010000202058us-gaap:NoncontrollingInterestMember2021-07-032021-10-010000202058us-gaap:AccumulatedOtherComprehensiveIncomeMember2021-07-032021-10-010000202058us-gaap:OtherAdditionalCapitalMember2021-07-032021-10-010000202058u</w:t>
      </w:r>
      <w:r>
        <w:rPr>
          <w:rFonts w:eastAsia="Times New Roman"/>
          <w:vanish/>
        </w:rPr>
        <w:t>s-gaap:CommonStockMember2021-07-032021-10-010000202058us-gaap:CommonStockMember2021-10-010000202058us-gaap:OtherAdditionalCapitalMember2021-10-010000202058us-gaap:RetainedEarningsMember2021-10-010000202058us-gaap:AccumulatedOtherComprehensiveIncomeMember20</w:t>
      </w:r>
      <w:r>
        <w:rPr>
          <w:rFonts w:eastAsia="Times New Roman"/>
          <w:vanish/>
        </w:rPr>
        <w:t>21-10-010000202058us-gaap:NoncontrollingInterestMember2021-10-010000202058us-gaap:CommonStockMember2021-12-310000202058us-gaap:OtherAdditionalCapitalMember2021-12-310000202058us-gaap:RetainedEarningsMember2021-12-310000202058us-gaap:AccumulatedOtherCompreh</w:t>
      </w:r>
      <w:r>
        <w:rPr>
          <w:rFonts w:eastAsia="Times New Roman"/>
          <w:vanish/>
        </w:rPr>
        <w:t>ensiveIncomeMember2021-12-310000202058us-gaap:NoncontrollingInterestMember2021-12-310000202058us-gaap:RetainedEarningsMember2022-01-012022-09-300000202058us-gaap:NoncontrollingInterestMember2022-01-012022-09-300000202058us-gaap:AccumulatedOtherComprehensiv</w:t>
      </w:r>
      <w:r>
        <w:rPr>
          <w:rFonts w:eastAsia="Times New Roman"/>
          <w:vanish/>
        </w:rPr>
        <w:t>eIncomeMember2022-01-012022-09-300000202058us-gaap:OtherAdditionalCapitalMember2022-01-012022-09-300000202058us-gaap:CommonStockMember2022-01-012022-09-300000202058us-gaap:CommonStockMember2021-01-010000202058us-gaap:OtherAdditionalCapitalMember2021-01-010</w:t>
      </w:r>
      <w:r>
        <w:rPr>
          <w:rFonts w:eastAsia="Times New Roman"/>
          <w:vanish/>
        </w:rPr>
        <w:t>000202058us-gaap:RetainedEarningsMember2021-01-010000202058us-gaap:AccumulatedOtherComprehensiveIncomeMember2021-01-010000202058us-gaap:NoncontrollingInterestMember2021-01-010000202058us-gaap:RetainedEarningsMember2021-01-022021-10-010000202058us-gaap:Nonc</w:t>
      </w:r>
      <w:r>
        <w:rPr>
          <w:rFonts w:eastAsia="Times New Roman"/>
          <w:vanish/>
        </w:rPr>
        <w:t>ontrollingInterestMember2021-01-022021-10-010000202058us-gaap:AccumulatedOtherComprehensiveIncomeMember2021-01-022021-10-010000202058us-gaap:CommonStockMember2021-01-022021-10-010000202058us-gaap:OtherAdditionalCapitalMember2021-01-022021-10-01000020205820</w:t>
      </w:r>
      <w:r>
        <w:rPr>
          <w:rFonts w:eastAsia="Times New Roman"/>
          <w:vanish/>
        </w:rPr>
        <w:t>21-01-022021-12-31hrs:segment0000202058us-gaap:DisposalGroupDisposedOfBySaleNotDiscontinuedOperationsMember2022-01-012022-09-300000202058us-gaap:DisposalGroupDisposedOfBySaleNotDiscontinuedOperationsMember2022-07-022022-09-300000202058us-gaap:DisposalGroup</w:t>
      </w:r>
      <w:r>
        <w:rPr>
          <w:rFonts w:eastAsia="Times New Roman"/>
          <w:vanish/>
        </w:rPr>
        <w:t>DisposedOfBySaleNotDiscontinuedOperationsMemberus-gaap:MaterialReconcilingItemsMemberhrs:CombatPropulsionSystemsMember2021-10-010000202058us-gaap:DisposalGroupDisposedOfBySaleNotDiscontinuedOperationsMemberus-gaap:MaterialReconcilingItemsMemberhrs:CombatPr</w:t>
      </w:r>
      <w:r>
        <w:rPr>
          <w:rFonts w:eastAsia="Times New Roman"/>
          <w:vanish/>
        </w:rPr>
        <w:t>opulsionSystemsMember2021-01-022021-10-010000202058us-gaap:DisposalGroupDisposedOfBySaleNotDiscontinuedOperationsMemberus-gaap:MaterialReconcilingItemsMemberhrs:MilitaryTrainingBusinessMember2021-10-010000202058us-gaap:DisposalGroupDisposedOfBySaleNotDisco</w:t>
      </w:r>
      <w:r>
        <w:rPr>
          <w:rFonts w:eastAsia="Times New Roman"/>
          <w:vanish/>
        </w:rPr>
        <w:t>ntinuedOperationsMemberus-gaap:MaterialReconcilingItemsMemberhrs:MilitaryTrainingBusinessMember2021-01-022021-10-010000202058us-gaap:DisposalGroupDisposedOfBySaleNotDiscontinuedOperationsMemberus-gaap:MaterialReconcilingItemsMemberhrs:VoiceSwitchEnterprise</w:t>
      </w:r>
      <w:r>
        <w:rPr>
          <w:rFonts w:eastAsia="Times New Roman"/>
          <w:vanish/>
        </w:rPr>
        <w:t>Member2021-10-010000202058us-gaap:DisposalGroupDisposedOfBySaleNotDiscontinuedOperationsMemberus-gaap:MaterialReconcilingItemsMemberhrs:VoiceSwitchEnterpriseMember2021-01-022021-10-010000202058hrs:ElectronDevicesAndNardaMicrowaveWestMemberus-gaap:DisposalG</w:t>
      </w:r>
      <w:r>
        <w:rPr>
          <w:rFonts w:eastAsia="Times New Roman"/>
          <w:vanish/>
        </w:rPr>
        <w:t>roupDisposedOfBySaleNotDiscontinuedOperationsMemberus-gaap:MaterialReconcilingItemsMember2021-10-010000202058hrs:ElectronDevicesAndNardaMicrowaveWestMemberus-gaap:DisposalGroupDisposedOfBySaleNotDiscontinuedOperationsMemberus-gaap:MaterialReconcilingItemsM</w:t>
      </w:r>
      <w:r>
        <w:rPr>
          <w:rFonts w:eastAsia="Times New Roman"/>
          <w:vanish/>
        </w:rPr>
        <w:t>ember2021-01-022021-10-010000202058us-gaap:DisposalGroupDisposedOfBySaleNotDiscontinuedOperationsMember2021-10-010000202058us-gaap:DisposalGroupDisposedOfBySaleNotDiscontinuedOperationsMember2021-01-022021-10-010000202058hrs:ElectronDevicesAndNardaMicrowav</w:t>
      </w:r>
      <w:r>
        <w:rPr>
          <w:rFonts w:eastAsia="Times New Roman"/>
          <w:vanish/>
        </w:rPr>
        <w:t>eWestMemberus-gaap:DisposalGroupDisposedOfBySaleNotDiscontinuedOperationsMember2021-07-032021-10-010000202058hrs:ElectronDevicesAndNardaMicrowaveWestMemberus-gaap:DisposalGroupDisposedOfBySaleNotDiscontinuedOperationsMember2021-01-022021-10-010000202058us-</w:t>
      </w:r>
      <w:r>
        <w:rPr>
          <w:rFonts w:eastAsia="Times New Roman"/>
          <w:vanish/>
        </w:rPr>
        <w:t>gaap:DisposalGroupDisposedOfBySaleNotDiscontinuedOperationsMemberhrs:CombatPropulsionSystemsMember2021-07-032021-10-010000202058us-gaap:DisposalGroupDisposedOfBySaleNotDiscontinuedOperationsMemberhrs:CombatPropulsionSystemsMember2021-01-022021-10-010000202</w:t>
      </w:r>
      <w:r>
        <w:rPr>
          <w:rFonts w:eastAsia="Times New Roman"/>
          <w:vanish/>
        </w:rPr>
        <w:t>058us-gaap:DisposalGroupDisposedOfBySaleNotDiscontinuedOperationsMemberhrs:MilitaryTrainingBusinessMember2021-07-032021-10-010000202058us-gaap:DisposalGroupDisposedOfBySaleNotDiscontinuedOperationsMemberhrs:MilitaryTrainingBusinessMember2021-01-022021-10-0</w:t>
      </w:r>
      <w:r>
        <w:rPr>
          <w:rFonts w:eastAsia="Times New Roman"/>
          <w:vanish/>
        </w:rPr>
        <w:t>10000202058hrs:ElectronDevicesAndNardaMicrowaveWestMemberus-gaap:DisposalGroupDisposedOfBySaleNotDiscontinuedOperationsMember2020-01-042021-01-010000202058us-gaap:DisposalGroupDisposedOfBySaleNotDiscontinuedOperationsMemberhrs:VoiceSwitchEnterpriseMember20</w:t>
      </w:r>
      <w:r>
        <w:rPr>
          <w:rFonts w:eastAsia="Times New Roman"/>
          <w:vanish/>
        </w:rPr>
        <w:t>21-07-032021-10-010000202058us-gaap:DisposalGroupDisposedOfBySaleNotDiscontinuedOperationsMemberhrs:VoiceSwitchEnterpriseMember2021-01-022021-10-010000202058us-gaap:DisposalGroupDisposedOfBySaleNotDiscontinuedOperationsMemberhrs:OtherCompletedDivestitureOf</w:t>
      </w:r>
      <w:r>
        <w:rPr>
          <w:rFonts w:eastAsia="Times New Roman"/>
          <w:vanish/>
        </w:rPr>
        <w:t>BusinessesMember2021-07-032021-10-010000202058us-gaap:DisposalGroupDisposedOfBySaleNotDiscontinuedOperationsMemberhrs:OtherCompletedDivestitureOfBusinessesMember2021-01-022021-10-010000202058us-gaap:DisposalGroupDisposedOfBySaleNotDiscontinuedOperationsMem</w:t>
      </w:r>
      <w:r>
        <w:rPr>
          <w:rFonts w:eastAsia="Times New Roman"/>
          <w:vanish/>
        </w:rPr>
        <w:t>ber2021-07-032021-10-010000202058us-gaap:DisposalGroupDisposedOfBySaleNotDiscontinuedOperationsMemberhrs:CombatPropulsionSystemsMember2021-01-022021-04-020000202058hrs:L3HarrisShareholderapprovedEmployeeStockIncentivePlansMember2022-07-022022-09-3000002020</w:t>
      </w:r>
      <w:r>
        <w:rPr>
          <w:rFonts w:eastAsia="Times New Roman"/>
          <w:vanish/>
        </w:rPr>
        <w:t>58hrs:L3HarrisShareholderapprovedEmployeeStockIncentivePlansMember2022-01-012022-09-300000202058hrs:L3HarrisShareholderapprovedEmployeeStockIncentivePlansMember2021-07-032021-10-010000202058hrs:L3HarrisShareholderapprovedEmployeeStockIncentivePlansMember20</w:t>
      </w:r>
      <w:r>
        <w:rPr>
          <w:rFonts w:eastAsia="Times New Roman"/>
          <w:vanish/>
        </w:rPr>
        <w:t>21-01-022021-10-010000202058hrs:L3HarrisShareholderapprovedEmployeeStockIncentivePlansMemberhrs:PerformanceStockUnitsMember2022-07-022022-09-300000202058us-gaap:RestrictedStockUnitsRSUMemberhrs:L3HarrisShareholderapprovedEmployeeStockIncentivePlansMember20</w:t>
      </w:r>
      <w:r>
        <w:rPr>
          <w:rFonts w:eastAsia="Times New Roman"/>
          <w:vanish/>
        </w:rPr>
        <w:t>22-07-022022-09-300000202058hrs:L3HarrisShareholderapprovedEmployeeStockIncentivePlansMemberhrs:PerformanceStockUnitsMember2022-01-012022-09-300000202058us-gaap:RestrictedStockUnitsRSUMemberhrs:L3HarrisShareholderapprovedEmployeeStockIncentivePlansMember20</w:t>
      </w:r>
      <w:r>
        <w:rPr>
          <w:rFonts w:eastAsia="Times New Roman"/>
          <w:vanish/>
        </w:rPr>
        <w:t>22-01-012022-09-300000202058us-gaap:EmployeeStockOptionMemberhrs:L3HarrisShareholderapprovedEmployeeStockIncentivePlansMember2022-01-012022-09-30xbrli:pure0000202058us-gaap:AccumulatedTranslationAdjustmentMember2021-12-310000202058us-gaap:AccumulatedGainLo</w:t>
      </w:r>
      <w:r>
        <w:rPr>
          <w:rFonts w:eastAsia="Times New Roman"/>
          <w:vanish/>
        </w:rPr>
        <w:t>ssNetCashFlowHedgeParentMember2021-12-310000202058us-gaap:AccumulatedDefinedBenefitPlansAdjustmentMember2021-12-310000202058us-gaap:AccumulatedTranslationAdjustmentMember2022-01-012022-09-300000202058us-gaap:AccumulatedGainLossNetCashFlowHedgeParentMember2</w:t>
      </w:r>
      <w:r>
        <w:rPr>
          <w:rFonts w:eastAsia="Times New Roman"/>
          <w:vanish/>
        </w:rPr>
        <w:t>022-01-012022-09-300000202058us-gaap:AccumulatedDefinedBenefitPlansAdjustmentMember2022-01-012022-09-300000202058us-gaap:AccumulatedTranslationAdjustmentMember2022-09-300000202058us-gaap:AccumulatedGainLossNetCashFlowHedgeParentMember2022-09-300000202058us</w:t>
      </w:r>
      <w:r>
        <w:rPr>
          <w:rFonts w:eastAsia="Times New Roman"/>
          <w:vanish/>
        </w:rPr>
        <w:t>-gaap:AccumulatedDefinedBenefitPlansAdjustmentMember2022-09-300000202058us-gaap:AccumulatedTranslationAdjustmentMember2021-01-010000202058us-gaap:AccumulatedGainLossNetCashFlowHedgeParentMember2021-01-010000202058us-gaap:AccumulatedDefinedBenefitPlansAdjus</w:t>
      </w:r>
      <w:r>
        <w:rPr>
          <w:rFonts w:eastAsia="Times New Roman"/>
          <w:vanish/>
        </w:rPr>
        <w:t>tmentMember2021-01-010000202058us-gaap:AccumulatedTranslationAdjustmentMember2021-01-022021-10-010000202058us-gaap:AccumulatedGainLossNetCashFlowHedgeParentMember2021-01-022021-10-010000202058us-gaap:AccumulatedDefinedBenefitPlansAdjustmentMember2021-01-02</w:t>
      </w:r>
      <w:r>
        <w:rPr>
          <w:rFonts w:eastAsia="Times New Roman"/>
          <w:vanish/>
        </w:rPr>
        <w:t>2021-10-010000202058us-gaap:AccumulatedTranslationAdjustmentMember2021-10-010000202058us-gaap:AccumulatedGainLossNetCashFlowHedgeParentMember2021-10-010000202058us-gaap:AccumulatedDefinedBenefitPlansAdjustmentMember2021-10-010000202058hrs:ReceivableSaleAgr</w:t>
      </w:r>
      <w:r>
        <w:rPr>
          <w:rFonts w:eastAsia="Times New Roman"/>
          <w:vanish/>
        </w:rPr>
        <w:t>eementMember2022-09-30hrs:receivableSaleAgreement0000202058hrs:ReceivableSaleAgreementTwoMember2022-09-300000202058hrs:ReceivableSaleAgreementOneMember2022-09-300000202058hrs:ReceivableSaleAgreementMember2021-12-310000202058us-gaap:LandMember2022-09-300000</w:t>
      </w:r>
      <w:r>
        <w:rPr>
          <w:rFonts w:eastAsia="Times New Roman"/>
          <w:vanish/>
        </w:rPr>
        <w:t>202058us-gaap:LandMember2021-12-310000202058hrs:SoftwareCapitalizedForInternalUseMember2022-09-300000202058hrs:SoftwareCapitalizedForInternalUseMember2021-12-310000202058us-gaap:BuildingMember2022-09-300000202058us-gaap:BuildingMember2021-12-310000202058us</w:t>
      </w:r>
      <w:r>
        <w:rPr>
          <w:rFonts w:eastAsia="Times New Roman"/>
          <w:vanish/>
        </w:rPr>
        <w:t>-gaap:MachineryAndEquipmentMember2022-09-300000202058us-gaap:MachineryAndEquipmentMember2021-12-310000202058hrs:CommercialTrainingSolutionsMember2021-01-022021-10-010000202058hrs:RightOfUseAssetsMemberhrs:CommercialTrainingSolutionsMember2021-07-032021-10-</w:t>
      </w:r>
      <w:r>
        <w:rPr>
          <w:rFonts w:eastAsia="Times New Roman"/>
          <w:vanish/>
        </w:rPr>
        <w:t>010000202058hrs:RightOfUseAssetsMemberhrs:CommercialTrainingSolutionsMember2021-01-022021-10-010000202058us-gaap:PropertyPlantAndEquipmentMemberhrs:CommercialTrainingSolutionsMember2021-07-032021-10-010000202058us-gaap:PropertyPlantAndEquipmentMemberhrs:Co</w:t>
      </w:r>
      <w:r>
        <w:rPr>
          <w:rFonts w:eastAsia="Times New Roman"/>
          <w:vanish/>
        </w:rPr>
        <w:t>mmercialTrainingSolutionsMember2021-01-022021-10-010000202058us-gaap:SoftwareAndSoftwareDevelopmentCostsMemberhrs:CommercialTrainingSolutionsMember2021-07-032021-10-010000202058us-gaap:SoftwareAndSoftwareDevelopmentCostsMemberhrs:CommercialTrainingSolution</w:t>
      </w:r>
      <w:r>
        <w:rPr>
          <w:rFonts w:eastAsia="Times New Roman"/>
          <w:vanish/>
        </w:rPr>
        <w:t>sMember2021-01-022021-10-010000202058hrs:IntegratedMissionSystemsMembersrt:ScenarioPreviouslyReportedMember2021-12-310000202058hrs:SpaceandAirborneSystemsMembersrt:ScenarioPreviouslyReportedMember2021-12-310000202058hrs:CommunicationSystemsMembersrt:Scenar</w:t>
      </w:r>
      <w:r>
        <w:rPr>
          <w:rFonts w:eastAsia="Times New Roman"/>
          <w:vanish/>
        </w:rPr>
        <w:t>ioPreviouslyReportedMember2021-12-310000202058hrs:AviationSystemsMembersrt:ScenarioPreviouslyReportedMember2021-12-310000202058srt:ScenarioPreviouslyReportedMember2021-12-310000202058hrs:IntegratedMissionSystemsMembersrt:RestatementAdjustmentMember2021-12-</w:t>
      </w:r>
      <w:r>
        <w:rPr>
          <w:rFonts w:eastAsia="Times New Roman"/>
          <w:vanish/>
        </w:rPr>
        <w:t>310000202058hrs:SpaceandAirborneSystemsMembersrt:RestatementAdjustmentMember2021-12-310000202058hrs:CommunicationSystemsMembersrt:RestatementAdjustmentMember2021-12-310000202058hrs:AviationSystemsMembersrt:RestatementAdjustmentMember2021-12-310000202058srt</w:t>
      </w:r>
      <w:r>
        <w:rPr>
          <w:rFonts w:eastAsia="Times New Roman"/>
          <w:vanish/>
        </w:rPr>
        <w:t>:RestatementAdjustmentMember2021-12-310000202058hrs:IntegratedMissionSystemsMember2021-12-310000202058hrs:SpaceandAirborneSystemsMember2021-12-310000202058hrs:CommunicationSystemsMember2021-12-310000202058hrs:AviationSystemsMember2021-12-310000202058hrs:In</w:t>
      </w:r>
      <w:r>
        <w:rPr>
          <w:rFonts w:eastAsia="Times New Roman"/>
          <w:vanish/>
        </w:rPr>
        <w:t>tegratedMissionSystemsMember2022-01-012022-09-300000202058hrs:SpaceandAirborneSystemsMember2022-01-012022-09-300000202058hrs:CommunicationSystemsMember2022-01-012022-09-300000202058hrs:AviationSystemsMember2022-01-012022-09-300000202058hrs:IntegratedMissio</w:t>
      </w:r>
      <w:r>
        <w:rPr>
          <w:rFonts w:eastAsia="Times New Roman"/>
          <w:vanish/>
        </w:rPr>
        <w:t>nSystemsMember2022-09-300000202058hrs:SpaceandAirborneSystemsMember2022-09-300000202058hrs:CommunicationSystemsMember2022-09-300000202058hrs:AviationSystemsMember2022-09-3000002020582022-01-012022-04-01hrs:reportingUnit0000202058hrs:ElectroOpticalReporting</w:t>
      </w:r>
      <w:r>
        <w:rPr>
          <w:rFonts w:eastAsia="Times New Roman"/>
          <w:vanish/>
        </w:rPr>
        <w:t>UnitMember2022-07-022022-09-300000202058hrs:ADGReportingUnitMember2022-01-012022-09-300000202058hrs:BroadbandAndElectroOpticalReportingUnitMember2022-01-012022-09-300000202058hrs:BroadcastCommunicationsReportingUnitMember2022-01-012022-09-300000202058hrs:E</w:t>
      </w:r>
      <w:r>
        <w:rPr>
          <w:rFonts w:eastAsia="Times New Roman"/>
          <w:vanish/>
        </w:rPr>
        <w:t>lectroOpticalReportingUnitMember2022-01-012022-09-300000202058hrs:AviationSystemsMemberus-gaap:DisposalGroupHeldforsaleNotDiscontinuedOperationsMemberhrs:CombatPropulsionSystemsMember2021-04-020000202058hrs:AviationSystemsMemberus-gaap:DisposalGroupHeldfor</w:t>
      </w:r>
      <w:r>
        <w:rPr>
          <w:rFonts w:eastAsia="Times New Roman"/>
          <w:vanish/>
        </w:rPr>
        <w:t>saleNotDiscontinuedOperationsMemberhrs:CombatPropulsionSystemsMember2021-01-022021-04-020000202058hrs:AviationSystemsMemberhrs:CommercialTrainingSolutionsMember2021-01-022021-10-010000202058hrs:A2022CreditAgreementMemberus-gaap:RevolvingCreditFacilityMembe</w:t>
      </w:r>
      <w:r>
        <w:rPr>
          <w:rFonts w:eastAsia="Times New Roman"/>
          <w:vanish/>
        </w:rPr>
        <w:t>rus-gaap:LineOfCreditMember2022-07-290000202058hrs:A2022CreditAgreementMemberus-gaap:RevolvingCreditFacilityMemberus-gaap:LineOfCreditMember2022-07-292022-07-290000202058hrs:CreditFacility2019Memberus-gaap:RevolvingCreditFacilityMemberus-gaap:LineOfCreditM</w:t>
      </w:r>
      <w:r>
        <w:rPr>
          <w:rFonts w:eastAsia="Times New Roman"/>
          <w:vanish/>
        </w:rPr>
        <w:t>ember2019-06-280000202058hrs:CreditFacility2019Memberus-gaap:RevolvingCreditFacilityMemberus-gaap:LineOfCreditMember2019-06-282019-06-280000202058hrs:A2022CreditAgreementMemberus-gaap:RevolvingCreditFacilityMemberus-gaap:BridgeLoanMember2022-07-29000020205</w:t>
      </w:r>
      <w:r>
        <w:rPr>
          <w:rFonts w:eastAsia="Times New Roman"/>
          <w:vanish/>
        </w:rPr>
        <w:t>8hrs:A2022CreditAgreementMemberus-gaap:LetterOfCreditMemberus-gaap:RevolvingCreditFacilityMember2022-07-290000202058us-gaap:PensionPlansDefinedBenefitMember2022-07-022022-09-300000202058us-gaap:OtherPostretirementBenefitPlansDefinedBenefitMember2022-07-022</w:t>
      </w:r>
      <w:r>
        <w:rPr>
          <w:rFonts w:eastAsia="Times New Roman"/>
          <w:vanish/>
        </w:rPr>
        <w:t>022-09-300000202058us-gaap:PensionPlansDefinedBenefitMember2022-01-012022-09-300000202058us-gaap:OtherPostretirementBenefitPlansDefinedBenefitMember2022-01-012022-09-300000202058us-gaap:PensionPlansDefinedBenefitMember2021-07-032021-10-010000202058us-gaap:</w:t>
      </w:r>
      <w:r>
        <w:rPr>
          <w:rFonts w:eastAsia="Times New Roman"/>
          <w:vanish/>
        </w:rPr>
        <w:t>OtherPostretirementBenefitPlansDefinedBenefitMember2021-07-032021-10-010000202058us-gaap:PensionPlansDefinedBenefitMember2021-01-022021-10-010000202058us-gaap:OtherPostretirementBenefitPlansDefinedBenefitMember2021-01-022021-10-010000202058us-gaap:Estimate</w:t>
      </w:r>
      <w:r>
        <w:rPr>
          <w:rFonts w:eastAsia="Times New Roman"/>
          <w:vanish/>
        </w:rPr>
        <w:t>OfFairValueFairValueDisclosureMemberus-gaap:EquitySecuritiesMember2022-09-300000202058us-gaap:EstimateOfFairValueFairValueDisclosureMemberus-gaap:FairValueInputsLevel1Memberus-gaap:EquitySecuritiesMember2022-09-300000202058us-gaap:EstimateOfFairValueFairVa</w:t>
      </w:r>
      <w:r>
        <w:rPr>
          <w:rFonts w:eastAsia="Times New Roman"/>
          <w:vanish/>
        </w:rPr>
        <w:t>lueDisclosureMemberus-gaap:EquitySecuritiesMember2021-12-310000202058us-gaap:EstimateOfFairValueFairValueDisclosureMemberus-gaap:FairValueInputsLevel1Memberus-gaap:EquitySecuritiesMember2021-12-310000202058us-gaap:FairValueMeasuredAtNetAssetValuePerShareMe</w:t>
      </w:r>
      <w:r>
        <w:rPr>
          <w:rFonts w:eastAsia="Times New Roman"/>
          <w:vanish/>
        </w:rPr>
        <w:t>mberus-gaap:EstimateOfFairValueFairValueDisclosureMemberhrs:CorporateownedlifeinsuranceMember2022-09-300000202058us-gaap:FairValueMeasuredAtNetAssetValuePerShareMemberus-gaap:EstimateOfFairValueFairValueDisclosureMemberhrs:CorporateownedlifeinsuranceMember</w:t>
      </w:r>
      <w:r>
        <w:rPr>
          <w:rFonts w:eastAsia="Times New Roman"/>
          <w:vanish/>
        </w:rPr>
        <w:t>2021-12-310000202058us-gaap:EstimateOfFairValueFairValueDisclosureMember2022-09-300000202058us-gaap:EstimateOfFairValueFairValueDisclosureMember2021-12-310000202058us-gaap:MutualFundMemberus-gaap:EstimateOfFairValueFairValueDisclosureMember2022-09-30000020</w:t>
      </w:r>
      <w:r>
        <w:rPr>
          <w:rFonts w:eastAsia="Times New Roman"/>
          <w:vanish/>
        </w:rPr>
        <w:t>2058us-gaap:MutualFundMemberus-gaap:EstimateOfFairValueFairValueDisclosureMemberus-gaap:FairValueInputsLevel1Member2022-09-300000202058us-gaap:MutualFundMemberus-gaap:EstimateOfFairValueFairValueDisclosureMember2021-12-310000202058us-gaap:MutualFundMemberu</w:t>
      </w:r>
      <w:r>
        <w:rPr>
          <w:rFonts w:eastAsia="Times New Roman"/>
          <w:vanish/>
        </w:rPr>
        <w:t>s-gaap:EstimateOfFairValueFairValueDisclosureMemberus-gaap:FairValueInputsLevel1Member2021-12-310000202058us-gaap:FairValueMeasuredAtNetAssetValuePerShareMemberus-gaap:EstimateOfFairValueFairValueDisclosureMemberhrs:CommonCollectiveTrustsandGuaranteedInves</w:t>
      </w:r>
      <w:r>
        <w:rPr>
          <w:rFonts w:eastAsia="Times New Roman"/>
          <w:vanish/>
        </w:rPr>
        <w:t>tmentProgramMember2022-09-300000202058us-gaap:FairValueMeasuredAtNetAssetValuePerShareMemberus-gaap:EstimateOfFairValueFairValueDisclosureMemberhrs:CommonCollectiveTrustsandGuaranteedInvestmentProgramMember2021-12-310000202058us-gaap:CarryingReportedAmount</w:t>
      </w:r>
      <w:r>
        <w:rPr>
          <w:rFonts w:eastAsia="Times New Roman"/>
          <w:vanish/>
        </w:rPr>
        <w:t>FairValueDisclosureMember2022-09-300000202058us-gaap:MarketApproachValuationTechniqueMemberus-gaap:EstimateOfFairValueFairValueDisclosureMemberus-gaap:FairValueInputsLevel2Member2022-09-300000202058us-gaap:CarryingReportedAmountFairValueDisclosureMember202</w:t>
      </w:r>
      <w:r>
        <w:rPr>
          <w:rFonts w:eastAsia="Times New Roman"/>
          <w:vanish/>
        </w:rPr>
        <w:t>1-12-310000202058us-gaap:MarketApproachValuationTechniqueMemberus-gaap:EstimateOfFairValueFairValueDisclosureMemberus-gaap:FairValueInputsLevel2Member2021-12-310000202058us-gaap:CashFlowHedgingMemberus-gaap:ForeignExchangeForwardMember2022-09-300000202058u</w:t>
      </w:r>
      <w:r>
        <w:rPr>
          <w:rFonts w:eastAsia="Times New Roman"/>
          <w:vanish/>
        </w:rPr>
        <w:t>s-gaap:CashFlowHedgingMemberus-gaap:ForeignExchangeForwardMember2021-12-310000202058us-gaap:ForeignExchangeForwardMember2022-07-022022-09-300000202058us-gaap:ForeignExchangeForwardMember2022-01-012022-09-300000202058us-gaap:ForeignExchangeForwardMember2021</w:t>
      </w:r>
      <w:r>
        <w:rPr>
          <w:rFonts w:eastAsia="Times New Roman"/>
          <w:vanish/>
        </w:rPr>
        <w:t>-07-032021-10-010000202058us-gaap:ForeignExchangeForwardMember2021-01-022021-10-010000202058us-gaap:ContractsAccountedForUnderPercentageOfCompletionMember2022-07-022022-09-300000202058us-gaap:ContractsAccountedForUnderPercentageOfCompletionMember2021-07-03</w:t>
      </w:r>
      <w:r>
        <w:rPr>
          <w:rFonts w:eastAsia="Times New Roman"/>
          <w:vanish/>
        </w:rPr>
        <w:t>2021-10-010000202058us-gaap:ContractsAccountedForUnderPercentageOfCompletionMember2022-01-012022-09-300000202058us-gaap:ContractsAccountedForUnderPercentageOfCompletionMember2021-01-022021-10-0100002020582022-10-012022-09-3000002020582023-01-012022-09-3000</w:t>
      </w:r>
      <w:r>
        <w:rPr>
          <w:rFonts w:eastAsia="Times New Roman"/>
          <w:vanish/>
        </w:rPr>
        <w:t>00202058us-gaap:OperatingSegmentsMemberhrs:IntegratedMissionSystemsMember2022-07-022022-09-300000202058us-gaap:OperatingSegmentsMemberhrs:IntegratedMissionSystemsMember2021-07-032021-10-010000202058us-gaap:OperatingSegmentsMemberhrs:IntegratedMissionSystem</w:t>
      </w:r>
      <w:r>
        <w:rPr>
          <w:rFonts w:eastAsia="Times New Roman"/>
          <w:vanish/>
        </w:rPr>
        <w:t>sMember2022-01-012022-09-300000202058us-gaap:OperatingSegmentsMemberhrs:IntegratedMissionSystemsMember2021-01-022021-10-010000202058us-gaap:OperatingSegmentsMemberhrs:SpaceandAirborneSystemsMember2022-07-022022-09-300000202058us-gaap:OperatingSegmentsMembe</w:t>
      </w:r>
      <w:r>
        <w:rPr>
          <w:rFonts w:eastAsia="Times New Roman"/>
          <w:vanish/>
        </w:rPr>
        <w:t>rhrs:SpaceandAirborneSystemsMember2021-07-032021-10-010000202058us-gaap:OperatingSegmentsMemberhrs:SpaceandAirborneSystemsMember2022-01-012022-09-300000202058us-gaap:OperatingSegmentsMemberhrs:SpaceandAirborneSystemsMember2021-01-022021-10-010000202058us-g</w:t>
      </w:r>
      <w:r>
        <w:rPr>
          <w:rFonts w:eastAsia="Times New Roman"/>
          <w:vanish/>
        </w:rPr>
        <w:t>aap:OperatingSegmentsMemberhrs:CommunicationSystemsMember2022-07-022022-09-300000202058us-gaap:OperatingSegmentsMemberhrs:CommunicationSystemsMember2021-07-032021-10-010000202058us-gaap:OperatingSegmentsMemberhrs:CommunicationSystemsMember2022-01-012022-09</w:t>
      </w:r>
      <w:r>
        <w:rPr>
          <w:rFonts w:eastAsia="Times New Roman"/>
          <w:vanish/>
        </w:rPr>
        <w:t>-300000202058us-gaap:OperatingSegmentsMemberhrs:CommunicationSystemsMember2021-01-022021-10-010000202058us-gaap:MaterialReconcilingItemsMember2022-07-022022-09-300000202058us-gaap:MaterialReconcilingItemsMember2021-07-032021-10-010000202058us-gaap:Material</w:t>
      </w:r>
      <w:r>
        <w:rPr>
          <w:rFonts w:eastAsia="Times New Roman"/>
          <w:vanish/>
        </w:rPr>
        <w:t>ReconcilingItemsMember2022-01-012022-09-300000202058us-gaap:MaterialReconcilingItemsMember2021-01-022021-10-010000202058us-gaap:CorporateNonSegmentMember2022-07-022022-09-300000202058us-gaap:CorporateNonSegmentMember2021-07-032021-10-010000202058us-gaap:Co</w:t>
      </w:r>
      <w:r>
        <w:rPr>
          <w:rFonts w:eastAsia="Times New Roman"/>
          <w:vanish/>
        </w:rPr>
        <w:t>rporateNonSegmentMember2022-01-012022-09-300000202058us-gaap:CorporateNonSegmentMember2021-01-022021-10-010000202058us-gaap:OperatingSegmentsMember2022-07-022022-09-300000202058us-gaap:OperatingSegmentsMember2021-07-032021-10-010000202058us-gaap:OperatingS</w:t>
      </w:r>
      <w:r>
        <w:rPr>
          <w:rFonts w:eastAsia="Times New Roman"/>
          <w:vanish/>
        </w:rPr>
        <w:t>egmentsMember2022-01-012022-09-300000202058us-gaap:OperatingSegmentsMember2021-01-022021-10-010000202058hrs:PlansUnderUSGovernmentContractsMemberus-gaap:PensionPlansDefinedBenefitMember2022-07-022022-09-300000202058hrs:PlansUnderUSGovernmentContractsMember</w:t>
      </w:r>
      <w:r>
        <w:rPr>
          <w:rFonts w:eastAsia="Times New Roman"/>
          <w:vanish/>
        </w:rPr>
        <w:t>us-gaap:PensionPlansDefinedBenefitMember2021-07-032021-10-010000202058hrs:PlansUnderUSGovernmentContractsMemberus-gaap:PensionPlansDefinedBenefitMember2022-01-012022-09-300000202058hrs:PlansUnderUSGovernmentContractsMemberus-gaap:PensionPlansDefinedBenefit</w:t>
      </w:r>
      <w:r>
        <w:rPr>
          <w:rFonts w:eastAsia="Times New Roman"/>
          <w:vanish/>
        </w:rPr>
        <w:t>Member2021-01-022021-10-010000202058hrs:IntegratedMissionSystemsMemberus-gaap:SalesChannelDirectlyToConsumerMemberus-gaap:TransferredOverTimeMember2022-07-022022-09-300000202058us-gaap:SalesChannelDirectlyToConsumerMemberhrs:SpaceandAirborneSystemsMemberus</w:t>
      </w:r>
      <w:r>
        <w:rPr>
          <w:rFonts w:eastAsia="Times New Roman"/>
          <w:vanish/>
        </w:rPr>
        <w:t>-gaap:TransferredOverTimeMember2022-07-022022-09-300000202058us-gaap:SalesChannelDirectlyToConsumerMemberhrs:CommunicationSystemsMemberus-gaap:TransferredAtPointInTimeMember2022-07-022022-09-300000202058hrs:IntegratedMissionSystemsMemberus-gaap:SalesChanne</w:t>
      </w:r>
      <w:r>
        <w:rPr>
          <w:rFonts w:eastAsia="Times New Roman"/>
          <w:vanish/>
        </w:rPr>
        <w:t>lDirectlyToConsumerMemberus-gaap:TransferredOverTimeMember2021-07-032021-10-010000202058us-gaap:SalesChannelDirectlyToConsumerMemberhrs:SpaceandAirborneSystemsMemberus-gaap:TransferredOverTimeMember2021-07-032021-10-010000202058us-gaap:SalesChannelDirectly</w:t>
      </w:r>
      <w:r>
        <w:rPr>
          <w:rFonts w:eastAsia="Times New Roman"/>
          <w:vanish/>
        </w:rPr>
        <w:t>ToConsumerMemberhrs:CommunicationSystemsMemberus-gaap:TransferredAtPointInTimeMember2021-07-032021-10-010000202058hrs:IntegratedMissionSystemsMemberus-gaap:TransferredOverTimeMemberus-gaap:SalesChannelThroughIntermediaryMember2022-07-022022-09-300000202058</w:t>
      </w:r>
      <w:r>
        <w:rPr>
          <w:rFonts w:eastAsia="Times New Roman"/>
          <w:vanish/>
        </w:rPr>
        <w:t>hrs:SpaceandAirborneSystemsMemberus-gaap:TransferredOverTimeMemberus-gaap:SalesChannelThroughIntermediaryMember2022-07-022022-09-300000202058us-gaap:SalesChannelThroughIntermediaryMemberhrs:CommunicationSystemsMemberus-gaap:TransferredAtPointInTimeMember20</w:t>
      </w:r>
      <w:r>
        <w:rPr>
          <w:rFonts w:eastAsia="Times New Roman"/>
          <w:vanish/>
        </w:rPr>
        <w:t>22-07-022022-09-300000202058hrs:IntegratedMissionSystemsMemberus-gaap:TransferredOverTimeMemberus-gaap:SalesChannelThroughIntermediaryMember2021-07-032021-10-010000202058hrs:SpaceandAirborneSystemsMemberus-gaap:TransferredOverTimeMemberus-gaap:SalesChannel</w:t>
      </w:r>
      <w:r>
        <w:rPr>
          <w:rFonts w:eastAsia="Times New Roman"/>
          <w:vanish/>
        </w:rPr>
        <w:t>ThroughIntermediaryMember2021-07-032021-10-010000202058us-gaap:SalesChannelThroughIntermediaryMemberhrs:CommunicationSystemsMemberus-gaap:TransferredAtPointInTimeMember2021-07-032021-10-010000202058us-gaap:IntersegmentEliminationMemberhrs:IntegratedMission</w:t>
      </w:r>
      <w:r>
        <w:rPr>
          <w:rFonts w:eastAsia="Times New Roman"/>
          <w:vanish/>
        </w:rPr>
        <w:t>SystemsMemberus-gaap:TransferredOverTimeMember2022-07-022022-09-300000202058us-gaap:IntersegmentEliminationMemberhrs:SpaceandAirborneSystemsMemberus-gaap:TransferredOverTimeMember2022-07-022022-09-300000202058us-gaap:IntersegmentEliminationMemberhrs:Commun</w:t>
      </w:r>
      <w:r>
        <w:rPr>
          <w:rFonts w:eastAsia="Times New Roman"/>
          <w:vanish/>
        </w:rPr>
        <w:t>icationSystemsMemberus-gaap:TransferredAtPointInTimeMember2022-07-022022-09-300000202058us-gaap:IntersegmentEliminationMemberhrs:IntegratedMissionSystemsMemberus-gaap:TransferredOverTimeMember2021-07-032021-10-010000202058us-gaap:IntersegmentEliminationMem</w:t>
      </w:r>
      <w:r>
        <w:rPr>
          <w:rFonts w:eastAsia="Times New Roman"/>
          <w:vanish/>
        </w:rPr>
        <w:t>berhrs:SpaceandAirborneSystemsMemberus-gaap:TransferredOverTimeMember2021-07-032021-10-010000202058us-gaap:IntersegmentEliminationMemberhrs:CommunicationSystemsMemberus-gaap:TransferredAtPointInTimeMember2021-07-032021-10-010000202058hrs:IntegratedMissionS</w:t>
      </w:r>
      <w:r>
        <w:rPr>
          <w:rFonts w:eastAsia="Times New Roman"/>
          <w:vanish/>
        </w:rPr>
        <w:t>ystemsMemberus-gaap:TransferredOverTimeMember2022-07-022022-09-300000202058hrs:SpaceandAirborneSystemsMemberus-gaap:TransferredOverTimeMember2022-07-022022-09-300000202058hrs:CommunicationSystemsMemberus-gaap:TransferredAtPointInTimeMember2022-07-022022-09</w:t>
      </w:r>
      <w:r>
        <w:rPr>
          <w:rFonts w:eastAsia="Times New Roman"/>
          <w:vanish/>
        </w:rPr>
        <w:t>-300000202058hrs:IntegratedMissionSystemsMemberus-gaap:TransferredOverTimeMember2021-07-032021-10-010000202058hrs:SpaceandAirborneSystemsMemberus-gaap:TransferredOverTimeMember2021-07-032021-10-010000202058hrs:CommunicationSystemsMemberus-gaap:TransferredA</w:t>
      </w:r>
      <w:r>
        <w:rPr>
          <w:rFonts w:eastAsia="Times New Roman"/>
          <w:vanish/>
        </w:rPr>
        <w:t>tPointInTimeMember2021-07-032021-10-010000202058us-gaap:FixedPriceContractMemberhrs:IntegratedMissionSystemsMemberus-gaap:TransferredOverTimeMember2022-07-022022-09-300000202058us-gaap:FixedPriceContractMemberhrs:SpaceandAirborneSystemsMemberus-gaap:Transf</w:t>
      </w:r>
      <w:r>
        <w:rPr>
          <w:rFonts w:eastAsia="Times New Roman"/>
          <w:vanish/>
        </w:rPr>
        <w:t>erredOverTimeMember2022-07-022022-09-300000202058us-gaap:FixedPriceContractMemberhrs:CommunicationSystemsMemberus-gaap:TransferredAtPointInTimeMember2022-07-022022-09-300000202058us-gaap:FixedPriceContractMemberhrs:IntegratedMissionSystemsMemberus-gaap:Tra</w:t>
      </w:r>
      <w:r>
        <w:rPr>
          <w:rFonts w:eastAsia="Times New Roman"/>
          <w:vanish/>
        </w:rPr>
        <w:t>nsferredOverTimeMember2021-07-032021-10-010000202058us-gaap:FixedPriceContractMemberhrs:SpaceandAirborneSystemsMemberus-gaap:TransferredOverTimeMember2021-07-032021-10-010000202058us-gaap:FixedPriceContractMemberhrs:CommunicationSystemsMemberus-gaap:Transf</w:t>
      </w:r>
      <w:r>
        <w:rPr>
          <w:rFonts w:eastAsia="Times New Roman"/>
          <w:vanish/>
        </w:rPr>
        <w:t>erredAtPointInTimeMember2021-07-032021-10-010000202058hrs:IntegratedMissionSystemsMemberus-gaap:TransferredOverTimeMemberhrs:CostreimbursableMember2022-07-022022-09-300000202058hrs:SpaceandAirborneSystemsMemberus-gaap:TransferredOverTimeMemberhrs:Costreimb</w:t>
      </w:r>
      <w:r>
        <w:rPr>
          <w:rFonts w:eastAsia="Times New Roman"/>
          <w:vanish/>
        </w:rPr>
        <w:t>ursableMember2022-07-022022-09-300000202058hrs:CommunicationSystemsMemberhrs:CostreimbursableMemberus-gaap:TransferredAtPointInTimeMember2022-07-022022-09-300000202058hrs:IntegratedMissionSystemsMemberus-gaap:TransferredOverTimeMemberhrs:CostreimbursableMe</w:t>
      </w:r>
      <w:r>
        <w:rPr>
          <w:rFonts w:eastAsia="Times New Roman"/>
          <w:vanish/>
        </w:rPr>
        <w:t>mber2021-07-032021-10-010000202058hrs:SpaceandAirborneSystemsMemberus-gaap:TransferredOverTimeMemberhrs:CostreimbursableMember2021-07-032021-10-010000202058hrs:CommunicationSystemsMemberhrs:CostreimbursableMemberus-gaap:TransferredAtPointInTimeMember2021-0</w:t>
      </w:r>
      <w:r>
        <w:rPr>
          <w:rFonts w:eastAsia="Times New Roman"/>
          <w:vanish/>
        </w:rPr>
        <w:t>7-032021-10-010000202058hrs:IntegratedMissionSystemsMembercountry:USus-gaap:TransferredOverTimeMember2022-07-022022-09-300000202058country:UShrs:SpaceandAirborneSystemsMemberus-gaap:TransferredOverTimeMember2022-07-022022-09-300000202058country:UShrs:Commu</w:t>
      </w:r>
      <w:r>
        <w:rPr>
          <w:rFonts w:eastAsia="Times New Roman"/>
          <w:vanish/>
        </w:rPr>
        <w:t>nicationSystemsMemberus-gaap:TransferredAtPointInTimeMember2022-07-022022-09-300000202058hrs:IntegratedMissionSystemsMembercountry:USus-gaap:TransferredOverTimeMember2021-07-032021-10-010000202058country:UShrs:SpaceandAirborneSystemsMemberus-gaap:Transferr</w:t>
      </w:r>
      <w:r>
        <w:rPr>
          <w:rFonts w:eastAsia="Times New Roman"/>
          <w:vanish/>
        </w:rPr>
        <w:t>edOverTimeMember2021-07-032021-10-010000202058country:UShrs:CommunicationSystemsMemberus-gaap:TransferredAtPointInTimeMember2021-07-032021-10-010000202058hrs:IntegratedMissionSystemsMemberus-gaap:TransferredOverTimeMemberus-gaap:NonUsMember2022-07-022022-0</w:t>
      </w:r>
      <w:r>
        <w:rPr>
          <w:rFonts w:eastAsia="Times New Roman"/>
          <w:vanish/>
        </w:rPr>
        <w:t>9-300000202058hrs:SpaceandAirborneSystemsMemberus-gaap:TransferredOverTimeMemberus-gaap:NonUsMember2022-07-022022-09-300000202058us-gaap:NonUsMemberhrs:CommunicationSystemsMemberus-gaap:TransferredAtPointInTimeMember2022-07-022022-09-300000202058hrs:Integr</w:t>
      </w:r>
      <w:r>
        <w:rPr>
          <w:rFonts w:eastAsia="Times New Roman"/>
          <w:vanish/>
        </w:rPr>
        <w:t>atedMissionSystemsMemberus-gaap:TransferredOverTimeMemberus-gaap:NonUsMember2021-07-032021-10-010000202058hrs:SpaceandAirborneSystemsMemberus-gaap:TransferredOverTimeMemberus-gaap:NonUsMember2021-07-032021-10-010000202058us-gaap:NonUsMemberhrs:Communicatio</w:t>
      </w:r>
      <w:r>
        <w:rPr>
          <w:rFonts w:eastAsia="Times New Roman"/>
          <w:vanish/>
        </w:rPr>
        <w:t>nSystemsMemberus-gaap:TransferredAtPointInTimeMember2021-07-032021-10-010000202058hrs:IntegratedMissionSystemsMemberus-gaap:SalesChannelDirectlyToConsumerMemberus-gaap:TransferredOverTimeMember2022-01-012022-09-300000202058us-gaap:SalesChannelDirectlyToCon</w:t>
      </w:r>
      <w:r>
        <w:rPr>
          <w:rFonts w:eastAsia="Times New Roman"/>
          <w:vanish/>
        </w:rPr>
        <w:t>sumerMemberhrs:SpaceandAirborneSystemsMemberus-gaap:TransferredOverTimeMember2022-01-012022-09-300000202058us-gaap:SalesChannelDirectlyToConsumerMemberhrs:CommunicationSystemsMemberus-gaap:TransferredAtPointInTimeMember2022-01-012022-09-300000202058hrs:Int</w:t>
      </w:r>
      <w:r>
        <w:rPr>
          <w:rFonts w:eastAsia="Times New Roman"/>
          <w:vanish/>
        </w:rPr>
        <w:t>egratedMissionSystemsMemberus-gaap:SalesChannelDirectlyToConsumerMemberus-gaap:TransferredOverTimeMember2021-01-022021-10-010000202058us-gaap:SalesChannelDirectlyToConsumerMemberhrs:SpaceandAirborneSystemsMemberus-gaap:TransferredOverTimeMember2021-01-0220</w:t>
      </w:r>
      <w:r>
        <w:rPr>
          <w:rFonts w:eastAsia="Times New Roman"/>
          <w:vanish/>
        </w:rPr>
        <w:t>21-10-010000202058us-gaap:SalesChannelDirectlyToConsumerMemberhrs:CommunicationSystemsMemberus-gaap:TransferredAtPointInTimeMember2021-01-022021-10-010000202058hrs:IntegratedMissionSystemsMemberus-gaap:TransferredOverTimeMemberus-gaap:SalesChannelThroughIn</w:t>
      </w:r>
      <w:r>
        <w:rPr>
          <w:rFonts w:eastAsia="Times New Roman"/>
          <w:vanish/>
        </w:rPr>
        <w:t>termediaryMember2022-01-012022-09-300000202058hrs:SpaceandAirborneSystemsMemberus-gaap:TransferredOverTimeMemberus-gaap:SalesChannelThroughIntermediaryMember2022-01-012022-09-300000202058us-gaap:SalesChannelThroughIntermediaryMemberhrs:CommunicationSystems</w:t>
      </w:r>
      <w:r>
        <w:rPr>
          <w:rFonts w:eastAsia="Times New Roman"/>
          <w:vanish/>
        </w:rPr>
        <w:t>Memberus-gaap:TransferredAtPointInTimeMember2022-01-012022-09-300000202058hrs:IntegratedMissionSystemsMemberus-gaap:TransferredOverTimeMemberus-gaap:SalesChannelThroughIntermediaryMember2021-01-022021-10-010000202058hrs:SpaceandAirborneSystemsMemberus-gaap</w:t>
      </w:r>
      <w:r>
        <w:rPr>
          <w:rFonts w:eastAsia="Times New Roman"/>
          <w:vanish/>
        </w:rPr>
        <w:t>:TransferredOverTimeMemberus-gaap:SalesChannelThroughIntermediaryMember2021-01-022021-10-010000202058us-gaap:SalesChannelThroughIntermediaryMemberhrs:CommunicationSystemsMemberus-gaap:TransferredAtPointInTimeMember2021-01-022021-10-010000202058us-gaap:Inte</w:t>
      </w:r>
      <w:r>
        <w:rPr>
          <w:rFonts w:eastAsia="Times New Roman"/>
          <w:vanish/>
        </w:rPr>
        <w:t>rsegmentEliminationMemberhrs:IntegratedMissionSystemsMemberus-gaap:TransferredOverTimeMember2022-01-012022-09-300000202058us-gaap:IntersegmentEliminationMemberhrs:SpaceandAirborneSystemsMemberus-gaap:TransferredOverTimeMember2022-01-012022-09-300000202058u</w:t>
      </w:r>
      <w:r>
        <w:rPr>
          <w:rFonts w:eastAsia="Times New Roman"/>
          <w:vanish/>
        </w:rPr>
        <w:t>s-gaap:IntersegmentEliminationMemberhrs:CommunicationSystemsMemberus-gaap:TransferredAtPointInTimeMember2022-01-012022-09-300000202058us-gaap:IntersegmentEliminationMemberhrs:IntegratedMissionSystemsMemberus-gaap:TransferredOverTimeMember2021-01-022021-10-</w:t>
      </w:r>
      <w:r>
        <w:rPr>
          <w:rFonts w:eastAsia="Times New Roman"/>
          <w:vanish/>
        </w:rPr>
        <w:t>010000202058us-gaap:IntersegmentEliminationMemberhrs:SpaceandAirborneSystemsMemberus-gaap:TransferredOverTimeMember2021-01-022021-10-010000202058us-gaap:IntersegmentEliminationMemberhrs:CommunicationSystemsMemberus-gaap:TransferredAtPointInTimeMember2021-0</w:t>
      </w:r>
      <w:r>
        <w:rPr>
          <w:rFonts w:eastAsia="Times New Roman"/>
          <w:vanish/>
        </w:rPr>
        <w:t>1-022021-10-010000202058hrs:IntegratedMissionSystemsMemberus-gaap:TransferredOverTimeMember2022-01-012022-09-300000202058hrs:SpaceandAirborneSystemsMemberus-gaap:TransferredOverTimeMember2022-01-012022-09-300000202058hrs:CommunicationSystemsMemberus-gaap:T</w:t>
      </w:r>
      <w:r>
        <w:rPr>
          <w:rFonts w:eastAsia="Times New Roman"/>
          <w:vanish/>
        </w:rPr>
        <w:t>ransferredAtPointInTimeMember2022-01-012022-09-300000202058hrs:IntegratedMissionSystemsMemberus-gaap:TransferredOverTimeMember2021-01-022021-10-010000202058hrs:SpaceandAirborneSystemsMemberus-gaap:TransferredOverTimeMember2021-01-022021-10-010000202058hrs:</w:t>
      </w:r>
      <w:r>
        <w:rPr>
          <w:rFonts w:eastAsia="Times New Roman"/>
          <w:vanish/>
        </w:rPr>
        <w:t>CommunicationSystemsMemberus-gaap:TransferredAtPointInTimeMember2021-01-022021-10-010000202058us-gaap:FixedPriceContractMemberhrs:IntegratedMissionSystemsMemberus-gaap:TransferredOverTimeMember2022-01-012022-09-300000202058us-gaap:FixedPriceContractMemberh</w:t>
      </w:r>
      <w:r>
        <w:rPr>
          <w:rFonts w:eastAsia="Times New Roman"/>
          <w:vanish/>
        </w:rPr>
        <w:t>rs:SpaceandAirborneSystemsMemberus-gaap:TransferredOverTimeMember2022-01-012022-09-300000202058us-gaap:FixedPriceContractMemberhrs:CommunicationSystemsMemberus-gaap:TransferredAtPointInTimeMember2022-01-012022-09-300000202058us-gaap:FixedPriceContractMembe</w:t>
      </w:r>
      <w:r>
        <w:rPr>
          <w:rFonts w:eastAsia="Times New Roman"/>
          <w:vanish/>
        </w:rPr>
        <w:t>rhrs:IntegratedMissionSystemsMemberus-gaap:TransferredOverTimeMember2021-01-022021-10-010000202058us-gaap:FixedPriceContractMemberhrs:SpaceandAirborneSystemsMemberus-gaap:TransferredOverTimeMember2021-01-022021-10-010000202058us-gaap:FixedPriceContractMemb</w:t>
      </w:r>
      <w:r>
        <w:rPr>
          <w:rFonts w:eastAsia="Times New Roman"/>
          <w:vanish/>
        </w:rPr>
        <w:t>erhrs:CommunicationSystemsMemberus-gaap:TransferredAtPointInTimeMember2021-01-022021-10-010000202058hrs:IntegratedMissionSystemsMemberus-gaap:TransferredOverTimeMemberhrs:CostreimbursableMember2022-01-012022-09-300000202058hrs:SpaceandAirborneSystemsMember</w:t>
      </w:r>
      <w:r>
        <w:rPr>
          <w:rFonts w:eastAsia="Times New Roman"/>
          <w:vanish/>
        </w:rPr>
        <w:t>us-gaap:TransferredOverTimeMemberhrs:CostreimbursableMember2022-01-012022-09-300000202058hrs:CommunicationSystemsMemberhrs:CostreimbursableMemberus-gaap:TransferredAtPointInTimeMember2022-01-012022-09-300000202058hrs:IntegratedMissionSystemsMemberus-gaap:T</w:t>
      </w:r>
      <w:r>
        <w:rPr>
          <w:rFonts w:eastAsia="Times New Roman"/>
          <w:vanish/>
        </w:rPr>
        <w:t>ransferredOverTimeMemberhrs:CostreimbursableMember2021-01-022021-10-010000202058hrs:SpaceandAirborneSystemsMemberus-gaap:TransferredOverTimeMemberhrs:CostreimbursableMember2021-01-022021-10-010000202058hrs:CommunicationSystemsMemberhrs:CostreimbursableMemb</w:t>
      </w:r>
      <w:r>
        <w:rPr>
          <w:rFonts w:eastAsia="Times New Roman"/>
          <w:vanish/>
        </w:rPr>
        <w:t>erus-gaap:TransferredAtPointInTimeMember2021-01-022021-10-010000202058hrs:IntegratedMissionSystemsMembercountry:USus-gaap:TransferredOverTimeMember2022-01-012022-09-300000202058country:UShrs:SpaceandAirborneSystemsMemberus-gaap:TransferredOverTimeMember202</w:t>
      </w:r>
      <w:r>
        <w:rPr>
          <w:rFonts w:eastAsia="Times New Roman"/>
          <w:vanish/>
        </w:rPr>
        <w:t>2-01-012022-09-300000202058country:UShrs:CommunicationSystemsMemberus-gaap:TransferredAtPointInTimeMember2022-01-012022-09-300000202058hrs:IntegratedMissionSystemsMembercountry:USus-gaap:TransferredOverTimeMember2021-01-022021-10-010000202058country:UShrs:</w:t>
      </w:r>
      <w:r>
        <w:rPr>
          <w:rFonts w:eastAsia="Times New Roman"/>
          <w:vanish/>
        </w:rPr>
        <w:t>SpaceandAirborneSystemsMemberus-gaap:TransferredOverTimeMember2021-01-022021-10-010000202058country:UShrs:CommunicationSystemsMemberus-gaap:TransferredAtPointInTimeMember2021-01-022021-10-010000202058hrs:IntegratedMissionSystemsMemberus-gaap:TransferredOve</w:t>
      </w:r>
      <w:r>
        <w:rPr>
          <w:rFonts w:eastAsia="Times New Roman"/>
          <w:vanish/>
        </w:rPr>
        <w:t>rTimeMemberus-gaap:NonUsMember2022-01-012022-09-300000202058hrs:SpaceandAirborneSystemsMemberus-gaap:TransferredOverTimeMemberus-gaap:NonUsMember2022-01-012022-09-300000202058us-gaap:NonUsMemberhrs:CommunicationSystemsMemberus-gaap:TransferredAtPointInTime</w:t>
      </w:r>
      <w:r>
        <w:rPr>
          <w:rFonts w:eastAsia="Times New Roman"/>
          <w:vanish/>
        </w:rPr>
        <w:t>Member2022-01-012022-09-300000202058hrs:IntegratedMissionSystemsMemberus-gaap:TransferredOverTimeMemberus-gaap:NonUsMember2021-01-022021-10-010000202058hrs:SpaceandAirborneSystemsMemberus-gaap:TransferredOverTimeMemberus-gaap:NonUsMember2021-01-022021-10-0</w:t>
      </w:r>
      <w:r>
        <w:rPr>
          <w:rFonts w:eastAsia="Times New Roman"/>
          <w:vanish/>
        </w:rPr>
        <w:t>10000202058us-gaap:NonUsMemberhrs:CommunicationSystemsMemberus-gaap:TransferredAtPointInTimeMember2021-01-022021-10-010000202058us-gaap:OperatingSegmentsMemberhrs:IntegratedMissionSystemsMember2022-09-300000202058us-gaap:OperatingSegmentsMemberhrs:Integrat</w:t>
      </w:r>
      <w:r>
        <w:rPr>
          <w:rFonts w:eastAsia="Times New Roman"/>
          <w:vanish/>
        </w:rPr>
        <w:t>edMissionSystemsMember2021-12-310000202058us-gaap:OperatingSegmentsMemberhrs:SpaceandAirborneSystemsMember2022-09-300000202058us-gaap:OperatingSegmentsMemberhrs:SpaceandAirborneSystemsMember2021-12-310000202058us-gaap:OperatingSegmentsMemberhrs:Communicati</w:t>
      </w:r>
      <w:r>
        <w:rPr>
          <w:rFonts w:eastAsia="Times New Roman"/>
          <w:vanish/>
        </w:rPr>
        <w:t>onSystemsMember2022-09-300000202058us-gaap:OperatingSegmentsMemberhrs:CommunicationSystemsMember2021-12-310000202058us-gaap:MaterialReconcilingItemsMember2022-09-300000202058us-gaap:MaterialReconcilingItemsMember2021-12-310000202058us-gaap:CorporateNonSegm</w:t>
      </w:r>
      <w:r>
        <w:rPr>
          <w:rFonts w:eastAsia="Times New Roman"/>
          <w:vanish/>
        </w:rPr>
        <w:t>entMember2022-09-300000202058us-gaap:CorporateNonSegmentMember2021-12-310000202058hrs:ExelisMemberhrs:PassaicRiverAlaskaMember2016-03-012016-03-31hrs:responsible_party0000202058hrs:ExelisMemberhrs:PassaicRiverAlaskaMember2021-10-022021-12-310000202058us-ga</w:t>
      </w:r>
      <w:r>
        <w:rPr>
          <w:rFonts w:eastAsia="Times New Roman"/>
          <w:vanish/>
        </w:rPr>
        <w:t>ap:SubsequentEventMemberhrs:ViasatIncMember2022-10-032022-10-030000202058us-gaap:SubsequentEventMember2022-10-21</w:t>
      </w:r>
    </w:p>
    <w:p w:rsidR="00000000" w:rsidRDefault="00C9777F">
      <w:pPr>
        <w:ind w:firstLine="360"/>
        <w:jc w:val="center"/>
        <w:divId w:val="112948238"/>
        <w:rPr>
          <w:rFonts w:eastAsia="Times New Roman"/>
        </w:rPr>
      </w:pPr>
    </w:p>
    <w:p w:rsidR="00000000" w:rsidRDefault="00C9777F">
      <w:pPr>
        <w:ind w:firstLine="360"/>
        <w:jc w:val="center"/>
        <w:divId w:val="1913470793"/>
        <w:rPr>
          <w:rFonts w:eastAsia="Times New Roman"/>
        </w:rPr>
      </w:pPr>
    </w:p>
    <w:p w:rsidR="00000000" w:rsidRDefault="00C9777F">
      <w:pPr>
        <w:ind w:firstLine="360"/>
        <w:jc w:val="center"/>
        <w:divId w:val="1828663229"/>
        <w:rPr>
          <w:rFonts w:eastAsia="Times New Roman"/>
        </w:rPr>
      </w:pPr>
    </w:p>
    <w:p w:rsidR="00000000" w:rsidRDefault="00C9777F">
      <w:pPr>
        <w:ind w:firstLine="360"/>
        <w:jc w:val="center"/>
        <w:rPr>
          <w:rFonts w:eastAsia="Times New Roman"/>
        </w:rPr>
      </w:pPr>
    </w:p>
    <w:p w:rsidR="00000000" w:rsidRDefault="00C9777F">
      <w:pPr>
        <w:ind w:firstLine="36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9777F">
      <w:pPr>
        <w:ind w:firstLine="360"/>
        <w:jc w:val="center"/>
        <w:divId w:val="1598517422"/>
        <w:rPr>
          <w:rFonts w:eastAsia="Times New Roman"/>
        </w:rPr>
      </w:pPr>
      <w:r>
        <w:rPr>
          <w:rFonts w:eastAsia="Times New Roman"/>
          <w:b/>
          <w:bCs/>
          <w:color w:val="000000"/>
          <w:sz w:val="32"/>
          <w:szCs w:val="32"/>
        </w:rPr>
        <w:t>UNITED STATES</w:t>
      </w:r>
    </w:p>
    <w:p w:rsidR="00000000" w:rsidRDefault="00C9777F">
      <w:pPr>
        <w:ind w:firstLine="360"/>
        <w:jc w:val="center"/>
        <w:divId w:val="1669283425"/>
        <w:rPr>
          <w:rFonts w:eastAsia="Times New Roman"/>
        </w:rPr>
      </w:pPr>
      <w:r>
        <w:rPr>
          <w:rFonts w:eastAsia="Times New Roman"/>
          <w:b/>
          <w:bCs/>
          <w:color w:val="000000"/>
          <w:sz w:val="32"/>
          <w:szCs w:val="32"/>
        </w:rPr>
        <w:t>SECURITIES AND EXCHANGE COMMISSION</w:t>
      </w:r>
    </w:p>
    <w:p w:rsidR="00000000" w:rsidRDefault="00C9777F">
      <w:pPr>
        <w:ind w:firstLine="360"/>
        <w:jc w:val="center"/>
        <w:divId w:val="726076598"/>
        <w:rPr>
          <w:rFonts w:eastAsia="Times New Roman"/>
        </w:rPr>
      </w:pPr>
      <w:r>
        <w:rPr>
          <w:rFonts w:eastAsia="Times New Roman"/>
          <w:b/>
          <w:bCs/>
          <w:color w:val="000000"/>
        </w:rPr>
        <w:t>Washington, D.C. 20549</w:t>
      </w:r>
    </w:p>
    <w:p w:rsidR="00000000" w:rsidRDefault="00C9777F">
      <w:pPr>
        <w:ind w:firstLine="360"/>
        <w:jc w:val="center"/>
        <w:divId w:val="673844637"/>
        <w:rPr>
          <w:rFonts w:eastAsia="Times New Roman"/>
        </w:rPr>
      </w:pPr>
      <w:r>
        <w:rPr>
          <w:rFonts w:eastAsia="Times New Roman"/>
          <w:b/>
          <w:bCs/>
          <w:color w:val="000000"/>
          <w:sz w:val="32"/>
          <w:szCs w:val="32"/>
        </w:rPr>
        <w:t>FORM 10-Q</w:t>
      </w:r>
    </w:p>
    <w:p w:rsidR="00000000" w:rsidRDefault="00C9777F">
      <w:pPr>
        <w:ind w:firstLine="360"/>
        <w:divId w:val="1049499995"/>
        <w:rPr>
          <w:rFonts w:eastAsia="Times New Roman"/>
        </w:rPr>
      </w:pPr>
      <w:r>
        <w:rPr>
          <w:rFonts w:eastAsia="Times New Roman"/>
          <w:b/>
          <w:bCs/>
          <w:color w:val="000000"/>
          <w:sz w:val="16"/>
          <w:szCs w:val="16"/>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8"/>
        <w:gridCol w:w="36"/>
      </w:tblGrid>
      <w:tr w:rsidR="00000000">
        <w:trPr>
          <w:divId w:val="66003543"/>
          <w:jc w:val="center"/>
        </w:trPr>
        <w:tc>
          <w:tcPr>
            <w:tcW w:w="50" w:type="pct"/>
            <w:vAlign w:val="center"/>
            <w:hideMark/>
          </w:tcPr>
          <w:p w:rsidR="00000000" w:rsidRDefault="00C9777F">
            <w:pPr>
              <w:ind w:firstLine="360"/>
              <w:rPr>
                <w:rFonts w:eastAsia="Times New Roman"/>
              </w:rPr>
            </w:pPr>
          </w:p>
        </w:tc>
        <w:tc>
          <w:tcPr>
            <w:tcW w:w="18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70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66003543"/>
          <w:jc w:val="center"/>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QUARTERLY REPORT PURSUANT TO SECTION 13 OR 15(d) OF THE SECURITIES EXCHANGE ACT OF 1934</w:t>
            </w:r>
          </w:p>
        </w:tc>
      </w:tr>
    </w:tbl>
    <w:p w:rsidR="00000000" w:rsidRDefault="00C9777F">
      <w:pPr>
        <w:ind w:firstLine="360"/>
        <w:jc w:val="center"/>
        <w:divId w:val="1776293305"/>
        <w:rPr>
          <w:rFonts w:eastAsia="Times New Roman"/>
        </w:rPr>
      </w:pPr>
      <w:r>
        <w:rPr>
          <w:rFonts w:eastAsia="Times New Roman"/>
          <w:b/>
          <w:bCs/>
          <w:color w:val="000000"/>
          <w:sz w:val="20"/>
          <w:szCs w:val="20"/>
        </w:rPr>
        <w:t xml:space="preserve">For the quarterly period ended September 30, 2022 </w:t>
      </w:r>
    </w:p>
    <w:p w:rsidR="00000000" w:rsidRDefault="00C9777F">
      <w:pPr>
        <w:ind w:firstLine="360"/>
        <w:jc w:val="center"/>
        <w:divId w:val="2022076308"/>
        <w:rPr>
          <w:rFonts w:eastAsia="Times New Roman"/>
        </w:rPr>
      </w:pPr>
      <w:r>
        <w:rPr>
          <w:rFonts w:eastAsia="Times New Roman"/>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trPr>
          <w:divId w:val="1377849600"/>
          <w:jc w:val="center"/>
        </w:trPr>
        <w:tc>
          <w:tcPr>
            <w:tcW w:w="50" w:type="pct"/>
            <w:vAlign w:val="center"/>
            <w:hideMark/>
          </w:tcPr>
          <w:p w:rsidR="00000000" w:rsidRDefault="00C9777F">
            <w:pPr>
              <w:ind w:firstLine="360"/>
              <w:jc w:val="center"/>
              <w:rPr>
                <w:rFonts w:eastAsia="Times New Roman"/>
              </w:rPr>
            </w:pPr>
          </w:p>
        </w:tc>
        <w:tc>
          <w:tcPr>
            <w:tcW w:w="18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70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377849600"/>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TRANSITION REPORT PURSUANT TO SECTION 13 OR 15(d) OF THE SECURITIES EXCHANGE ACT OF 1934</w:t>
            </w:r>
          </w:p>
        </w:tc>
      </w:tr>
      <w:tr w:rsidR="00000000">
        <w:trPr>
          <w:divId w:val="1377849600"/>
          <w:jc w:val="center"/>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20"/>
                <w:szCs w:val="20"/>
              </w:rPr>
              <w:t>For the transition period from _______________ to ______________</w:t>
            </w:r>
          </w:p>
        </w:tc>
      </w:tr>
    </w:tbl>
    <w:p w:rsidR="00000000" w:rsidRDefault="00C9777F">
      <w:pPr>
        <w:ind w:firstLine="360"/>
        <w:jc w:val="center"/>
        <w:divId w:val="352051"/>
        <w:rPr>
          <w:rFonts w:eastAsia="Times New Roman"/>
        </w:rPr>
      </w:pPr>
      <w:r>
        <w:rPr>
          <w:rFonts w:eastAsia="Times New Roman"/>
          <w:color w:val="000000"/>
          <w:sz w:val="20"/>
          <w:szCs w:val="20"/>
        </w:rPr>
        <w:t xml:space="preserve">Commission File Number 1-3863 </w:t>
      </w:r>
    </w:p>
    <w:p w:rsidR="00000000" w:rsidRDefault="00C9777F">
      <w:pPr>
        <w:ind w:firstLine="360"/>
        <w:jc w:val="center"/>
        <w:rPr>
          <w:rFonts w:eastAsia="Times New Roman"/>
        </w:rPr>
      </w:pPr>
      <w:r>
        <w:rPr>
          <w:rFonts w:eastAsia="Times New Roman"/>
          <w:b/>
          <w:bCs/>
          <w:color w:val="000000"/>
          <w:sz w:val="40"/>
          <w:szCs w:val="40"/>
        </w:rPr>
        <w:t xml:space="preserve">L3HARRIS TECHNOLOGIES, INC. </w:t>
      </w:r>
    </w:p>
    <w:p w:rsidR="00000000" w:rsidRDefault="00C9777F">
      <w:pPr>
        <w:ind w:firstLine="360"/>
        <w:jc w:val="center"/>
        <w:rPr>
          <w:rFonts w:eastAsia="Times New Roman"/>
        </w:rPr>
      </w:pPr>
      <w:r>
        <w:rPr>
          <w:rFonts w:eastAsia="Times New Roman"/>
          <w:color w:val="000000"/>
          <w:sz w:val="16"/>
          <w:szCs w:val="16"/>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09"/>
        <w:gridCol w:w="38"/>
        <w:gridCol w:w="67"/>
        <w:gridCol w:w="647"/>
        <w:gridCol w:w="36"/>
        <w:gridCol w:w="68"/>
        <w:gridCol w:w="1148"/>
        <w:gridCol w:w="36"/>
        <w:gridCol w:w="68"/>
        <w:gridCol w:w="2940"/>
        <w:gridCol w:w="37"/>
      </w:tblGrid>
      <w:tr w:rsidR="00000000">
        <w:trPr>
          <w:jc w:val="center"/>
        </w:trPr>
        <w:tc>
          <w:tcPr>
            <w:tcW w:w="50" w:type="pct"/>
            <w:vAlign w:val="center"/>
            <w:hideMark/>
          </w:tcPr>
          <w:p w:rsidR="00000000" w:rsidRDefault="00C9777F">
            <w:pPr>
              <w:ind w:firstLine="360"/>
              <w:jc w:val="center"/>
              <w:rPr>
                <w:rFonts w:eastAsia="Times New Roman"/>
              </w:rPr>
            </w:pPr>
          </w:p>
        </w:tc>
        <w:tc>
          <w:tcPr>
            <w:tcW w:w="185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0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80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C9777F">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9777F">
            <w:pPr>
              <w:spacing w:after="100"/>
              <w:jc w:val="center"/>
              <w:rPr>
                <w:rFonts w:eastAsia="Times New Roman"/>
              </w:rPr>
            </w:pPr>
            <w:r>
              <w:rPr>
                <w:rFonts w:eastAsia="Times New Roman"/>
                <w:b/>
                <w:bCs/>
                <w:color w:val="000000"/>
                <w:sz w:val="18"/>
                <w:szCs w:val="18"/>
              </w:rPr>
              <w:t>34-0276860</w:t>
            </w:r>
          </w:p>
        </w:tc>
      </w:tr>
      <w:tr w:rsidR="00000000">
        <w:trPr>
          <w:jc w:val="center"/>
        </w:trPr>
        <w:tc>
          <w:tcPr>
            <w:tcW w:w="0" w:type="auto"/>
            <w:gridSpan w:val="6"/>
            <w:tcMar>
              <w:top w:w="30" w:type="dxa"/>
              <w:left w:w="20" w:type="dxa"/>
              <w:bottom w:w="30" w:type="dxa"/>
              <w:right w:w="20" w:type="dxa"/>
            </w:tcMar>
            <w:hideMark/>
          </w:tcPr>
          <w:p w:rsidR="00000000" w:rsidRDefault="00C9777F">
            <w:pPr>
              <w:spacing w:after="100"/>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9777F">
            <w:pPr>
              <w:spacing w:after="100"/>
              <w:jc w:val="center"/>
              <w:rPr>
                <w:rFonts w:eastAsia="Times New Roman"/>
              </w:rPr>
            </w:pPr>
            <w:r>
              <w:rPr>
                <w:rFonts w:eastAsia="Times New Roman"/>
                <w:color w:val="000000"/>
                <w:sz w:val="16"/>
                <w:szCs w:val="16"/>
              </w:rPr>
              <w:t>(I.R.S. Employer Identification No.)</w:t>
            </w:r>
          </w:p>
        </w:tc>
      </w:tr>
    </w:tbl>
    <w:p w:rsidR="00000000" w:rsidRDefault="00C9777F">
      <w:pPr>
        <w:ind w:firstLine="360"/>
        <w:divId w:val="1974017888"/>
        <w:rPr>
          <w:rFonts w:eastAsia="Times New Roman"/>
          <w:vanish/>
        </w:rPr>
      </w:pPr>
    </w:p>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trPr>
          <w:divId w:val="1974017888"/>
        </w:trPr>
        <w:tc>
          <w:tcPr>
            <w:tcW w:w="50" w:type="pct"/>
            <w:vAlign w:val="center"/>
            <w:hideMark/>
          </w:tcPr>
          <w:p w:rsidR="00000000" w:rsidRDefault="00C9777F">
            <w:pPr>
              <w:ind w:firstLine="360"/>
              <w:jc w:val="center"/>
              <w:rPr>
                <w:rFonts w:eastAsia="Times New Roman"/>
              </w:rPr>
            </w:pPr>
          </w:p>
        </w:tc>
        <w:tc>
          <w:tcPr>
            <w:tcW w:w="106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0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8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86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81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974017888"/>
        </w:trPr>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974017888"/>
        </w:trPr>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8"/>
                <w:szCs w:val="18"/>
              </w:rPr>
              <w:t>32919</w:t>
            </w:r>
          </w:p>
        </w:tc>
      </w:tr>
      <w:tr w:rsidR="00000000">
        <w:trPr>
          <w:divId w:val="1974017888"/>
        </w:trPr>
        <w:tc>
          <w:tcPr>
            <w:tcW w:w="0" w:type="auto"/>
            <w:gridSpan w:val="9"/>
            <w:tcMar>
              <w:top w:w="30" w:type="dxa"/>
              <w:left w:w="20" w:type="dxa"/>
              <w:bottom w:w="30" w:type="dxa"/>
              <w:right w:w="20" w:type="dxa"/>
            </w:tcMar>
            <w:hideMark/>
          </w:tcPr>
          <w:p w:rsidR="00000000" w:rsidRDefault="00C9777F">
            <w:pPr>
              <w:spacing w:after="100"/>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C9777F">
            <w:pPr>
              <w:spacing w:after="100"/>
              <w:jc w:val="center"/>
              <w:rPr>
                <w:rFonts w:eastAsia="Times New Roman"/>
              </w:rPr>
            </w:pPr>
            <w:r>
              <w:rPr>
                <w:rFonts w:eastAsia="Times New Roman"/>
                <w:color w:val="000000"/>
                <w:sz w:val="16"/>
                <w:szCs w:val="16"/>
              </w:rPr>
              <w:t>(Zip Code)</w:t>
            </w:r>
          </w:p>
        </w:tc>
      </w:tr>
    </w:tbl>
    <w:p w:rsidR="00000000" w:rsidRDefault="00C9777F">
      <w:pPr>
        <w:ind w:firstLine="360"/>
        <w:jc w:val="center"/>
        <w:divId w:val="620454064"/>
        <w:rPr>
          <w:rFonts w:eastAsia="Times New Roman"/>
        </w:rPr>
      </w:pPr>
      <w:r>
        <w:rPr>
          <w:rFonts w:eastAsia="Times New Roman"/>
          <w:b/>
          <w:bCs/>
          <w:color w:val="000000"/>
          <w:sz w:val="18"/>
          <w:szCs w:val="18"/>
        </w:rPr>
        <w:t xml:space="preserve">Registrant’s telephone number, including area code: (321) 727-9100 </w:t>
      </w:r>
    </w:p>
    <w:tbl>
      <w:tblPr>
        <w:tblW w:w="4892" w:type="pct"/>
        <w:jc w:val="center"/>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trPr>
          <w:jc w:val="center"/>
        </w:trPr>
        <w:tc>
          <w:tcPr>
            <w:tcW w:w="50" w:type="pct"/>
            <w:vAlign w:val="center"/>
            <w:hideMark/>
          </w:tcPr>
          <w:p w:rsidR="00000000" w:rsidRDefault="00C9777F">
            <w:pPr>
              <w:ind w:firstLine="360"/>
              <w:jc w:val="center"/>
              <w:rPr>
                <w:rFonts w:eastAsia="Times New Roman"/>
              </w:rPr>
            </w:pPr>
          </w:p>
        </w:tc>
        <w:tc>
          <w:tcPr>
            <w:tcW w:w="175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4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92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4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75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jc w:val="center"/>
        </w:trPr>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Securities registered pursuant to Section 12(b) of the Act:</w:t>
            </w: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16"/>
                <w:szCs w:val="16"/>
              </w:rPr>
              <w:t>New York Stock Exchange</w:t>
            </w:r>
          </w:p>
        </w:tc>
      </w:tr>
    </w:tbl>
    <w:p w:rsidR="00000000" w:rsidRDefault="00C9777F">
      <w:pPr>
        <w:ind w:firstLine="360"/>
        <w:divId w:val="224099520"/>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w:t>
      </w:r>
      <w:r>
        <w:rPr>
          <w:rFonts w:eastAsia="Times New Roman"/>
          <w:color w:val="000000"/>
          <w:sz w:val="20"/>
          <w:szCs w:val="20"/>
        </w:rPr>
        <w:t>              </w:t>
      </w:r>
      <w:r>
        <w:rPr>
          <w:rFonts w:ascii="Wingdings" w:eastAsia="Times New Roman" w:hAnsi="Wingdings"/>
          <w:color w:val="000000"/>
          <w:sz w:val="18"/>
          <w:szCs w:val="18"/>
        </w:rPr>
        <w:t>þ</w:t>
      </w:r>
      <w:r>
        <w:rPr>
          <w:rFonts w:eastAsia="Times New Roman"/>
          <w:color w:val="000000"/>
          <w:sz w:val="20"/>
          <w:szCs w:val="20"/>
        </w:rPr>
        <w:t> </w:t>
      </w:r>
      <w:r>
        <w:rPr>
          <w:rFonts w:eastAsia="Times New Roman"/>
          <w:color w:val="000000"/>
          <w:sz w:val="20"/>
          <w:szCs w:val="20"/>
        </w:rPr>
        <w:t xml:space="preserve">  Yes   </w:t>
      </w:r>
      <w:r>
        <w:rPr>
          <w:rFonts w:ascii="Wingdings" w:eastAsia="Times New Roman" w:hAnsi="Wingdings"/>
          <w:color w:val="000000"/>
          <w:sz w:val="18"/>
          <w:szCs w:val="18"/>
        </w:rPr>
        <w:t>o</w:t>
      </w:r>
      <w:r>
        <w:rPr>
          <w:rFonts w:eastAsia="Times New Roman"/>
          <w:color w:val="000000"/>
          <w:sz w:val="20"/>
          <w:szCs w:val="20"/>
        </w:rPr>
        <w:t>  No  </w:t>
      </w:r>
    </w:p>
    <w:p w:rsidR="00000000" w:rsidRDefault="00C9777F">
      <w:pPr>
        <w:ind w:firstLine="360"/>
        <w:divId w:val="257644122"/>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w:t>
      </w:r>
      <w:r>
        <w:rPr>
          <w:rFonts w:eastAsia="Times New Roman"/>
          <w:color w:val="000000"/>
          <w:sz w:val="18"/>
          <w:szCs w:val="18"/>
        </w:rPr>
        <w:t>trant was required to submit such files).</w:t>
      </w:r>
      <w:r>
        <w:rPr>
          <w:rFonts w:eastAsia="Times New Roman"/>
          <w:color w:val="000000"/>
          <w:sz w:val="20"/>
          <w:szCs w:val="20"/>
        </w:rPr>
        <w:t>          </w:t>
      </w:r>
      <w:r>
        <w:rPr>
          <w:rFonts w:ascii="Wingdings" w:eastAsia="Times New Roman" w:hAnsi="Wingdings"/>
          <w:color w:val="000000"/>
          <w:sz w:val="18"/>
          <w:szCs w:val="18"/>
        </w:rPr>
        <w:t>þ</w:t>
      </w:r>
      <w:r>
        <w:rPr>
          <w:rFonts w:eastAsia="Times New Roman"/>
          <w:color w:val="000000"/>
          <w:sz w:val="18"/>
          <w:szCs w:val="18"/>
        </w:rPr>
        <w:t xml:space="preserve">  </w:t>
      </w:r>
      <w:r>
        <w:rPr>
          <w:rFonts w:eastAsia="Times New Roman"/>
          <w:color w:val="000000"/>
          <w:sz w:val="20"/>
          <w:szCs w:val="20"/>
        </w:rPr>
        <w:t> Yes   </w:t>
      </w:r>
      <w:r>
        <w:rPr>
          <w:rFonts w:ascii="Wingdings" w:eastAsia="Times New Roman" w:hAnsi="Wingdings"/>
          <w:color w:val="000000"/>
          <w:sz w:val="18"/>
          <w:szCs w:val="18"/>
        </w:rPr>
        <w:t>o</w:t>
      </w:r>
      <w:r>
        <w:rPr>
          <w:rFonts w:eastAsia="Times New Roman"/>
          <w:color w:val="000000"/>
          <w:sz w:val="18"/>
          <w:szCs w:val="18"/>
        </w:rPr>
        <w:t> </w:t>
      </w:r>
      <w:r>
        <w:rPr>
          <w:rFonts w:eastAsia="Times New Roman"/>
          <w:color w:val="000000"/>
          <w:sz w:val="20"/>
          <w:szCs w:val="20"/>
        </w:rPr>
        <w:t> No  </w:t>
      </w:r>
    </w:p>
    <w:p w:rsidR="00000000" w:rsidRDefault="00C9777F">
      <w:pPr>
        <w:ind w:firstLine="360"/>
        <w:divId w:val="1861747117"/>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w:t>
      </w:r>
      <w:r>
        <w:rPr>
          <w:rFonts w:eastAsia="Times New Roman"/>
          <w:color w:val="000000"/>
          <w:sz w:val="18"/>
          <w:szCs w:val="18"/>
        </w:rPr>
        <w:t>he definitions of “large accelerated filer,” “accelerated filer,” “smaller reporting company” and “emerging growth company” in Rule 12b-2 of the Exchange Act.</w:t>
      </w:r>
    </w:p>
    <w:tbl>
      <w:tblPr>
        <w:tblW w:w="4920" w:type="pct"/>
        <w:tblCellMar>
          <w:top w:w="15" w:type="dxa"/>
          <w:left w:w="15" w:type="dxa"/>
          <w:bottom w:w="15" w:type="dxa"/>
          <w:right w:w="15" w:type="dxa"/>
        </w:tblCellMar>
        <w:tblLook w:val="04A0" w:firstRow="1" w:lastRow="0" w:firstColumn="1" w:lastColumn="0" w:noHBand="0" w:noVBand="1"/>
      </w:tblPr>
      <w:tblGrid>
        <w:gridCol w:w="41"/>
        <w:gridCol w:w="1582"/>
        <w:gridCol w:w="36"/>
        <w:gridCol w:w="36"/>
        <w:gridCol w:w="36"/>
        <w:gridCol w:w="36"/>
        <w:gridCol w:w="38"/>
        <w:gridCol w:w="3685"/>
        <w:gridCol w:w="36"/>
        <w:gridCol w:w="39"/>
        <w:gridCol w:w="138"/>
        <w:gridCol w:w="36"/>
        <w:gridCol w:w="87"/>
        <w:gridCol w:w="1915"/>
        <w:gridCol w:w="36"/>
        <w:gridCol w:w="36"/>
        <w:gridCol w:w="70"/>
        <w:gridCol w:w="36"/>
        <w:gridCol w:w="37"/>
        <w:gridCol w:w="181"/>
        <w:gridCol w:w="36"/>
      </w:tblGrid>
      <w:tr w:rsidR="00000000">
        <w:trPr>
          <w:divId w:val="911936154"/>
        </w:trPr>
        <w:tc>
          <w:tcPr>
            <w:tcW w:w="50" w:type="pct"/>
            <w:vAlign w:val="center"/>
            <w:hideMark/>
          </w:tcPr>
          <w:p w:rsidR="00000000" w:rsidRDefault="00C9777F">
            <w:pPr>
              <w:ind w:firstLine="360"/>
              <w:rPr>
                <w:rFonts w:eastAsia="Times New Roman"/>
              </w:rPr>
            </w:pPr>
          </w:p>
        </w:tc>
        <w:tc>
          <w:tcPr>
            <w:tcW w:w="99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4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228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1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2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911936154"/>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lastRenderedPageBreak/>
              <w:t>Large accelerated filer</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ascii="Segoe UI Symbol" w:eastAsia="Times New Roman" w:hAnsi="Segoe UI Symbol" w:cs="Segoe UI Symbol"/>
                <w:color w:val="000000"/>
                <w:sz w:val="18"/>
                <w:szCs w:val="18"/>
              </w:rPr>
              <w:t>☐</w:t>
            </w:r>
          </w:p>
        </w:tc>
      </w:tr>
      <w:tr w:rsidR="00000000">
        <w:trPr>
          <w:divId w:val="911936154"/>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divId w:val="1250578607"/>
              <w:rPr>
                <w:rFonts w:eastAsia="Times New Roman"/>
              </w:rPr>
            </w:pPr>
            <w:r>
              <w:rPr>
                <w:rFonts w:ascii="Wingdings" w:eastAsia="Times New Roman" w:hAnsi="Wingdings"/>
                <w:color w:val="000000"/>
                <w:sz w:val="18"/>
                <w:szCs w:val="18"/>
              </w:rPr>
              <w:t>¨</w:t>
            </w: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ascii="Segoe UI Symbol" w:eastAsia="Times New Roman" w:hAnsi="Segoe UI Symbol" w:cs="Segoe UI Symbol"/>
                <w:color w:val="000000"/>
                <w:sz w:val="18"/>
                <w:szCs w:val="18"/>
              </w:rPr>
              <w:t>☐</w:t>
            </w:r>
          </w:p>
        </w:tc>
      </w:tr>
      <w:tr w:rsidR="00000000">
        <w:trPr>
          <w:divId w:val="911936154"/>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ascii="Segoe UI Symbol" w:eastAsia="Times New Roman" w:hAnsi="Segoe UI Symbol" w:cs="Segoe UI Symbol"/>
                <w:color w:val="000000"/>
                <w:sz w:val="18"/>
                <w:szCs w:val="18"/>
              </w:rPr>
              <w:t>☐</w:t>
            </w:r>
          </w:p>
        </w:tc>
      </w:tr>
    </w:tbl>
    <w:p w:rsidR="00000000" w:rsidRDefault="00C9777F">
      <w:pPr>
        <w:ind w:firstLine="360"/>
        <w:divId w:val="1361738734"/>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w:t>
      </w:r>
      <w:r>
        <w:rPr>
          <w:rFonts w:eastAsia="Times New Roman"/>
          <w:color w:val="000000"/>
          <w:sz w:val="18"/>
          <w:szCs w:val="18"/>
        </w:rPr>
        <w:t> </w:t>
      </w:r>
    </w:p>
    <w:p w:rsidR="00000000" w:rsidRDefault="00C9777F">
      <w:pPr>
        <w:ind w:firstLine="360"/>
        <w:divId w:val="92015025"/>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is a shell company (as defined in Rule 12b-2 of the Exchange Act).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Yes   </w:t>
      </w:r>
      <w:r>
        <w:rPr>
          <w:rFonts w:ascii="Wingdings" w:eastAsia="Times New Roman" w:hAnsi="Wingdings"/>
          <w:color w:val="000000"/>
          <w:sz w:val="18"/>
          <w:szCs w:val="18"/>
        </w:rPr>
        <w:t>þ</w:t>
      </w:r>
      <w:r>
        <w:rPr>
          <w:rFonts w:eastAsia="Times New Roman"/>
          <w:color w:val="000000"/>
          <w:sz w:val="20"/>
          <w:szCs w:val="20"/>
        </w:rPr>
        <w:t>  No  </w:t>
      </w:r>
    </w:p>
    <w:p w:rsidR="00000000" w:rsidRDefault="00C9777F">
      <w:pPr>
        <w:ind w:firstLine="360"/>
        <w:divId w:val="1332444045"/>
        <w:rPr>
          <w:rFonts w:eastAsia="Times New Roman"/>
        </w:rPr>
      </w:pPr>
      <w:r>
        <w:rPr>
          <w:rFonts w:eastAsia="Times New Roman"/>
          <w:color w:val="000000"/>
          <w:sz w:val="18"/>
          <w:szCs w:val="18"/>
        </w:rPr>
        <w:t>The number of shares outstanding of the registrant’s common stock as of October 21, 2022 was 190,402,795.</w:t>
      </w:r>
    </w:p>
    <w:p w:rsidR="00000000" w:rsidRDefault="00C9777F">
      <w:pPr>
        <w:ind w:firstLine="360"/>
        <w:divId w:val="2062514027"/>
        <w:rPr>
          <w:rFonts w:eastAsia="Times New Roman"/>
        </w:rPr>
      </w:pPr>
    </w:p>
    <w:p w:rsidR="00000000" w:rsidRDefault="00C9777F">
      <w:pPr>
        <w:rPr>
          <w:rFonts w:eastAsia="Times New Roman"/>
        </w:rPr>
      </w:pPr>
      <w:r>
        <w:rPr>
          <w:rFonts w:eastAsia="Times New Roman"/>
        </w:rPr>
        <w:pict>
          <v:rect id="_x0000_i1026" style="width:0;height:1.5pt" o:hralign="center" o:hrstd="t" o:hr="t" fillcolor="#a0a0a0" stroked="f"/>
        </w:pict>
      </w:r>
    </w:p>
    <w:p w:rsidR="00000000" w:rsidRDefault="00C9777F">
      <w:pPr>
        <w:ind w:firstLine="360"/>
        <w:divId w:val="231357032"/>
        <w:rPr>
          <w:rFonts w:eastAsia="Times New Roman"/>
        </w:rPr>
      </w:pPr>
    </w:p>
    <w:p w:rsidR="00000000" w:rsidRDefault="00C9777F">
      <w:pPr>
        <w:ind w:firstLine="360"/>
        <w:divId w:val="1767144186"/>
        <w:rPr>
          <w:rFonts w:eastAsia="Times New Roman"/>
        </w:rPr>
      </w:pPr>
    </w:p>
    <w:p w:rsidR="00000000" w:rsidRDefault="00C9777F">
      <w:pPr>
        <w:ind w:firstLine="360"/>
        <w:jc w:val="center"/>
        <w:rPr>
          <w:rFonts w:eastAsia="Times New Roman"/>
        </w:rPr>
      </w:pPr>
    </w:p>
    <w:p w:rsidR="00000000" w:rsidRDefault="00C9777F">
      <w:pPr>
        <w:ind w:firstLine="360"/>
        <w:jc w:val="center"/>
        <w:divId w:val="1917546694"/>
        <w:rPr>
          <w:rFonts w:eastAsia="Times New Roman"/>
        </w:rPr>
      </w:pPr>
      <w:r>
        <w:rPr>
          <w:rFonts w:eastAsia="Times New Roman"/>
          <w:b/>
          <w:bCs/>
          <w:color w:val="000000"/>
          <w:sz w:val="20"/>
          <w:szCs w:val="20"/>
        </w:rPr>
        <w:t>L3HARRIS TECHNOLOGIES, INC.</w:t>
      </w:r>
    </w:p>
    <w:p w:rsidR="00000000" w:rsidRDefault="00C9777F">
      <w:pPr>
        <w:ind w:firstLine="360"/>
        <w:jc w:val="center"/>
        <w:divId w:val="2010330433"/>
        <w:rPr>
          <w:rFonts w:eastAsia="Times New Roman"/>
        </w:rPr>
      </w:pPr>
      <w:r>
        <w:rPr>
          <w:rFonts w:eastAsia="Times New Roman"/>
          <w:b/>
          <w:bCs/>
          <w:color w:val="000000"/>
          <w:sz w:val="20"/>
          <w:szCs w:val="20"/>
        </w:rPr>
        <w:t>FORM 10-Q</w:t>
      </w:r>
    </w:p>
    <w:p w:rsidR="00000000" w:rsidRDefault="00C9777F">
      <w:pPr>
        <w:ind w:firstLine="360"/>
        <w:jc w:val="center"/>
        <w:divId w:val="684093439"/>
        <w:rPr>
          <w:rFonts w:eastAsia="Times New Roman"/>
        </w:rPr>
      </w:pPr>
      <w:r>
        <w:rPr>
          <w:rFonts w:eastAsia="Times New Roman"/>
          <w:b/>
          <w:bCs/>
          <w:color w:val="000000"/>
          <w:sz w:val="20"/>
          <w:szCs w:val="20"/>
        </w:rPr>
        <w:t>For the Quarter Ended September 30, 2022</w:t>
      </w:r>
    </w:p>
    <w:p w:rsidR="00000000" w:rsidRDefault="00C9777F">
      <w:pPr>
        <w:ind w:firstLine="360"/>
        <w:jc w:val="center"/>
        <w:divId w:val="410853500"/>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79"/>
        <w:gridCol w:w="37"/>
        <w:gridCol w:w="38"/>
        <w:gridCol w:w="7404"/>
        <w:gridCol w:w="38"/>
        <w:gridCol w:w="87"/>
        <w:gridCol w:w="550"/>
        <w:gridCol w:w="36"/>
      </w:tblGrid>
      <w:tr w:rsidR="00000000">
        <w:trPr>
          <w:divId w:val="410853500"/>
          <w:jc w:val="center"/>
        </w:trPr>
        <w:tc>
          <w:tcPr>
            <w:tcW w:w="5" w:type="pct"/>
            <w:vAlign w:val="center"/>
            <w:hideMark/>
          </w:tcPr>
          <w:p w:rsidR="00000000" w:rsidRDefault="00C9777F">
            <w:pPr>
              <w:ind w:firstLine="360"/>
              <w:jc w:val="center"/>
              <w:rPr>
                <w:rFonts w:eastAsia="Times New Roman"/>
              </w:rPr>
            </w:pPr>
          </w:p>
        </w:tc>
        <w:tc>
          <w:tcPr>
            <w:tcW w:w="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48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410853500"/>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Page No.</w:t>
            </w:r>
          </w:p>
        </w:tc>
      </w:tr>
      <w:tr w:rsidR="00000000">
        <w:trPr>
          <w:divId w:val="410853500"/>
          <w:trHeight w:val="300"/>
          <w:jc w:val="center"/>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410853500"/>
          <w:jc w:val="center"/>
        </w:trPr>
        <w:tc>
          <w:tcPr>
            <w:tcW w:w="0" w:type="auto"/>
            <w:gridSpan w:val="6"/>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9777F">
            <w:pPr>
              <w:spacing w:after="100"/>
              <w:divId w:val="922835751"/>
              <w:rPr>
                <w:rFonts w:eastAsia="Times New Roman"/>
              </w:rPr>
            </w:pPr>
            <w:hyperlink w:anchor="i3982cd9a347d48b0b4ee1ab8e83b9265_16" w:history="1">
              <w:r>
                <w:rPr>
                  <w:rStyle w:val="a3"/>
                  <w:rFonts w:eastAsia="Times New Roman"/>
                  <w:color w:val="000000"/>
                  <w:sz w:val="20"/>
                  <w:szCs w:val="20"/>
                  <w:u w:val="none"/>
                </w:rPr>
                <w:t>ITEM 1.     Financial Statements (</w:t>
              </w:r>
            </w:hyperlink>
            <w:r>
              <w:rPr>
                <w:rFonts w:eastAsia="Times New Roman"/>
                <w:color w:val="000000"/>
                <w:sz w:val="20"/>
                <w:szCs w:val="20"/>
              </w:rPr>
              <w:t>Unaudited):</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9777F">
            <w:pPr>
              <w:spacing w:after="100"/>
              <w:ind w:hanging="270"/>
              <w:divId w:val="222646733"/>
              <w:rPr>
                <w:rFonts w:eastAsia="Times New Roman"/>
              </w:rPr>
            </w:pPr>
            <w:r>
              <w:rPr>
                <w:rFonts w:eastAsia="Times New Roman"/>
                <w:color w:val="000000"/>
                <w:sz w:val="20"/>
                <w:szCs w:val="20"/>
              </w:rPr>
              <w:t>Condensed Consolidated Statement of Operations</w:t>
            </w:r>
            <w:hyperlink w:anchor="i3982cd9a347d48b0b4ee1ab8e83b9265_19" w:history="1">
              <w:r>
                <w:rPr>
                  <w:rStyle w:val="a3"/>
                  <w:rFonts w:eastAsia="Times New Roman"/>
                  <w:color w:val="000000"/>
                  <w:sz w:val="20"/>
                  <w:szCs w:val="20"/>
                  <w:u w:val="none"/>
                </w:rPr>
                <w:t xml:space="preserve"> </w:t>
              </w:r>
            </w:hyperlink>
            <w:r>
              <w:rPr>
                <w:rFonts w:eastAsia="Times New Roman"/>
                <w:color w:val="000000"/>
                <w:sz w:val="20"/>
                <w:szCs w:val="20"/>
              </w:rPr>
              <w:t>for the Quarter and Three Quarters Ended September 30, 2022 and October 1, 2021</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9" w:history="1">
              <w:r>
                <w:rPr>
                  <w:rStyle w:val="a3"/>
                  <w:rFonts w:eastAsia="Times New Roman"/>
                  <w:color w:val="000000"/>
                  <w:sz w:val="20"/>
                  <w:szCs w:val="20"/>
                  <w:u w:val="none"/>
                </w:rPr>
                <w:t>1</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ind w:hanging="270"/>
              <w:divId w:val="1344238092"/>
              <w:rPr>
                <w:rFonts w:eastAsia="Times New Roman"/>
              </w:rPr>
            </w:pPr>
            <w:hyperlink w:anchor="i3982cd9a347d48b0b4ee1ab8e83b9265_22" w:history="1">
              <w:r>
                <w:rPr>
                  <w:rStyle w:val="a3"/>
                  <w:rFonts w:eastAsia="Times New Roman"/>
                  <w:color w:val="000000"/>
                  <w:sz w:val="20"/>
                  <w:szCs w:val="20"/>
                  <w:u w:val="none"/>
                </w:rPr>
                <w:t>Condensed Consolidated Statement of Comprehe</w:t>
              </w:r>
            </w:hyperlink>
            <w:hyperlink w:anchor="i3982cd9a347d48b0b4ee1ab8e83b9265_22" w:history="1">
              <w:r>
                <w:rPr>
                  <w:rStyle w:val="a3"/>
                  <w:rFonts w:eastAsia="Times New Roman"/>
                  <w:color w:val="000000"/>
                  <w:sz w:val="20"/>
                  <w:szCs w:val="20"/>
                  <w:u w:val="none"/>
                </w:rPr>
                <w:t>nsive</w:t>
              </w:r>
            </w:hyperlink>
            <w:hyperlink w:anchor="i3982cd9a347d48b0b4ee1ab8e83b9265_22" w:history="1">
              <w:r>
                <w:rPr>
                  <w:rStyle w:val="a3"/>
                  <w:rFonts w:eastAsia="Times New Roman"/>
                  <w:color w:val="000000"/>
                  <w:sz w:val="20"/>
                  <w:szCs w:val="20"/>
                  <w:u w:val="none"/>
                </w:rPr>
                <w:t xml:space="preserve"> (Loss)</w:t>
              </w:r>
            </w:hyperlink>
            <w:hyperlink w:anchor="i3982cd9a347d48b0b4ee1ab8e83b9265_22" w:history="1">
              <w:r>
                <w:rPr>
                  <w:rStyle w:val="a3"/>
                  <w:rFonts w:eastAsia="Times New Roman"/>
                  <w:color w:val="000000"/>
                  <w:sz w:val="20"/>
                  <w:szCs w:val="20"/>
                  <w:u w:val="none"/>
                </w:rPr>
                <w:t xml:space="preserve"> Income </w:t>
              </w:r>
            </w:hyperlink>
            <w:r>
              <w:rPr>
                <w:rFonts w:eastAsia="Times New Roman"/>
                <w:color w:val="000000"/>
                <w:sz w:val="20"/>
                <w:szCs w:val="20"/>
              </w:rPr>
              <w:t>for</w:t>
            </w:r>
            <w:r>
              <w:rPr>
                <w:rFonts w:eastAsia="Times New Roman"/>
                <w:color w:val="000000"/>
                <w:sz w:val="20"/>
                <w:szCs w:val="20"/>
              </w:rPr>
              <w:t xml:space="preserve"> the Quarter and Three Quarters Ended September 30, 2022 and October 1, 2021</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22" w:history="1">
              <w:r>
                <w:rPr>
                  <w:rStyle w:val="a3"/>
                  <w:rFonts w:eastAsia="Times New Roman"/>
                  <w:color w:val="000000"/>
                  <w:sz w:val="20"/>
                  <w:szCs w:val="20"/>
                  <w:u w:val="none"/>
                </w:rPr>
                <w:t>2</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572235282"/>
              <w:rPr>
                <w:rFonts w:eastAsia="Times New Roman"/>
              </w:rPr>
            </w:pPr>
            <w:hyperlink w:anchor="i3982cd9a347d48b0b4ee1ab8e83b9265_25" w:history="1">
              <w:r>
                <w:rPr>
                  <w:rStyle w:val="a3"/>
                  <w:rFonts w:eastAsia="Times New Roman"/>
                  <w:color w:val="000000"/>
                  <w:sz w:val="20"/>
                  <w:szCs w:val="20"/>
                  <w:u w:val="none"/>
                </w:rPr>
                <w:t>Condensed Consolidated Balance Sheet </w:t>
              </w:r>
            </w:hyperlink>
            <w:r>
              <w:rPr>
                <w:rFonts w:eastAsia="Times New Roman"/>
                <w:color w:val="000000"/>
                <w:sz w:val="20"/>
                <w:szCs w:val="20"/>
              </w:rPr>
              <w:t>at September 30, 2022 and December 31, 2021</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25" w:history="1">
              <w:r>
                <w:rPr>
                  <w:rStyle w:val="a3"/>
                  <w:rFonts w:eastAsia="Times New Roman"/>
                  <w:color w:val="000000"/>
                  <w:sz w:val="20"/>
                  <w:szCs w:val="20"/>
                  <w:u w:val="none"/>
                </w:rPr>
                <w:t>3</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ind w:hanging="270"/>
              <w:divId w:val="712000887"/>
              <w:rPr>
                <w:rFonts w:eastAsia="Times New Roman"/>
              </w:rPr>
            </w:pPr>
            <w:hyperlink w:anchor="i3982cd9a347d48b0b4ee1ab8e83b9265_28" w:history="1">
              <w:r>
                <w:rPr>
                  <w:rStyle w:val="a3"/>
                  <w:rFonts w:eastAsia="Times New Roman"/>
                  <w:color w:val="000000"/>
                  <w:sz w:val="20"/>
                  <w:szCs w:val="20"/>
                  <w:u w:val="none"/>
                </w:rPr>
                <w:t xml:space="preserve">Condensed Consolidated Statement of Cash Flows </w:t>
              </w:r>
            </w:hyperlink>
            <w:r>
              <w:rPr>
                <w:rFonts w:eastAsia="Times New Roman"/>
                <w:color w:val="000000"/>
                <w:sz w:val="20"/>
                <w:szCs w:val="20"/>
              </w:rPr>
              <w:t>for the Three Quarters Ended September 30, 2022 and October 1, 2021</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28" w:history="1">
              <w:r>
                <w:rPr>
                  <w:rStyle w:val="a3"/>
                  <w:rFonts w:eastAsia="Times New Roman"/>
                  <w:color w:val="000000"/>
                  <w:sz w:val="20"/>
                  <w:szCs w:val="20"/>
                  <w:u w:val="none"/>
                </w:rPr>
                <w:t>4</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ind w:hanging="270"/>
              <w:divId w:val="133106481"/>
              <w:rPr>
                <w:rFonts w:eastAsia="Times New Roman"/>
              </w:rPr>
            </w:pPr>
            <w:hyperlink w:anchor="i3982cd9a347d48b0b4ee1ab8e83b9265_31" w:history="1">
              <w:r>
                <w:rPr>
                  <w:rStyle w:val="a3"/>
                  <w:rFonts w:eastAsia="Times New Roman"/>
                  <w:color w:val="000000"/>
                  <w:sz w:val="20"/>
                  <w:szCs w:val="20"/>
                  <w:u w:val="none"/>
                </w:rPr>
                <w:t>Condensed Consolidated Statement of Equity f</w:t>
              </w:r>
            </w:hyperlink>
            <w:r>
              <w:rPr>
                <w:rFonts w:eastAsia="Times New Roman"/>
                <w:color w:val="000000"/>
                <w:sz w:val="20"/>
                <w:szCs w:val="20"/>
              </w:rPr>
              <w:t>or the Quarter and Three Quarters Ended September 30, 2022 and October 1, 2021</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31" w:history="1">
              <w:r>
                <w:rPr>
                  <w:rStyle w:val="a3"/>
                  <w:rFonts w:eastAsia="Times New Roman"/>
                  <w:color w:val="000000"/>
                  <w:sz w:val="20"/>
                  <w:szCs w:val="20"/>
                  <w:u w:val="none"/>
                </w:rPr>
                <w:t>5</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719402541"/>
              <w:rPr>
                <w:rFonts w:eastAsia="Times New Roman"/>
              </w:rPr>
            </w:pPr>
            <w:hyperlink w:anchor="i3982cd9a347d48b0b4ee1ab8e83b9265_34" w:history="1">
              <w:r>
                <w:rPr>
                  <w:rStyle w:val="a3"/>
                  <w:rFonts w:eastAsia="Times New Roman"/>
                  <w:color w:val="000000"/>
                  <w:sz w:val="20"/>
                  <w:szCs w:val="20"/>
                  <w:u w:val="none"/>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34" w:history="1">
              <w:r>
                <w:rPr>
                  <w:rStyle w:val="a3"/>
                  <w:rFonts w:eastAsia="Times New Roman"/>
                  <w:color w:val="000000"/>
                  <w:sz w:val="20"/>
                  <w:szCs w:val="20"/>
                  <w:u w:val="none"/>
                </w:rPr>
                <w:t>6</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ind w:hanging="270"/>
              <w:divId w:val="1120996125"/>
              <w:rPr>
                <w:rFonts w:eastAsia="Times New Roman"/>
              </w:rPr>
            </w:pPr>
            <w:hyperlink w:anchor="i3982cd9a347d48b0b4ee1ab8e83b9265_103" w:history="1">
              <w:r>
                <w:rPr>
                  <w:rStyle w:val="a3"/>
                  <w:rFonts w:eastAsia="Times New Roman"/>
                  <w:color w:val="000000"/>
                  <w:sz w:val="20"/>
                  <w:szCs w:val="20"/>
                  <w:u w:val="none"/>
                </w:rPr>
                <w:t>Report of Indep</w:t>
              </w:r>
              <w:r>
                <w:rPr>
                  <w:rStyle w:val="a3"/>
                  <w:rFonts w:eastAsia="Times New Roman"/>
                  <w:color w:val="000000"/>
                  <w:sz w:val="20"/>
                  <w:szCs w:val="20"/>
                  <w:u w:val="none"/>
                </w:rPr>
                <w:t xml:space="preserve">endent Registered Public Accounting Firm </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03" w:history="1">
              <w:r>
                <w:rPr>
                  <w:rStyle w:val="a3"/>
                  <w:rFonts w:eastAsia="Times New Roman"/>
                  <w:color w:val="000000"/>
                  <w:sz w:val="20"/>
                  <w:szCs w:val="20"/>
                  <w:u w:val="none"/>
                </w:rPr>
                <w:t>18</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820002633"/>
              <w:rPr>
                <w:rFonts w:eastAsia="Times New Roman"/>
              </w:rPr>
            </w:pPr>
            <w:hyperlink w:anchor="i3982cd9a347d48b0b4ee1ab8e83b9265_106" w:history="1">
              <w:r>
                <w:rPr>
                  <w:rStyle w:val="a3"/>
                  <w:rFonts w:eastAsia="Times New Roman"/>
                  <w:color w:val="000000"/>
                  <w:sz w:val="20"/>
                  <w:szCs w:val="20"/>
                  <w:u w:val="none"/>
                </w:rPr>
                <w:t>ITEM 2.</w:t>
              </w:r>
            </w:hyperlink>
            <w:r>
              <w:rPr>
                <w:rFonts w:eastAsia="Times New Roman"/>
                <w:color w:val="000000"/>
                <w:sz w:val="20"/>
                <w:szCs w:val="20"/>
              </w:rPr>
              <w:t>     M</w:t>
            </w:r>
            <w:hyperlink w:anchor="i3982cd9a347d48b0b4ee1ab8e83b9265_106" w:history="1">
              <w:r>
                <w:rPr>
                  <w:rStyle w:val="a3"/>
                  <w:rFonts w:eastAsia="Times New Roman"/>
                  <w:color w:val="000000"/>
                  <w:sz w:val="20"/>
                  <w:szCs w:val="20"/>
                  <w:u w:val="none"/>
                </w:rPr>
                <w:t>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06" w:history="1">
              <w:r>
                <w:rPr>
                  <w:rStyle w:val="a3"/>
                  <w:rFonts w:eastAsia="Times New Roman"/>
                  <w:color w:val="000000"/>
                  <w:sz w:val="20"/>
                  <w:szCs w:val="20"/>
                  <w:u w:val="none"/>
                </w:rPr>
                <w:t>19</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306274945"/>
              <w:rPr>
                <w:rFonts w:eastAsia="Times New Roman"/>
              </w:rPr>
            </w:pPr>
            <w:hyperlink w:anchor="i3982cd9a347d48b0b4ee1ab8e83b9265_124" w:history="1">
              <w:r>
                <w:rPr>
                  <w:rStyle w:val="a3"/>
                  <w:rFonts w:eastAsia="Times New Roman"/>
                  <w:color w:val="000000"/>
                  <w:sz w:val="20"/>
                  <w:szCs w:val="20"/>
                  <w:u w:val="none"/>
                </w:rPr>
                <w:t>ITEM 3.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24" w:history="1">
              <w:r>
                <w:rPr>
                  <w:rStyle w:val="a3"/>
                  <w:rFonts w:eastAsia="Times New Roman"/>
                  <w:color w:val="000000"/>
                  <w:sz w:val="20"/>
                  <w:szCs w:val="20"/>
                  <w:u w:val="none"/>
                </w:rPr>
                <w:t>33</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964916921"/>
              <w:rPr>
                <w:rFonts w:eastAsia="Times New Roman"/>
              </w:rPr>
            </w:pPr>
            <w:hyperlink w:anchor="i3982cd9a347d48b0b4ee1ab8e83b9265_127" w:history="1">
              <w:r>
                <w:rPr>
                  <w:rStyle w:val="a3"/>
                  <w:rFonts w:eastAsia="Times New Roman"/>
                  <w:color w:val="000000"/>
                  <w:sz w:val="20"/>
                  <w:szCs w:val="20"/>
                  <w:u w:val="none"/>
                </w:rPr>
                <w:t>ITEM 4.     Controls and Procedures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27" w:history="1">
              <w:r>
                <w:rPr>
                  <w:rStyle w:val="a3"/>
                  <w:rFonts w:eastAsia="Times New Roman"/>
                  <w:color w:val="000000"/>
                  <w:sz w:val="20"/>
                  <w:szCs w:val="20"/>
                  <w:u w:val="none"/>
                </w:rPr>
                <w:t>33</w:t>
              </w:r>
            </w:hyperlink>
          </w:p>
        </w:tc>
      </w:tr>
      <w:tr w:rsidR="00000000">
        <w:trPr>
          <w:divId w:val="410853500"/>
          <w:trHeight w:val="3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410853500"/>
          <w:jc w:val="center"/>
        </w:trPr>
        <w:tc>
          <w:tcPr>
            <w:tcW w:w="0" w:type="auto"/>
            <w:gridSpan w:val="6"/>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C9777F">
            <w:pPr>
              <w:spacing w:after="100"/>
              <w:divId w:val="641276991"/>
              <w:rPr>
                <w:rFonts w:eastAsia="Times New Roman"/>
              </w:rPr>
            </w:pPr>
            <w:hyperlink w:anchor="i3982cd9a347d48b0b4ee1ab8e83b9265_133" w:history="1">
              <w:r>
                <w:rPr>
                  <w:rStyle w:val="a3"/>
                  <w:rFonts w:eastAsia="Times New Roman"/>
                  <w:color w:val="000000"/>
                  <w:sz w:val="20"/>
                  <w:szCs w:val="20"/>
                  <w:u w:val="none"/>
                </w:rPr>
                <w:t>ITEM 1.      Legal Proceedings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33" w:history="1">
              <w:r>
                <w:rPr>
                  <w:rStyle w:val="a3"/>
                  <w:rFonts w:eastAsia="Times New Roman"/>
                  <w:color w:val="000000"/>
                  <w:sz w:val="20"/>
                  <w:szCs w:val="20"/>
                  <w:u w:val="none"/>
                </w:rPr>
                <w:t>34</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577326729"/>
              <w:rPr>
                <w:rFonts w:eastAsia="Times New Roman"/>
              </w:rPr>
            </w:pPr>
            <w:hyperlink w:anchor="i3982cd9a347d48b0b4ee1ab8e83b9265_136" w:history="1">
              <w:r>
                <w:rPr>
                  <w:rStyle w:val="a3"/>
                  <w:rFonts w:eastAsia="Times New Roman"/>
                  <w:color w:val="000000"/>
                  <w:sz w:val="20"/>
                  <w:szCs w:val="20"/>
                  <w:u w:val="none"/>
                </w:rPr>
                <w:t>ITEM 1A.   Risk Factors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36" w:history="1">
              <w:r>
                <w:rPr>
                  <w:rStyle w:val="a3"/>
                  <w:rFonts w:eastAsia="Times New Roman"/>
                  <w:color w:val="000000"/>
                  <w:sz w:val="20"/>
                  <w:szCs w:val="20"/>
                  <w:u w:val="none"/>
                </w:rPr>
                <w:t>34</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ind w:hanging="1080"/>
              <w:divId w:val="203254079"/>
              <w:rPr>
                <w:rFonts w:eastAsia="Times New Roman"/>
              </w:rPr>
            </w:pPr>
            <w:hyperlink w:anchor="i3982cd9a347d48b0b4ee1ab8e83b9265_139" w:history="1">
              <w:r>
                <w:rPr>
                  <w:rStyle w:val="a3"/>
                  <w:rFonts w:eastAsia="Times New Roman"/>
                  <w:color w:val="000000"/>
                  <w:sz w:val="20"/>
                  <w:szCs w:val="20"/>
                  <w:u w:val="none"/>
                </w:rPr>
                <w:t>ITEM 2.      Unregistered Sales of Equity Securities</w:t>
              </w:r>
            </w:hyperlink>
            <w:r>
              <w:rPr>
                <w:rFonts w:eastAsia="Times New Roman"/>
                <w:color w:val="000000"/>
                <w:sz w:val="20"/>
                <w:szCs w:val="20"/>
              </w:rPr>
              <w:t xml:space="preserve"> and Use of Proceeds</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39" w:history="1">
              <w:r>
                <w:rPr>
                  <w:rStyle w:val="a3"/>
                  <w:rFonts w:eastAsia="Times New Roman"/>
                  <w:color w:val="000000"/>
                  <w:sz w:val="20"/>
                  <w:szCs w:val="20"/>
                  <w:u w:val="none"/>
                </w:rPr>
                <w:t>35</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314944137"/>
              <w:rPr>
                <w:rFonts w:eastAsia="Times New Roman"/>
              </w:rPr>
            </w:pPr>
            <w:hyperlink w:anchor="i3982cd9a347d48b0b4ee1ab8e83b9265_142" w:history="1">
              <w:r>
                <w:rPr>
                  <w:rStyle w:val="a3"/>
                  <w:rFonts w:eastAsia="Times New Roman"/>
                  <w:color w:val="000000"/>
                  <w:sz w:val="20"/>
                  <w:szCs w:val="20"/>
                  <w:u w:val="none"/>
                </w:rPr>
                <w:t>ITEM 3.      Defaults Upon Senior Securities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42" w:history="1">
              <w:r>
                <w:rPr>
                  <w:rStyle w:val="a3"/>
                  <w:rFonts w:eastAsia="Times New Roman"/>
                  <w:color w:val="000000"/>
                  <w:sz w:val="20"/>
                  <w:szCs w:val="20"/>
                  <w:u w:val="none"/>
                </w:rPr>
                <w:t>35</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699770302"/>
              <w:rPr>
                <w:rFonts w:eastAsia="Times New Roman"/>
              </w:rPr>
            </w:pPr>
            <w:hyperlink w:anchor="i3982cd9a347d48b0b4ee1ab8e83b9265_145" w:history="1">
              <w:r>
                <w:rPr>
                  <w:rStyle w:val="a3"/>
                  <w:rFonts w:eastAsia="Times New Roman"/>
                  <w:color w:val="000000"/>
                  <w:sz w:val="20"/>
                  <w:szCs w:val="20"/>
                  <w:u w:val="none"/>
                </w:rPr>
                <w:t>ITEM 4.      Mine Safety Disclosures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45" w:history="1">
              <w:r>
                <w:rPr>
                  <w:rStyle w:val="a3"/>
                  <w:rFonts w:eastAsia="Times New Roman"/>
                  <w:color w:val="000000"/>
                  <w:sz w:val="20"/>
                  <w:szCs w:val="20"/>
                  <w:u w:val="none"/>
                </w:rPr>
                <w:t>35</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893812221"/>
              <w:rPr>
                <w:rFonts w:eastAsia="Times New Roman"/>
              </w:rPr>
            </w:pPr>
            <w:hyperlink w:anchor="i3982cd9a347d48b0b4ee1ab8e83b9265_148" w:history="1">
              <w:r>
                <w:rPr>
                  <w:rStyle w:val="a3"/>
                  <w:rFonts w:eastAsia="Times New Roman"/>
                  <w:color w:val="000000"/>
                  <w:sz w:val="20"/>
                  <w:szCs w:val="20"/>
                  <w:u w:val="none"/>
                </w:rPr>
                <w:t>ITEM 5.     Other Information</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48" w:history="1">
              <w:r>
                <w:rPr>
                  <w:rStyle w:val="a3"/>
                  <w:rFonts w:eastAsia="Times New Roman"/>
                  <w:color w:val="000000"/>
                  <w:sz w:val="20"/>
                  <w:szCs w:val="20"/>
                  <w:u w:val="none"/>
                </w:rPr>
                <w:t>35</w:t>
              </w:r>
            </w:hyperlink>
          </w:p>
        </w:tc>
      </w:tr>
      <w:tr w:rsidR="00000000">
        <w:trPr>
          <w:divId w:val="4108535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C9777F">
            <w:pPr>
              <w:spacing w:after="100"/>
              <w:divId w:val="1262226031"/>
              <w:rPr>
                <w:rFonts w:eastAsia="Times New Roman"/>
              </w:rPr>
            </w:pPr>
            <w:r>
              <w:rPr>
                <w:rFonts w:eastAsia="Times New Roman"/>
                <w:color w:val="000000"/>
                <w:sz w:val="20"/>
                <w:szCs w:val="20"/>
              </w:rPr>
              <w:t>ITEM 6.      </w:t>
            </w:r>
            <w:hyperlink w:anchor="i3982cd9a347d48b0b4ee1ab8e83b9265_151"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48" w:history="1">
              <w:r>
                <w:rPr>
                  <w:rStyle w:val="a3"/>
                  <w:rFonts w:eastAsia="Times New Roman"/>
                  <w:color w:val="000000"/>
                  <w:sz w:val="20"/>
                  <w:szCs w:val="20"/>
                  <w:u w:val="none"/>
                </w:rPr>
                <w:t>35</w:t>
              </w:r>
            </w:hyperlink>
          </w:p>
        </w:tc>
      </w:tr>
      <w:tr w:rsidR="00000000">
        <w:trPr>
          <w:divId w:val="410853500"/>
          <w:trHeight w:val="300"/>
          <w:jc w:val="center"/>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410853500"/>
          <w:jc w:val="center"/>
        </w:trPr>
        <w:tc>
          <w:tcPr>
            <w:tcW w:w="0" w:type="auto"/>
            <w:gridSpan w:val="6"/>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Signatures</w:t>
            </w:r>
          </w:p>
        </w:tc>
        <w:tc>
          <w:tcPr>
            <w:tcW w:w="0" w:type="auto"/>
            <w:gridSpan w:val="3"/>
            <w:tcMar>
              <w:top w:w="30" w:type="dxa"/>
              <w:left w:w="20" w:type="dxa"/>
              <w:bottom w:w="30" w:type="dxa"/>
              <w:right w:w="20" w:type="dxa"/>
            </w:tcMar>
            <w:vAlign w:val="bottom"/>
            <w:hideMark/>
          </w:tcPr>
          <w:p w:rsidR="00000000" w:rsidRDefault="00C9777F">
            <w:pPr>
              <w:spacing w:after="100"/>
              <w:jc w:val="right"/>
              <w:rPr>
                <w:rFonts w:eastAsia="Times New Roman"/>
              </w:rPr>
            </w:pPr>
            <w:hyperlink w:anchor="i3982cd9a347d48b0b4ee1ab8e83b9265_154" w:history="1">
              <w:r>
                <w:rPr>
                  <w:rStyle w:val="a3"/>
                  <w:rFonts w:eastAsia="Times New Roman"/>
                  <w:color w:val="000000"/>
                  <w:sz w:val="20"/>
                  <w:szCs w:val="20"/>
                  <w:u w:val="none"/>
                </w:rPr>
                <w:t>37</w:t>
              </w:r>
            </w:hyperlink>
          </w:p>
        </w:tc>
      </w:tr>
    </w:tbl>
    <w:p w:rsidR="00000000" w:rsidRDefault="00C9777F">
      <w:pPr>
        <w:ind w:firstLine="360"/>
        <w:divId w:val="1083339643"/>
        <w:rPr>
          <w:rFonts w:eastAsia="Times New Roman"/>
        </w:rPr>
      </w:pPr>
      <w:r>
        <w:rPr>
          <w:rFonts w:eastAsia="Times New Roman"/>
          <w:color w:val="000000"/>
          <w:sz w:val="20"/>
          <w:szCs w:val="20"/>
        </w:rPr>
        <w:t xml:space="preserve">This Report contains trademarks, service marks and registered marks of L3Harris Technologies, Inc. and its subsidiaries. All other trademarks are the property of their respective owners. </w:t>
      </w:r>
    </w:p>
    <w:p w:rsidR="00000000" w:rsidRDefault="00C9777F">
      <w:pPr>
        <w:ind w:firstLine="360"/>
        <w:jc w:val="center"/>
        <w:divId w:val="1323697081"/>
        <w:rPr>
          <w:rFonts w:eastAsia="Times New Roman"/>
        </w:rPr>
      </w:pPr>
    </w:p>
    <w:p w:rsidR="00000000" w:rsidRDefault="00C9777F">
      <w:pPr>
        <w:rPr>
          <w:rFonts w:eastAsia="Times New Roman"/>
        </w:rPr>
      </w:pPr>
      <w:r>
        <w:rPr>
          <w:rFonts w:eastAsia="Times New Roman"/>
        </w:rPr>
        <w:pict>
          <v:rect id="_x0000_i1027" style="width:0;height:1.5pt" o:hralign="center" o:hrstd="t" o:hr="t" fillcolor="#a0a0a0" stroked="f"/>
        </w:pict>
      </w:r>
    </w:p>
    <w:p w:rsidR="00000000" w:rsidRDefault="00C9777F">
      <w:pPr>
        <w:ind w:firstLine="360"/>
        <w:divId w:val="699742508"/>
        <w:rPr>
          <w:rFonts w:eastAsia="Times New Roman"/>
        </w:rPr>
      </w:pPr>
    </w:p>
    <w:p w:rsidR="00000000" w:rsidRDefault="00C9777F">
      <w:pPr>
        <w:ind w:firstLine="360"/>
        <w:divId w:val="666322480"/>
        <w:rPr>
          <w:rFonts w:eastAsia="Times New Roman"/>
        </w:rPr>
      </w:pPr>
    </w:p>
    <w:p w:rsidR="00000000" w:rsidRDefault="00C9777F">
      <w:pPr>
        <w:ind w:firstLine="360"/>
        <w:jc w:val="center"/>
        <w:divId w:val="701981798"/>
        <w:rPr>
          <w:rFonts w:eastAsia="Times New Roman"/>
        </w:rPr>
      </w:pPr>
      <w:r>
        <w:rPr>
          <w:rFonts w:eastAsia="Times New Roman"/>
          <w:b/>
          <w:bCs/>
          <w:color w:val="000000"/>
          <w:sz w:val="20"/>
          <w:szCs w:val="20"/>
        </w:rPr>
        <w:t>PART I. FINANCIAL INFORMATION</w:t>
      </w:r>
    </w:p>
    <w:tbl>
      <w:tblPr>
        <w:tblW w:w="3484" w:type="pct"/>
        <w:tblCellMar>
          <w:top w:w="15" w:type="dxa"/>
          <w:left w:w="15" w:type="dxa"/>
          <w:bottom w:w="15" w:type="dxa"/>
          <w:right w:w="15" w:type="dxa"/>
        </w:tblCellMar>
        <w:tblLook w:val="04A0" w:firstRow="1" w:lastRow="0" w:firstColumn="1" w:lastColumn="0" w:noHBand="0" w:noVBand="1"/>
      </w:tblPr>
      <w:tblGrid>
        <w:gridCol w:w="50"/>
        <w:gridCol w:w="880"/>
        <w:gridCol w:w="36"/>
        <w:gridCol w:w="43"/>
        <w:gridCol w:w="4743"/>
        <w:gridCol w:w="36"/>
      </w:tblGrid>
      <w:tr w:rsidR="00000000">
        <w:trPr>
          <w:divId w:val="94175522"/>
        </w:trPr>
        <w:tc>
          <w:tcPr>
            <w:tcW w:w="50" w:type="pct"/>
            <w:vAlign w:val="center"/>
            <w:hideMark/>
          </w:tcPr>
          <w:p w:rsidR="00000000" w:rsidRDefault="00C9777F">
            <w:pPr>
              <w:ind w:firstLine="360"/>
              <w:jc w:val="center"/>
              <w:rPr>
                <w:rFonts w:eastAsia="Times New Roman"/>
              </w:rPr>
            </w:pPr>
          </w:p>
        </w:tc>
        <w:tc>
          <w:tcPr>
            <w:tcW w:w="78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10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94175522"/>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 ITEM 1.</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FINANCIAL STATEMENTS (Unaudited).</w:t>
            </w:r>
          </w:p>
        </w:tc>
      </w:tr>
    </w:tbl>
    <w:p w:rsidR="00000000" w:rsidRDefault="00C9777F">
      <w:pPr>
        <w:jc w:val="center"/>
        <w:divId w:val="1936741731"/>
        <w:rPr>
          <w:rFonts w:eastAsia="Times New Roman"/>
        </w:rPr>
      </w:pPr>
      <w:r>
        <w:rPr>
          <w:rFonts w:eastAsia="Times New Roman"/>
          <w:b/>
          <w:bCs/>
          <w:color w:val="000000"/>
          <w:sz w:val="20"/>
          <w:szCs w:val="20"/>
        </w:rPr>
        <w:t>L3HARRIS TECHNOLOGIES, INC. AND SUBSIDIARIES</w:t>
      </w:r>
    </w:p>
    <w:p w:rsidR="00000000" w:rsidRDefault="00C9777F">
      <w:pPr>
        <w:ind w:firstLine="360"/>
        <w:jc w:val="center"/>
        <w:rPr>
          <w:rFonts w:eastAsia="Times New Roman"/>
        </w:rPr>
      </w:pPr>
      <w:r>
        <w:rPr>
          <w:rFonts w:eastAsia="Times New Roman"/>
          <w:b/>
          <w:bCs/>
          <w:color w:val="000000"/>
          <w:sz w:val="20"/>
          <w:szCs w:val="20"/>
        </w:rPr>
        <w:t>CONDENSED CONSOLIDATED STATEMENT OF OPERATIONS</w:t>
      </w:r>
    </w:p>
    <w:p w:rsidR="00000000" w:rsidRDefault="00C9777F">
      <w:pPr>
        <w:ind w:firstLine="360"/>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60"/>
        <w:gridCol w:w="39"/>
        <w:gridCol w:w="121"/>
        <w:gridCol w:w="813"/>
        <w:gridCol w:w="36"/>
        <w:gridCol w:w="36"/>
        <w:gridCol w:w="36"/>
        <w:gridCol w:w="36"/>
        <w:gridCol w:w="120"/>
        <w:gridCol w:w="768"/>
        <w:gridCol w:w="36"/>
        <w:gridCol w:w="36"/>
        <w:gridCol w:w="36"/>
        <w:gridCol w:w="36"/>
        <w:gridCol w:w="121"/>
        <w:gridCol w:w="768"/>
        <w:gridCol w:w="36"/>
        <w:gridCol w:w="36"/>
        <w:gridCol w:w="36"/>
        <w:gridCol w:w="36"/>
        <w:gridCol w:w="120"/>
        <w:gridCol w:w="768"/>
        <w:gridCol w:w="36"/>
      </w:tblGrid>
      <w:tr w:rsidR="00000000">
        <w:trPr>
          <w:jc w:val="center"/>
        </w:trPr>
        <w:tc>
          <w:tcPr>
            <w:tcW w:w="50" w:type="pct"/>
            <w:vAlign w:val="center"/>
            <w:hideMark/>
          </w:tcPr>
          <w:p w:rsidR="00000000" w:rsidRDefault="00C9777F">
            <w:pPr>
              <w:ind w:firstLine="360"/>
              <w:jc w:val="center"/>
              <w:rPr>
                <w:rFonts w:eastAsia="Times New Roman"/>
              </w:rPr>
            </w:pPr>
          </w:p>
        </w:tc>
        <w:tc>
          <w:tcPr>
            <w:tcW w:w="253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2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2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2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4,246 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4,229 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12,484 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13,464 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Cost of product sales and services</w:t>
            </w:r>
          </w:p>
        </w:tc>
        <w:tc>
          <w:tcPr>
            <w:tcW w:w="0" w:type="auto"/>
            <w:gridSpan w:val="2"/>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(3,052)</w:t>
            </w:r>
          </w:p>
        </w:tc>
        <w:tc>
          <w:tcPr>
            <w:tcW w:w="0" w:type="auto"/>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(2,921)</w:t>
            </w:r>
          </w:p>
        </w:tc>
        <w:tc>
          <w:tcPr>
            <w:tcW w:w="0" w:type="auto"/>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(8,819)</w:t>
            </w:r>
          </w:p>
        </w:tc>
        <w:tc>
          <w:tcPr>
            <w:tcW w:w="0" w:type="auto"/>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(9,385)</w:t>
            </w:r>
          </w:p>
        </w:tc>
        <w:tc>
          <w:tcPr>
            <w:tcW w:w="0" w:type="auto"/>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(742)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(793)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(2,231)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(2,485)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(205)</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(Loss) 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(321)</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586 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740 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1,695 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(Loss) 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(301)</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1,359 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(loss)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(301)</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1,358 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(loss)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646 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1,362 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r>
      <w:tr w:rsidR="00000000">
        <w:trPr>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24"/>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Amount attributable to L3Harris Technologies, Inc. common shareholders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(Loss) income from continuing operations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1,363 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24"/>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Net (loss) income per common share attributable to L3Harris Technologies, Inc. common shareholders</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191.3 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199.5 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192.2 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203.3 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Diluted weighted average common shares outstanding</w:t>
            </w:r>
          </w:p>
        </w:tc>
        <w:tc>
          <w:tcPr>
            <w:tcW w:w="0" w:type="auto"/>
            <w:gridSpan w:val="2"/>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191.3 </w:t>
            </w:r>
          </w:p>
        </w:tc>
        <w:tc>
          <w:tcPr>
            <w:tcW w:w="0" w:type="auto"/>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201.6 </w:t>
            </w:r>
          </w:p>
        </w:tc>
        <w:tc>
          <w:tcPr>
            <w:tcW w:w="0" w:type="auto"/>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194.0 </w:t>
            </w:r>
          </w:p>
        </w:tc>
        <w:tc>
          <w:tcPr>
            <w:tcW w:w="0" w:type="auto"/>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205.2 </w:t>
            </w:r>
          </w:p>
        </w:tc>
        <w:tc>
          <w:tcPr>
            <w:tcW w:w="0" w:type="auto"/>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r>
    </w:tbl>
    <w:p w:rsidR="00000000" w:rsidRDefault="00C9777F">
      <w:pPr>
        <w:ind w:firstLine="360"/>
        <w:jc w:val="center"/>
        <w:divId w:val="1107047402"/>
        <w:rPr>
          <w:rFonts w:eastAsia="Times New Roman"/>
        </w:rPr>
      </w:pPr>
      <w:r>
        <w:rPr>
          <w:rFonts w:eastAsia="Times New Roman"/>
          <w:color w:val="000000"/>
          <w:sz w:val="20"/>
          <w:szCs w:val="20"/>
        </w:rPr>
        <w:t>See accompanying Notes to Condensed Consolidated Financial Statements (Unaudited).</w:t>
      </w:r>
    </w:p>
    <w:p w:rsidR="00000000" w:rsidRDefault="00C9777F">
      <w:pPr>
        <w:ind w:firstLine="360"/>
        <w:jc w:val="center"/>
        <w:divId w:val="1107038061"/>
        <w:rPr>
          <w:rFonts w:eastAsia="Times New Roman"/>
        </w:rPr>
      </w:pPr>
      <w:r>
        <w:rPr>
          <w:rFonts w:eastAsia="Times New Roman"/>
          <w:color w:val="000000"/>
          <w:sz w:val="20"/>
          <w:szCs w:val="20"/>
        </w:rPr>
        <w:t>1</w:t>
      </w:r>
    </w:p>
    <w:p w:rsidR="00000000" w:rsidRDefault="00C9777F">
      <w:pPr>
        <w:rPr>
          <w:rFonts w:eastAsia="Times New Roman"/>
        </w:rPr>
      </w:pPr>
      <w:r>
        <w:rPr>
          <w:rFonts w:eastAsia="Times New Roman"/>
        </w:rPr>
        <w:pict>
          <v:rect id="_x0000_i1028" style="width:0;height:1.5pt" o:hralign="center" o:hrstd="t" o:hr="t" fillcolor="#a0a0a0" stroked="f"/>
        </w:pict>
      </w:r>
    </w:p>
    <w:p w:rsidR="00000000" w:rsidRDefault="00C9777F">
      <w:pPr>
        <w:ind w:firstLine="360"/>
        <w:divId w:val="1733120529"/>
        <w:rPr>
          <w:rFonts w:eastAsia="Times New Roman"/>
        </w:rPr>
      </w:pPr>
    </w:p>
    <w:p w:rsidR="00000000" w:rsidRDefault="00C9777F">
      <w:pPr>
        <w:jc w:val="center"/>
        <w:divId w:val="259945723"/>
        <w:rPr>
          <w:rFonts w:eastAsia="Times New Roman"/>
        </w:rPr>
      </w:pPr>
      <w:r>
        <w:rPr>
          <w:rFonts w:eastAsia="Times New Roman"/>
          <w:b/>
          <w:bCs/>
          <w:color w:val="000000"/>
          <w:sz w:val="20"/>
          <w:szCs w:val="20"/>
        </w:rPr>
        <w:t>L3HARRIS TECHNOLOGIES, INC. AND SUBSIDIARIES</w:t>
      </w:r>
    </w:p>
    <w:p w:rsidR="00000000" w:rsidRDefault="00C9777F">
      <w:pPr>
        <w:ind w:firstLine="360"/>
        <w:jc w:val="center"/>
        <w:rPr>
          <w:rFonts w:eastAsia="Times New Roman"/>
        </w:rPr>
      </w:pPr>
      <w:r>
        <w:rPr>
          <w:rFonts w:eastAsia="Times New Roman"/>
          <w:b/>
          <w:bCs/>
          <w:color w:val="000000"/>
          <w:sz w:val="20"/>
          <w:szCs w:val="20"/>
        </w:rPr>
        <w:t>CONDENSED CONSOLIDATED STATEMENT OF COMPREHENSIVE (LO</w:t>
      </w:r>
      <w:r>
        <w:rPr>
          <w:rFonts w:eastAsia="Times New Roman"/>
          <w:b/>
          <w:bCs/>
          <w:color w:val="000000"/>
          <w:sz w:val="20"/>
          <w:szCs w:val="20"/>
        </w:rPr>
        <w:t>SS) INCOME</w:t>
      </w:r>
    </w:p>
    <w:p w:rsidR="00000000" w:rsidRDefault="00C9777F">
      <w:pPr>
        <w:ind w:firstLine="360"/>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4841" w:type="pct"/>
        <w:jc w:val="center"/>
        <w:tblCellMar>
          <w:top w:w="15" w:type="dxa"/>
          <w:left w:w="15" w:type="dxa"/>
          <w:bottom w:w="15" w:type="dxa"/>
          <w:right w:w="15" w:type="dxa"/>
        </w:tblCellMar>
        <w:tblLook w:val="04A0" w:firstRow="1" w:lastRow="0" w:firstColumn="1" w:lastColumn="0" w:noHBand="0" w:noVBand="1"/>
      </w:tblPr>
      <w:tblGrid>
        <w:gridCol w:w="41"/>
        <w:gridCol w:w="3884"/>
        <w:gridCol w:w="40"/>
        <w:gridCol w:w="121"/>
        <w:gridCol w:w="797"/>
        <w:gridCol w:w="36"/>
        <w:gridCol w:w="36"/>
        <w:gridCol w:w="36"/>
        <w:gridCol w:w="36"/>
        <w:gridCol w:w="120"/>
        <w:gridCol w:w="797"/>
        <w:gridCol w:w="36"/>
        <w:gridCol w:w="36"/>
        <w:gridCol w:w="36"/>
        <w:gridCol w:w="36"/>
        <w:gridCol w:w="121"/>
        <w:gridCol w:w="797"/>
        <w:gridCol w:w="36"/>
        <w:gridCol w:w="36"/>
        <w:gridCol w:w="36"/>
        <w:gridCol w:w="36"/>
        <w:gridCol w:w="120"/>
        <w:gridCol w:w="736"/>
        <w:gridCol w:w="36"/>
      </w:tblGrid>
      <w:tr w:rsidR="00000000">
        <w:trPr>
          <w:jc w:val="center"/>
        </w:trPr>
        <w:tc>
          <w:tcPr>
            <w:tcW w:w="50" w:type="pct"/>
            <w:vAlign w:val="center"/>
            <w:hideMark/>
          </w:tcPr>
          <w:p w:rsidR="00000000" w:rsidRDefault="00C9777F">
            <w:pPr>
              <w:ind w:firstLine="360"/>
              <w:jc w:val="center"/>
              <w:rPr>
                <w:rFonts w:eastAsia="Times New Roman"/>
              </w:rPr>
            </w:pPr>
          </w:p>
        </w:tc>
        <w:tc>
          <w:tcPr>
            <w:tcW w:w="247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3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3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3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2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3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(loss) income</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1,358 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41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t>Foreign currency translation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41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t>Net unrealized loss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41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t>Net unrecognized gain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576 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574 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41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t>Other comprehensive (loss) income,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41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t>Reclassification adjustments for gains included in net (loss) income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9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lastRenderedPageBreak/>
              <w:t>Comprehensive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90" w:type="dxa"/>
              <w:bottom w:w="30" w:type="dxa"/>
              <w:right w:w="20" w:type="dxa"/>
            </w:tcMar>
            <w:vAlign w:val="bottom"/>
            <w:hideMark/>
          </w:tcPr>
          <w:p w:rsidR="00000000" w:rsidRDefault="00C9777F">
            <w:pPr>
              <w:spacing w:after="100"/>
              <w:ind w:hanging="270"/>
              <w:rPr>
                <w:rFonts w:eastAsia="Times New Roman"/>
              </w:rPr>
            </w:pPr>
            <w:r>
              <w:rPr>
                <w:rFonts w:eastAsia="Times New Roman"/>
                <w:color w:val="000000"/>
                <w:sz w:val="20"/>
                <w:szCs w:val="20"/>
              </w:rPr>
              <w:t>Total comprehensive (loss)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firstLine="360"/>
        <w:jc w:val="center"/>
        <w:divId w:val="1108770092"/>
        <w:rPr>
          <w:rFonts w:eastAsia="Times New Roman"/>
        </w:rPr>
      </w:pPr>
      <w:r>
        <w:rPr>
          <w:rFonts w:eastAsia="Times New Roman"/>
          <w:color w:val="000000"/>
          <w:sz w:val="20"/>
          <w:szCs w:val="20"/>
        </w:rPr>
        <w:t>See accompanying Notes to Condensed Consolidated Financial Statements (Unaudited).</w:t>
      </w:r>
    </w:p>
    <w:p w:rsidR="00000000" w:rsidRDefault="00C9777F">
      <w:pPr>
        <w:ind w:firstLine="360"/>
        <w:jc w:val="center"/>
        <w:divId w:val="789934083"/>
        <w:rPr>
          <w:rFonts w:eastAsia="Times New Roman"/>
        </w:rPr>
      </w:pPr>
      <w:r>
        <w:rPr>
          <w:rFonts w:eastAsia="Times New Roman"/>
          <w:color w:val="000000"/>
          <w:sz w:val="20"/>
          <w:szCs w:val="20"/>
        </w:rPr>
        <w:t>2</w:t>
      </w:r>
    </w:p>
    <w:p w:rsidR="00000000" w:rsidRDefault="00C9777F">
      <w:pPr>
        <w:rPr>
          <w:rFonts w:eastAsia="Times New Roman"/>
        </w:rPr>
      </w:pPr>
      <w:r>
        <w:rPr>
          <w:rFonts w:eastAsia="Times New Roman"/>
        </w:rPr>
        <w:pict>
          <v:rect id="_x0000_i1029" style="width:0;height:1.5pt" o:hralign="center" o:hrstd="t" o:hr="t" fillcolor="#a0a0a0" stroked="f"/>
        </w:pict>
      </w:r>
    </w:p>
    <w:p w:rsidR="00000000" w:rsidRDefault="00C9777F">
      <w:pPr>
        <w:ind w:firstLine="360"/>
        <w:divId w:val="743649566"/>
        <w:rPr>
          <w:rFonts w:eastAsia="Times New Roman"/>
        </w:rPr>
      </w:pPr>
    </w:p>
    <w:p w:rsidR="00000000" w:rsidRDefault="00C9777F">
      <w:pPr>
        <w:jc w:val="center"/>
        <w:divId w:val="1694502938"/>
        <w:rPr>
          <w:rFonts w:eastAsia="Times New Roman"/>
        </w:rPr>
      </w:pPr>
      <w:r>
        <w:rPr>
          <w:rFonts w:eastAsia="Times New Roman"/>
          <w:b/>
          <w:bCs/>
          <w:color w:val="000000"/>
          <w:sz w:val="20"/>
          <w:szCs w:val="20"/>
        </w:rPr>
        <w:t>L3HARRIS TECHNOLOGIES, INC. AND SUBSIDIARIES</w:t>
      </w:r>
    </w:p>
    <w:p w:rsidR="00000000" w:rsidRDefault="00C9777F">
      <w:pPr>
        <w:ind w:firstLine="360"/>
        <w:jc w:val="center"/>
        <w:rPr>
          <w:rFonts w:eastAsia="Times New Roman"/>
        </w:rPr>
      </w:pPr>
      <w:r>
        <w:rPr>
          <w:rFonts w:eastAsia="Times New Roman"/>
          <w:b/>
          <w:bCs/>
          <w:color w:val="000000"/>
          <w:sz w:val="20"/>
          <w:szCs w:val="20"/>
        </w:rPr>
        <w:t xml:space="preserve">CONDENSED CONSOLIDATED BALANCE SHEET </w:t>
      </w:r>
    </w:p>
    <w:p w:rsidR="00000000" w:rsidRDefault="00C9777F">
      <w:pPr>
        <w:ind w:firstLine="360"/>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27"/>
        <w:gridCol w:w="36"/>
        <w:gridCol w:w="121"/>
        <w:gridCol w:w="1059"/>
        <w:gridCol w:w="36"/>
        <w:gridCol w:w="36"/>
        <w:gridCol w:w="36"/>
        <w:gridCol w:w="36"/>
        <w:gridCol w:w="120"/>
        <w:gridCol w:w="1023"/>
        <w:gridCol w:w="36"/>
      </w:tblGrid>
      <w:tr w:rsidR="00000000">
        <w:trPr>
          <w:jc w:val="center"/>
        </w:trPr>
        <w:tc>
          <w:tcPr>
            <w:tcW w:w="50" w:type="pct"/>
            <w:vAlign w:val="center"/>
            <w:hideMark/>
          </w:tcPr>
          <w:p w:rsidR="00000000" w:rsidRDefault="00C9777F">
            <w:pPr>
              <w:ind w:firstLine="360"/>
              <w:jc w:val="center"/>
              <w:rPr>
                <w:rFonts w:eastAsia="Times New Roman"/>
              </w:rPr>
            </w:pPr>
          </w:p>
        </w:tc>
        <w:tc>
          <w:tcPr>
            <w:tcW w:w="347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2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 except sha</w:t>
            </w:r>
            <w:r>
              <w:rPr>
                <w:rFonts w:eastAsia="Times New Roman"/>
                <w:b/>
                <w:bCs/>
                <w:color w:val="000000"/>
                <w:sz w:val="16"/>
                <w:szCs w:val="16"/>
              </w:rPr>
              <w:t>res)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1,138 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3,135 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1,339 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982 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Inventory prepayments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2,101 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762 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769 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17,260 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18,189 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6,148 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6,640 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604 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26,950 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Short-term debt</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2,078 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1,767 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1,158 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lastRenderedPageBreak/>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Defined benefit plans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745 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Long-term debt, net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5,967 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7,048 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876 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1,155 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Shareholders’ Equity:</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divId w:val="1304627254"/>
              <w:rPr>
                <w:rFonts w:eastAsia="Times New Roman"/>
              </w:rPr>
            </w:pPr>
            <w:r>
              <w:rPr>
                <w:rFonts w:eastAsia="Times New Roman"/>
                <w:color w:val="000000"/>
                <w:sz w:val="20"/>
                <w:szCs w:val="20"/>
              </w:rPr>
              <w:t>Preferred stock, without par value; 1,000,000 shares authorized; none issued</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C9777F">
            <w:pPr>
              <w:spacing w:after="100"/>
              <w:ind w:hanging="270"/>
              <w:divId w:val="216205976"/>
              <w:rPr>
                <w:rFonts w:eastAsia="Times New Roman"/>
              </w:rPr>
            </w:pPr>
            <w:r>
              <w:rPr>
                <w:rFonts w:eastAsia="Times New Roman"/>
                <w:color w:val="000000"/>
                <w:sz w:val="20"/>
                <w:szCs w:val="20"/>
              </w:rPr>
              <w:t>Common stock, $1.00 par value; 500,000,000 shares authorized; issued and outstanding 191,089,930 and 193,511,401 shares at September </w:t>
            </w:r>
            <w:r>
              <w:rPr>
                <w:rFonts w:eastAsia="Times New Roman"/>
                <w:color w:val="000000"/>
                <w:sz w:val="20"/>
                <w:szCs w:val="20"/>
              </w:rPr>
              <w:t>30,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capital</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15,744 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16,248 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2,768 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2,917 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(366)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18,337 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19,319 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firstLine="360"/>
        <w:jc w:val="center"/>
        <w:rPr>
          <w:rFonts w:eastAsia="Times New Roman"/>
        </w:rPr>
      </w:pPr>
      <w:r>
        <w:rPr>
          <w:rFonts w:eastAsia="Times New Roman"/>
          <w:color w:val="000000"/>
          <w:sz w:val="18"/>
          <w:szCs w:val="18"/>
        </w:rPr>
        <w:t>See accompanying Notes to Condensed Consolidated Financial Statements (Unaudited).</w:t>
      </w:r>
    </w:p>
    <w:p w:rsidR="00000000" w:rsidRDefault="00C9777F">
      <w:pPr>
        <w:ind w:firstLine="360"/>
        <w:jc w:val="center"/>
        <w:divId w:val="1150363152"/>
        <w:rPr>
          <w:rFonts w:eastAsia="Times New Roman"/>
        </w:rPr>
      </w:pPr>
      <w:r>
        <w:rPr>
          <w:rFonts w:eastAsia="Times New Roman"/>
          <w:color w:val="000000"/>
          <w:sz w:val="20"/>
          <w:szCs w:val="20"/>
        </w:rPr>
        <w:t>3</w:t>
      </w:r>
    </w:p>
    <w:p w:rsidR="00000000" w:rsidRDefault="00C9777F">
      <w:pPr>
        <w:rPr>
          <w:rFonts w:eastAsia="Times New Roman"/>
        </w:rPr>
      </w:pPr>
      <w:r>
        <w:rPr>
          <w:rFonts w:eastAsia="Times New Roman"/>
        </w:rPr>
        <w:pict>
          <v:rect id="_x0000_i1030" style="width:0;height:1.5pt" o:hralign="center" o:hrstd="t" o:hr="t" fillcolor="#a0a0a0" stroked="f"/>
        </w:pict>
      </w:r>
    </w:p>
    <w:p w:rsidR="00000000" w:rsidRDefault="00C9777F">
      <w:pPr>
        <w:ind w:firstLine="360"/>
        <w:divId w:val="482894844"/>
        <w:rPr>
          <w:rFonts w:eastAsia="Times New Roman"/>
        </w:rPr>
      </w:pPr>
    </w:p>
    <w:p w:rsidR="00000000" w:rsidRDefault="00C9777F">
      <w:pPr>
        <w:jc w:val="center"/>
        <w:divId w:val="1311398106"/>
        <w:rPr>
          <w:rFonts w:eastAsia="Times New Roman"/>
        </w:rPr>
      </w:pPr>
      <w:r>
        <w:rPr>
          <w:rFonts w:eastAsia="Times New Roman"/>
          <w:b/>
          <w:bCs/>
          <w:color w:val="000000"/>
          <w:sz w:val="20"/>
          <w:szCs w:val="20"/>
        </w:rPr>
        <w:t>L3HARRIS TECHNOLOGIES, INC. AND SUBSIDIARIES</w:t>
      </w:r>
    </w:p>
    <w:p w:rsidR="00000000" w:rsidRDefault="00C9777F">
      <w:pPr>
        <w:jc w:val="center"/>
        <w:rPr>
          <w:rFonts w:eastAsia="Times New Roman"/>
        </w:rPr>
      </w:pPr>
      <w:r>
        <w:rPr>
          <w:rFonts w:eastAsia="Times New Roman"/>
          <w:b/>
          <w:bCs/>
          <w:color w:val="000000"/>
          <w:sz w:val="20"/>
          <w:szCs w:val="20"/>
        </w:rPr>
        <w:t xml:space="preserve">CONDENSED CONSOLIDATED STATEMENT OF CASH FLOWS </w:t>
      </w:r>
    </w:p>
    <w:p w:rsidR="00000000" w:rsidRDefault="00C9777F">
      <w:pPr>
        <w:ind w:firstLine="360"/>
        <w:jc w:val="center"/>
        <w:divId w:val="1157066801"/>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673"/>
        <w:gridCol w:w="40"/>
        <w:gridCol w:w="121"/>
        <w:gridCol w:w="1040"/>
        <w:gridCol w:w="36"/>
        <w:gridCol w:w="36"/>
        <w:gridCol w:w="36"/>
        <w:gridCol w:w="36"/>
        <w:gridCol w:w="120"/>
        <w:gridCol w:w="1041"/>
        <w:gridCol w:w="36"/>
        <w:gridCol w:w="36"/>
      </w:tblGrid>
      <w:tr w:rsidR="00000000">
        <w:trPr>
          <w:divId w:val="1157066801"/>
          <w:jc w:val="center"/>
        </w:trPr>
        <w:tc>
          <w:tcPr>
            <w:tcW w:w="50" w:type="pct"/>
            <w:vAlign w:val="center"/>
            <w:hideMark/>
          </w:tcPr>
          <w:p w:rsidR="00000000" w:rsidRDefault="00C9777F">
            <w:pPr>
              <w:ind w:firstLine="360"/>
              <w:jc w:val="center"/>
              <w:rPr>
                <w:rFonts w:eastAsia="Times New Roman"/>
              </w:rPr>
            </w:pPr>
          </w:p>
        </w:tc>
        <w:tc>
          <w:tcPr>
            <w:tcW w:w="347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r>
      <w:tr w:rsidR="00000000">
        <w:trPr>
          <w:divId w:val="1157066801"/>
          <w:jc w:val="center"/>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vAlign w:val="center"/>
            <w:hideMark/>
          </w:tcPr>
          <w:p w:rsidR="00000000" w:rsidRDefault="00C9777F">
            <w:pPr>
              <w:spacing w:after="100"/>
              <w:jc w:val="center"/>
              <w:rPr>
                <w:rFonts w:eastAsia="Times New Roman"/>
              </w:rPr>
            </w:pPr>
          </w:p>
        </w:tc>
      </w:tr>
      <w:tr w:rsidR="00000000">
        <w:trPr>
          <w:divId w:val="1157066801"/>
          <w:trHeight w:val="60"/>
          <w:jc w:val="center"/>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CCEE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1,358 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Goodwill and asset impairment charges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CCEE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Loss on sale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Gain on sale of asset group</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(615)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6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CCEE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38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Additions to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Proceeds from sale of property, plant and equipment,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Proceeds from sales of businesses, net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1,598 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Proceeds from sale of asset group</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Cash used for equity investments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Net cash (used in)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(2,875)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(650)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(618)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57066801"/>
          <w:jc w:val="center"/>
        </w:trPr>
        <w:tc>
          <w:tcPr>
            <w:tcW w:w="0" w:type="auto"/>
            <w:gridSpan w:val="3"/>
            <w:shd w:val="clear" w:color="auto" w:fill="FFFF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Tax withholding payments associated with vested share-based awards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14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Other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b/>
                <w:bCs/>
                <w:color w:val="000000"/>
                <w:sz w:val="20"/>
                <w:szCs w:val="20"/>
              </w:rPr>
              <w:t>Net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(412)</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CCEE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b/>
                <w:bCs/>
                <w:color w:val="000000"/>
                <w:sz w:val="20"/>
                <w:szCs w:val="20"/>
              </w:rPr>
              <w:t>Cash and cash equivalents, beginning of period</w:t>
            </w: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941 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r w:rsidR="00000000">
        <w:trPr>
          <w:divId w:val="1157066801"/>
          <w:jc w:val="center"/>
        </w:trPr>
        <w:tc>
          <w:tcPr>
            <w:tcW w:w="0" w:type="auto"/>
            <w:gridSpan w:val="3"/>
            <w:shd w:val="clear" w:color="auto" w:fill="FFFFFF"/>
            <w:tcMar>
              <w:top w:w="30" w:type="dxa"/>
              <w:left w:w="20" w:type="dxa"/>
              <w:bottom w:w="30" w:type="dxa"/>
              <w:right w:w="20" w:type="dxa"/>
            </w:tcMar>
            <w:vAlign w:val="center"/>
            <w:hideMark/>
          </w:tcPr>
          <w:p w:rsidR="00000000" w:rsidRDefault="00C9777F">
            <w:pPr>
              <w:spacing w:after="100"/>
              <w:rPr>
                <w:rFonts w:eastAsia="Times New Roman"/>
              </w:rPr>
            </w:pPr>
            <w:r>
              <w:rPr>
                <w:rFonts w:eastAsia="Times New Roman"/>
                <w:b/>
                <w:bCs/>
                <w:color w:val="000000"/>
                <w:sz w:val="20"/>
                <w:szCs w:val="20"/>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529 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rsidR="00000000" w:rsidRDefault="00C9777F">
            <w:pPr>
              <w:spacing w:after="100"/>
              <w:jc w:val="right"/>
              <w:rPr>
                <w:rFonts w:eastAsia="Times New Roman"/>
              </w:rPr>
            </w:pPr>
            <w:r>
              <w:rPr>
                <w:rFonts w:eastAsia="Times New Roman"/>
                <w:color w:val="000000"/>
                <w:sz w:val="20"/>
                <w:szCs w:val="20"/>
              </w:rPr>
              <w:t>1,126 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r>
    </w:tbl>
    <w:p w:rsidR="00000000" w:rsidRDefault="00C9777F">
      <w:pPr>
        <w:ind w:firstLine="360"/>
        <w:jc w:val="center"/>
        <w:divId w:val="877355043"/>
        <w:rPr>
          <w:rFonts w:eastAsia="Times New Roman"/>
        </w:rPr>
      </w:pPr>
      <w:r>
        <w:rPr>
          <w:rFonts w:eastAsia="Times New Roman"/>
          <w:color w:val="000000"/>
          <w:sz w:val="18"/>
          <w:szCs w:val="18"/>
        </w:rPr>
        <w:t>See accompanying Notes to Condensed Consolidated Financial Statements (Unaudited).</w:t>
      </w:r>
    </w:p>
    <w:p w:rsidR="00000000" w:rsidRDefault="00C9777F">
      <w:pPr>
        <w:ind w:firstLine="360"/>
        <w:jc w:val="center"/>
        <w:divId w:val="1407726486"/>
        <w:rPr>
          <w:rFonts w:eastAsia="Times New Roman"/>
        </w:rPr>
      </w:pPr>
      <w:r>
        <w:rPr>
          <w:rFonts w:eastAsia="Times New Roman"/>
          <w:color w:val="000000"/>
          <w:sz w:val="20"/>
          <w:szCs w:val="20"/>
        </w:rPr>
        <w:t>4</w:t>
      </w:r>
    </w:p>
    <w:p w:rsidR="00000000" w:rsidRDefault="00C9777F">
      <w:pPr>
        <w:rPr>
          <w:rFonts w:eastAsia="Times New Roman"/>
        </w:rPr>
      </w:pPr>
      <w:r>
        <w:rPr>
          <w:rFonts w:eastAsia="Times New Roman"/>
        </w:rPr>
        <w:pict>
          <v:rect id="_x0000_i1031" style="width:0;height:1.5pt" o:hralign="center" o:hrstd="t" o:hr="t" fillcolor="#a0a0a0" stroked="f"/>
        </w:pict>
      </w:r>
    </w:p>
    <w:p w:rsidR="00000000" w:rsidRDefault="00C9777F">
      <w:pPr>
        <w:ind w:firstLine="360"/>
        <w:divId w:val="1072123984"/>
        <w:rPr>
          <w:rFonts w:eastAsia="Times New Roman"/>
        </w:rPr>
      </w:pPr>
    </w:p>
    <w:p w:rsidR="00000000" w:rsidRDefault="00C9777F">
      <w:pPr>
        <w:jc w:val="center"/>
        <w:divId w:val="930235256"/>
        <w:rPr>
          <w:rFonts w:eastAsia="Times New Roman"/>
        </w:rPr>
      </w:pPr>
      <w:r>
        <w:rPr>
          <w:rFonts w:eastAsia="Times New Roman"/>
          <w:b/>
          <w:bCs/>
          <w:color w:val="000000"/>
          <w:sz w:val="20"/>
          <w:szCs w:val="20"/>
        </w:rPr>
        <w:t>L3HARRIS TECHNOLOGIES, INC. AND SUBSIDIARIES</w:t>
      </w:r>
    </w:p>
    <w:p w:rsidR="00000000" w:rsidRDefault="00C9777F">
      <w:pPr>
        <w:jc w:val="center"/>
        <w:rPr>
          <w:rFonts w:eastAsia="Times New Roman"/>
        </w:rPr>
      </w:pPr>
      <w:r>
        <w:rPr>
          <w:rFonts w:eastAsia="Times New Roman"/>
          <w:b/>
          <w:bCs/>
          <w:color w:val="000000"/>
          <w:sz w:val="20"/>
          <w:szCs w:val="20"/>
        </w:rPr>
        <w:t>CONDENSED CONSOLIDATED STATEMENT OF EQUITY</w:t>
      </w:r>
    </w:p>
    <w:p w:rsidR="00000000" w:rsidRDefault="00C9777F">
      <w:pPr>
        <w:ind w:firstLine="360"/>
        <w:jc w:val="center"/>
        <w:divId w:val="2137722063"/>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683"/>
        <w:gridCol w:w="37"/>
        <w:gridCol w:w="121"/>
        <w:gridCol w:w="591"/>
        <w:gridCol w:w="36"/>
        <w:gridCol w:w="36"/>
        <w:gridCol w:w="36"/>
        <w:gridCol w:w="36"/>
        <w:gridCol w:w="120"/>
        <w:gridCol w:w="600"/>
        <w:gridCol w:w="36"/>
        <w:gridCol w:w="36"/>
        <w:gridCol w:w="36"/>
        <w:gridCol w:w="36"/>
        <w:gridCol w:w="121"/>
        <w:gridCol w:w="583"/>
        <w:gridCol w:w="36"/>
        <w:gridCol w:w="36"/>
        <w:gridCol w:w="36"/>
        <w:gridCol w:w="36"/>
        <w:gridCol w:w="121"/>
        <w:gridCol w:w="1000"/>
        <w:gridCol w:w="36"/>
        <w:gridCol w:w="36"/>
        <w:gridCol w:w="36"/>
        <w:gridCol w:w="36"/>
        <w:gridCol w:w="121"/>
        <w:gridCol w:w="693"/>
        <w:gridCol w:w="36"/>
        <w:gridCol w:w="36"/>
        <w:gridCol w:w="36"/>
        <w:gridCol w:w="36"/>
        <w:gridCol w:w="120"/>
        <w:gridCol w:w="600"/>
        <w:gridCol w:w="36"/>
      </w:tblGrid>
      <w:tr w:rsidR="00000000">
        <w:trPr>
          <w:divId w:val="1614244724"/>
        </w:trPr>
        <w:tc>
          <w:tcPr>
            <w:tcW w:w="50" w:type="pct"/>
            <w:vAlign w:val="center"/>
            <w:hideMark/>
          </w:tcPr>
          <w:p w:rsidR="00000000" w:rsidRDefault="00C9777F">
            <w:pPr>
              <w:ind w:firstLine="360"/>
              <w:jc w:val="center"/>
              <w:rPr>
                <w:rFonts w:eastAsia="Times New Roman"/>
              </w:rPr>
            </w:pPr>
          </w:p>
        </w:tc>
        <w:tc>
          <w:tcPr>
            <w:tcW w:w="192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0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0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0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0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2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0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1614244724"/>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July 1, 2022</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15,814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(232)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Net loss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hanging="120"/>
              <w:divId w:val="2126270282"/>
              <w:rPr>
                <w:rFonts w:eastAsia="Times New Roman"/>
              </w:rPr>
            </w:pPr>
            <w:r>
              <w:rPr>
                <w:rFonts w:eastAsia="Times New Roman"/>
                <w:color w:val="000000"/>
                <w:sz w:val="20"/>
                <w:szCs w:val="20"/>
              </w:rPr>
              <w:t>Cash dividends ($1.12 per share)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September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15,744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2,768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18,439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Height w:val="100"/>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July 2, 2021</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17,863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2,633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(835)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19,976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 comprehensive gain,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(1,150)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(1,325)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hanging="120"/>
              <w:divId w:val="1959142521"/>
              <w:rPr>
                <w:rFonts w:eastAsia="Times New Roman"/>
              </w:rPr>
            </w:pPr>
            <w:r>
              <w:rPr>
                <w:rFonts w:eastAsia="Times New Roman"/>
                <w:color w:val="000000"/>
                <w:sz w:val="20"/>
                <w:szCs w:val="20"/>
              </w:rPr>
              <w:t>Cash dividends ($1.02 per share)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w:t>
            </w: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October 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16,847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2,743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19,594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Height w:val="100"/>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16,248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2,917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 xml:space="preserve">Net income </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 comprehensive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(752)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hanging="120"/>
              <w:divId w:val="1433235940"/>
              <w:rPr>
                <w:rFonts w:eastAsia="Times New Roman"/>
              </w:rPr>
            </w:pPr>
            <w:r>
              <w:rPr>
                <w:rFonts w:eastAsia="Times New Roman"/>
                <w:color w:val="000000"/>
                <w:sz w:val="20"/>
                <w:szCs w:val="20"/>
              </w:rPr>
              <w:t>Cash dividends ($3.36 per share)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w:t>
            </w:r>
            <w:r>
              <w:rPr>
                <w:rFonts w:eastAsia="Times New Roman"/>
                <w:color w:val="000000"/>
                <w:sz w:val="20"/>
                <w:szCs w:val="20"/>
              </w:rPr>
              <w:t>650)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(650)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September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15,744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2,768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18,439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Height w:val="100"/>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19,008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20,841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1,362 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1,358 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 comprehensive gain, net of 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Tax withholding payments on share-based awards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(2,514)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(2,875)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hanging="120"/>
              <w:divId w:val="1751808870"/>
              <w:rPr>
                <w:rFonts w:eastAsia="Times New Roman"/>
              </w:rPr>
            </w:pPr>
            <w:r>
              <w:rPr>
                <w:rFonts w:eastAsia="Times New Roman"/>
                <w:color w:val="000000"/>
                <w:sz w:val="20"/>
                <w:szCs w:val="20"/>
              </w:rPr>
              <w:t>Cash dividends ($3.06 per share)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w:t>
            </w:r>
            <w:r>
              <w:rPr>
                <w:rFonts w:eastAsia="Times New Roman"/>
                <w:color w:val="000000"/>
                <w:sz w:val="20"/>
                <w:szCs w:val="20"/>
              </w:rPr>
              <w:t>618)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(618)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614244724"/>
        </w:trPr>
        <w:tc>
          <w:tcPr>
            <w:tcW w:w="0" w:type="auto"/>
            <w:gridSpan w:val="3"/>
            <w:shd w:val="clear" w:color="auto" w:fill="FFFFFF"/>
            <w:tcMar>
              <w:top w:w="30" w:type="dxa"/>
              <w:left w:w="283" w:type="dxa"/>
              <w:bottom w:w="30" w:type="dxa"/>
              <w:right w:w="20" w:type="dxa"/>
            </w:tcMar>
            <w:vAlign w:val="bottom"/>
            <w:hideMark/>
          </w:tcPr>
          <w:p w:rsidR="00000000" w:rsidRDefault="00C9777F">
            <w:pPr>
              <w:spacing w:after="100"/>
              <w:ind w:hanging="12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14244724"/>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October 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16,847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2,743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19,594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jc w:val="center"/>
        <w:divId w:val="1647860320"/>
        <w:rPr>
          <w:rFonts w:eastAsia="Times New Roman"/>
        </w:rPr>
      </w:pPr>
      <w:r>
        <w:rPr>
          <w:rFonts w:eastAsia="Times New Roman"/>
          <w:color w:val="000000"/>
          <w:sz w:val="18"/>
          <w:szCs w:val="18"/>
        </w:rPr>
        <w:t>See accompanying Notes to Condensed Consolidated Financial Statements (Unaudited).</w:t>
      </w:r>
    </w:p>
    <w:p w:rsidR="00000000" w:rsidRDefault="00C9777F">
      <w:pPr>
        <w:ind w:firstLine="360"/>
        <w:jc w:val="center"/>
        <w:divId w:val="1192836510"/>
        <w:rPr>
          <w:rFonts w:eastAsia="Times New Roman"/>
        </w:rPr>
      </w:pPr>
      <w:r>
        <w:rPr>
          <w:rFonts w:eastAsia="Times New Roman"/>
          <w:color w:val="000000"/>
          <w:sz w:val="20"/>
          <w:szCs w:val="20"/>
        </w:rPr>
        <w:t>5</w:t>
      </w:r>
    </w:p>
    <w:p w:rsidR="00000000" w:rsidRDefault="00C9777F">
      <w:pPr>
        <w:rPr>
          <w:rFonts w:eastAsia="Times New Roman"/>
        </w:rPr>
      </w:pPr>
      <w:r>
        <w:rPr>
          <w:rFonts w:eastAsia="Times New Roman"/>
        </w:rPr>
        <w:pict>
          <v:rect id="_x0000_i1032" style="width:0;height:1.5pt" o:hralign="center" o:hrstd="t" o:hr="t" fillcolor="#a0a0a0" stroked="f"/>
        </w:pict>
      </w:r>
    </w:p>
    <w:p w:rsidR="00000000" w:rsidRDefault="00C9777F">
      <w:pPr>
        <w:ind w:firstLine="360"/>
        <w:divId w:val="602885249"/>
        <w:rPr>
          <w:rFonts w:eastAsia="Times New Roman"/>
        </w:rPr>
      </w:pPr>
    </w:p>
    <w:p w:rsidR="00000000" w:rsidRDefault="00C9777F">
      <w:pPr>
        <w:jc w:val="center"/>
        <w:divId w:val="588386735"/>
        <w:rPr>
          <w:rFonts w:eastAsia="Times New Roman"/>
        </w:rPr>
      </w:pPr>
      <w:r>
        <w:rPr>
          <w:rFonts w:eastAsia="Times New Roman"/>
          <w:b/>
          <w:bCs/>
          <w:color w:val="000000"/>
          <w:sz w:val="20"/>
          <w:szCs w:val="20"/>
        </w:rPr>
        <w:t>NOTES TO CONDENSED CONSOLIDATED FINANCIAL STATEMENTS</w:t>
      </w:r>
    </w:p>
    <w:p w:rsidR="00000000" w:rsidRDefault="00C9777F">
      <w:pPr>
        <w:divId w:val="1917012380"/>
        <w:rPr>
          <w:rFonts w:eastAsia="Times New Roman"/>
        </w:rPr>
      </w:pPr>
      <w:r>
        <w:rPr>
          <w:rFonts w:eastAsia="Times New Roman"/>
          <w:b/>
          <w:bCs/>
          <w:color w:val="000000"/>
          <w:sz w:val="20"/>
          <w:szCs w:val="20"/>
        </w:rPr>
        <w:t>NOTE A — SIGNIFICANT ACCOUNTING POLICIES AND RE</w:t>
      </w:r>
      <w:r>
        <w:rPr>
          <w:rFonts w:eastAsia="Times New Roman"/>
          <w:b/>
          <w:bCs/>
          <w:color w:val="000000"/>
          <w:sz w:val="20"/>
          <w:szCs w:val="20"/>
        </w:rPr>
        <w:t>CENT ACCOUNTING STANDARDS</w:t>
      </w:r>
      <w:r>
        <w:rPr>
          <w:rFonts w:eastAsia="Times New Roman"/>
          <w:b/>
          <w:bCs/>
          <w:i/>
          <w:iCs/>
          <w:color w:val="000000"/>
          <w:sz w:val="20"/>
          <w:szCs w:val="20"/>
        </w:rPr>
        <w:t xml:space="preserve"> </w:t>
      </w:r>
    </w:p>
    <w:p w:rsidR="00000000" w:rsidRDefault="00C9777F">
      <w:pPr>
        <w:divId w:val="1971742149"/>
        <w:rPr>
          <w:rFonts w:eastAsia="Times New Roman"/>
        </w:rPr>
      </w:pPr>
      <w:r>
        <w:rPr>
          <w:rFonts w:eastAsia="Times New Roman"/>
          <w:b/>
          <w:bCs/>
          <w:color w:val="000000"/>
          <w:sz w:val="20"/>
          <w:szCs w:val="20"/>
        </w:rPr>
        <w:t>Basis of Presentation</w:t>
      </w:r>
    </w:p>
    <w:p w:rsidR="00000000" w:rsidRDefault="00C9777F">
      <w:pPr>
        <w:ind w:firstLine="360"/>
        <w:divId w:val="1790857545"/>
        <w:rPr>
          <w:rFonts w:eastAsia="Times New Roman"/>
        </w:rPr>
      </w:pPr>
      <w:r>
        <w:rPr>
          <w:rFonts w:eastAsia="Times New Roman"/>
          <w:color w:val="000000"/>
          <w:sz w:val="20"/>
          <w:szCs w:val="20"/>
        </w:rPr>
        <w:t>The accompanying Condensed Consolidated Financial Statements (Unaudited) include the accounts of L3Harris Technologies, Inc. and its consolidated subsidiaries. As used in these Notes to Condensed Consolidate</w:t>
      </w:r>
      <w:r>
        <w:rPr>
          <w:rFonts w:eastAsia="Times New Roman"/>
          <w:color w:val="000000"/>
          <w:sz w:val="20"/>
          <w:szCs w:val="20"/>
        </w:rPr>
        <w:t xml:space="preserve">d Financial Statements (Unaudited) (these “Notes”), the terms “L3Harris,” “Company,” “we,” “our” and “us” refer to L3Harris Technologies, Inc. and its consolidated subsidiaries. Intracompany transactions and accounts have been eliminated in consolidation. </w:t>
      </w:r>
      <w:r>
        <w:rPr>
          <w:rFonts w:eastAsia="Times New Roman"/>
          <w:color w:val="000000"/>
          <w:sz w:val="20"/>
          <w:szCs w:val="20"/>
        </w:rPr>
        <w:t>The accompanying Condensed Consolidated Financial Statements (Unaudited) have been prepared by L3Harris in accordance with U.S. generally accepted accounting principles (“GAAP”) for interim financial information and with the rules and regulations of the Se</w:t>
      </w:r>
      <w:r>
        <w:rPr>
          <w:rFonts w:eastAsia="Times New Roman"/>
          <w:color w:val="000000"/>
          <w:sz w:val="20"/>
          <w:szCs w:val="20"/>
        </w:rPr>
        <w:t>curities and Exchange Commission (“SEC”). Accordingly, such interim financial statements do not include all information and footnotes necessary for a complete presentation of financial condition, results of operations, cash flows and equity in conformity w</w:t>
      </w:r>
      <w:r>
        <w:rPr>
          <w:rFonts w:eastAsia="Times New Roman"/>
          <w:color w:val="000000"/>
          <w:sz w:val="20"/>
          <w:szCs w:val="20"/>
        </w:rPr>
        <w:t>ith GAAP for annual financial statements. In the opinion of management, such interim financial statements reflect all adjustments (including normal recurring adjustments) considered necessary for a fair presentation of our financial condition, results of o</w:t>
      </w:r>
      <w:r>
        <w:rPr>
          <w:rFonts w:eastAsia="Times New Roman"/>
          <w:color w:val="000000"/>
          <w:sz w:val="20"/>
          <w:szCs w:val="20"/>
        </w:rPr>
        <w:t>perations, cash flows and equity for the periods presented therein. The results for the quarter and three quarters ended September 30, 2022 are not necessarily indicative of the results that may be expected for the full fiscal year or any subsequent period</w:t>
      </w:r>
      <w:r>
        <w:rPr>
          <w:rFonts w:eastAsia="Times New Roman"/>
          <w:color w:val="000000"/>
          <w:sz w:val="20"/>
          <w:szCs w:val="20"/>
        </w:rPr>
        <w:t>. The balance sheet at December 31, 2021 has been derived from our audited financial statements, but does not include all of the information and footnotes required by GAAP for annual financial statements. We provide complete, audited financial statements i</w:t>
      </w:r>
      <w:r>
        <w:rPr>
          <w:rFonts w:eastAsia="Times New Roman"/>
          <w:color w:val="000000"/>
          <w:sz w:val="20"/>
          <w:szCs w:val="20"/>
        </w:rPr>
        <w:t xml:space="preserve">n our Annual Report on Form 10-K, which includes information and footnotes required by the rules and regulations of the SEC. The information included in this Quarterly Report on Form 10-Q (this “Report”) should be read in conjunction with the Management’s </w:t>
      </w:r>
      <w:r>
        <w:rPr>
          <w:rFonts w:eastAsia="Times New Roman"/>
          <w:color w:val="000000"/>
          <w:sz w:val="20"/>
          <w:szCs w:val="20"/>
        </w:rPr>
        <w:t>Discussion and Analysis of Financial Condition and Results of Operations and the Consolidated Financial Statements and accompanying Notes to Consolidated Financial Statements included in our Annual Report on Form 10-K for the fiscal year ended December 31,</w:t>
      </w:r>
      <w:r>
        <w:rPr>
          <w:rFonts w:eastAsia="Times New Roman"/>
          <w:color w:val="000000"/>
          <w:sz w:val="20"/>
          <w:szCs w:val="20"/>
        </w:rPr>
        <w:t xml:space="preserve"> 2021 (our “Fiscal 2021 Form 10-K”). </w:t>
      </w:r>
    </w:p>
    <w:p w:rsidR="00000000" w:rsidRDefault="00C9777F">
      <w:pPr>
        <w:ind w:firstLine="360"/>
        <w:divId w:val="1924336752"/>
        <w:rPr>
          <w:rFonts w:eastAsia="Times New Roman"/>
        </w:rPr>
      </w:pPr>
      <w:r>
        <w:rPr>
          <w:rFonts w:eastAsia="Times New Roman"/>
          <w:b/>
          <w:bCs/>
          <w:i/>
          <w:iCs/>
          <w:color w:val="000000"/>
          <w:sz w:val="20"/>
          <w:szCs w:val="20"/>
        </w:rPr>
        <w:t>Segment reorganization and change in accounting policy:</w:t>
      </w:r>
      <w:r>
        <w:rPr>
          <w:rFonts w:eastAsia="Times New Roman"/>
          <w:color w:val="000000"/>
          <w:sz w:val="20"/>
          <w:szCs w:val="20"/>
        </w:rPr>
        <w:t xml:space="preserve"> We implemented a new organizational structure effective January 1, 2022, resulting in changes to our operating segments, which are also our reportable segments an</w:t>
      </w:r>
      <w:r>
        <w:rPr>
          <w:rFonts w:eastAsia="Times New Roman"/>
          <w:color w:val="000000"/>
          <w:sz w:val="20"/>
          <w:szCs w:val="20"/>
        </w:rPr>
        <w:t>d are referred to as our business segments. The new structure streamlined our business segments from four to three business segments. Our former Aviation Systems segment was eliminated as a business segment.</w:t>
      </w:r>
    </w:p>
    <w:p w:rsidR="00000000" w:rsidRDefault="00C9777F">
      <w:pPr>
        <w:ind w:firstLine="360"/>
        <w:divId w:val="862207270"/>
        <w:rPr>
          <w:rFonts w:eastAsia="Times New Roman"/>
        </w:rPr>
      </w:pPr>
      <w:r>
        <w:rPr>
          <w:rFonts w:eastAsia="Times New Roman"/>
          <w:color w:val="000000"/>
          <w:sz w:val="20"/>
          <w:szCs w:val="20"/>
        </w:rPr>
        <w:t>We updated our business segment reporting and ac</w:t>
      </w:r>
      <w:r>
        <w:rPr>
          <w:rFonts w:eastAsia="Times New Roman"/>
          <w:color w:val="000000"/>
          <w:sz w:val="20"/>
          <w:szCs w:val="20"/>
        </w:rPr>
        <w:t>counting policies for pension and other postretirement benefits plan (“OPEB”) income or expense to better align our presentation of business segment information with our industry peers. Our business segment operating results include pension and OPEB cost u</w:t>
      </w:r>
      <w:r>
        <w:rPr>
          <w:rFonts w:eastAsia="Times New Roman"/>
          <w:color w:val="000000"/>
          <w:sz w:val="20"/>
          <w:szCs w:val="20"/>
        </w:rPr>
        <w:t>nder U.S. Government Cost Accounting Standards (“CAS”), as CAS pension and OPEB cost is allocable to and allowable under contracts with the U.S. Government. We no longer assign or allocate Financial Accounting Standards (“FAS”) pension and OPEB income or e</w:t>
      </w:r>
      <w:r>
        <w:rPr>
          <w:rFonts w:eastAsia="Times New Roman"/>
          <w:color w:val="000000"/>
          <w:sz w:val="20"/>
          <w:szCs w:val="20"/>
        </w:rPr>
        <w:t>xpense to our business segments. GAAP requires pension and OPEB income or expense to be recognized on a FAS basis. Therefore, we present a “FAS/CAS operating adjustment” outside of business segment results, representing the difference between the service c</w:t>
      </w:r>
      <w:r>
        <w:rPr>
          <w:rFonts w:eastAsia="Times New Roman"/>
          <w:color w:val="000000"/>
          <w:sz w:val="20"/>
          <w:szCs w:val="20"/>
        </w:rPr>
        <w:t>ost component of FAS pension and OPEB income or expense and total CAS pension and OPEB cost or expense. Non-service cost components of FAS pension and OPEB income or expense are included as a component of non-operating income or expense.</w:t>
      </w:r>
    </w:p>
    <w:p w:rsidR="00000000" w:rsidRDefault="00C9777F">
      <w:pPr>
        <w:ind w:firstLine="360"/>
        <w:divId w:val="2041393826"/>
        <w:rPr>
          <w:rFonts w:eastAsia="Times New Roman"/>
        </w:rPr>
      </w:pPr>
      <w:r>
        <w:rPr>
          <w:rFonts w:eastAsia="Times New Roman"/>
          <w:color w:val="000000"/>
          <w:sz w:val="20"/>
          <w:szCs w:val="20"/>
        </w:rPr>
        <w:t>The historical res</w:t>
      </w:r>
      <w:r>
        <w:rPr>
          <w:rFonts w:eastAsia="Times New Roman"/>
          <w:color w:val="000000"/>
          <w:sz w:val="20"/>
          <w:szCs w:val="20"/>
        </w:rPr>
        <w:t>ults, discussion and presentation of our business segments as set forth in the accompanying Condensed Consolidated Financial Statements (Unaudited) and these Notes reflect the impact of these changes for all periods presented in order to present segment in</w:t>
      </w:r>
      <w:r>
        <w:rPr>
          <w:rFonts w:eastAsia="Times New Roman"/>
          <w:color w:val="000000"/>
          <w:sz w:val="20"/>
          <w:szCs w:val="20"/>
        </w:rPr>
        <w:t xml:space="preserve">formation on a comparable basis. There is no impact on our previously reported consolidated statements of income, balance sheets, statements of cash flows or statements of equity resulting from these changes. See </w:t>
      </w:r>
      <w:r>
        <w:rPr>
          <w:rFonts w:eastAsia="Times New Roman"/>
          <w:i/>
          <w:iCs/>
          <w:color w:val="000000"/>
          <w:sz w:val="20"/>
          <w:szCs w:val="20"/>
        </w:rPr>
        <w:t>Note S — Business Segment Information</w:t>
      </w:r>
      <w:r>
        <w:rPr>
          <w:rFonts w:eastAsia="Times New Roman"/>
          <w:color w:val="000000"/>
          <w:sz w:val="20"/>
          <w:szCs w:val="20"/>
        </w:rPr>
        <w:t xml:space="preserve"> in th</w:t>
      </w:r>
      <w:r>
        <w:rPr>
          <w:rFonts w:eastAsia="Times New Roman"/>
          <w:color w:val="000000"/>
          <w:sz w:val="20"/>
          <w:szCs w:val="20"/>
        </w:rPr>
        <w:t>ese Notes for further information regarding our new segment structure and pension presentation effective in fiscal 2022.</w:t>
      </w:r>
    </w:p>
    <w:p w:rsidR="00000000" w:rsidRDefault="00C9777F">
      <w:pPr>
        <w:divId w:val="149443592"/>
        <w:rPr>
          <w:rFonts w:eastAsia="Times New Roman"/>
        </w:rPr>
      </w:pPr>
      <w:r>
        <w:rPr>
          <w:rFonts w:eastAsia="Times New Roman"/>
          <w:b/>
          <w:bCs/>
          <w:color w:val="000000"/>
          <w:sz w:val="20"/>
          <w:szCs w:val="20"/>
        </w:rPr>
        <w:t>Supplemental Cash Flow Information</w:t>
      </w:r>
    </w:p>
    <w:p w:rsidR="00000000" w:rsidRDefault="00C9777F">
      <w:pPr>
        <w:ind w:firstLine="360"/>
        <w:divId w:val="1619482502"/>
        <w:rPr>
          <w:rFonts w:eastAsia="Times New Roman"/>
        </w:rPr>
      </w:pPr>
      <w:r>
        <w:rPr>
          <w:rFonts w:eastAsia="Times New Roman"/>
          <w:color w:val="000000"/>
          <w:sz w:val="20"/>
          <w:szCs w:val="20"/>
        </w:rPr>
        <w:t>Non-cash investing and financing activities during the three quarters ended October 1, 2021 included</w:t>
      </w:r>
      <w:r>
        <w:rPr>
          <w:rFonts w:eastAsia="Times New Roman"/>
          <w:color w:val="000000"/>
          <w:sz w:val="20"/>
          <w:szCs w:val="20"/>
        </w:rPr>
        <w:t xml:space="preserve"> a $88 million right-of-use asset we obtained in exchange for a corresponding operating lease liability. These non-cash investing and financing activities are excluded from the “Other investing” and “Other financing” line items in our Condensed Consolidate</w:t>
      </w:r>
      <w:r>
        <w:rPr>
          <w:rFonts w:eastAsia="Times New Roman"/>
          <w:color w:val="000000"/>
          <w:sz w:val="20"/>
          <w:szCs w:val="20"/>
        </w:rPr>
        <w:t>d Statement of Cash Flows (Unaudited). Right-of-use assets for operating leases are included in the “Operating lease right-of-use assets” line item and the corresponding operating lease liabilities are included in the “Other accrued items” and “Operating l</w:t>
      </w:r>
      <w:r>
        <w:rPr>
          <w:rFonts w:eastAsia="Times New Roman"/>
          <w:color w:val="000000"/>
          <w:sz w:val="20"/>
          <w:szCs w:val="20"/>
        </w:rPr>
        <w:t>ease liabilities” line items in our Condensed Consolidated Balance Sheet (Unaudited).</w:t>
      </w:r>
    </w:p>
    <w:p w:rsidR="00000000" w:rsidRDefault="00C9777F">
      <w:pPr>
        <w:ind w:firstLine="360"/>
        <w:divId w:val="1508783808"/>
        <w:rPr>
          <w:rFonts w:eastAsia="Times New Roman"/>
        </w:rPr>
      </w:pPr>
      <w:r>
        <w:rPr>
          <w:rFonts w:eastAsia="Times New Roman"/>
          <w:color w:val="000000"/>
          <w:sz w:val="20"/>
          <w:szCs w:val="20"/>
        </w:rPr>
        <w:t xml:space="preserve">Non-cash investing and financing activities during the three quarters ended October 1, 2021 included a $120 million right-of-use asset we obtained in exchange for a corresponding financing lease liability. These non-cash investing and financing activities </w:t>
      </w:r>
      <w:r>
        <w:rPr>
          <w:rFonts w:eastAsia="Times New Roman"/>
          <w:color w:val="000000"/>
          <w:sz w:val="20"/>
          <w:szCs w:val="20"/>
        </w:rPr>
        <w:t xml:space="preserve">are excluded from the “Additions to property, plant and equipment” and “Net proceeds from borrowings” line items in our Condensed Consolidated Statement of Cash Flows (Unaudited). Right-of-use assets for finance leases are included in the </w:t>
      </w:r>
    </w:p>
    <w:p w:rsidR="00000000" w:rsidRDefault="00C9777F">
      <w:pPr>
        <w:ind w:firstLine="360"/>
        <w:jc w:val="center"/>
        <w:divId w:val="1802141361"/>
        <w:rPr>
          <w:rFonts w:eastAsia="Times New Roman"/>
        </w:rPr>
      </w:pPr>
      <w:r>
        <w:rPr>
          <w:rFonts w:eastAsia="Times New Roman"/>
          <w:color w:val="000000"/>
          <w:sz w:val="20"/>
          <w:szCs w:val="20"/>
        </w:rPr>
        <w:t>6</w:t>
      </w:r>
    </w:p>
    <w:p w:rsidR="00000000" w:rsidRDefault="00C9777F">
      <w:pPr>
        <w:rPr>
          <w:rFonts w:eastAsia="Times New Roman"/>
        </w:rPr>
      </w:pPr>
      <w:r>
        <w:rPr>
          <w:rFonts w:eastAsia="Times New Roman"/>
        </w:rPr>
        <w:pict>
          <v:rect id="_x0000_i1033" style="width:0;height:1.5pt" o:hralign="center" o:hrstd="t" o:hr="t" fillcolor="#a0a0a0" stroked="f"/>
        </w:pict>
      </w:r>
    </w:p>
    <w:p w:rsidR="00000000" w:rsidRDefault="00C9777F">
      <w:pPr>
        <w:ind w:firstLine="360"/>
        <w:divId w:val="900334794"/>
        <w:rPr>
          <w:rFonts w:eastAsia="Times New Roman"/>
        </w:rPr>
      </w:pPr>
    </w:p>
    <w:p w:rsidR="00000000" w:rsidRDefault="00C9777F">
      <w:pPr>
        <w:divId w:val="2143300756"/>
        <w:rPr>
          <w:rFonts w:eastAsia="Times New Roman"/>
        </w:rPr>
      </w:pPr>
      <w:r>
        <w:rPr>
          <w:rFonts w:eastAsia="Times New Roman"/>
          <w:color w:val="000000"/>
          <w:sz w:val="20"/>
          <w:szCs w:val="20"/>
        </w:rPr>
        <w:t xml:space="preserve">“Property, plant and equipment, net” line item and the corresponding finance lease liabilities are included in the “Current portion of long-term debt, net” and “Long-term debt, net” </w:t>
      </w:r>
      <w:r>
        <w:rPr>
          <w:rFonts w:eastAsia="Times New Roman"/>
          <w:color w:val="000000"/>
          <w:sz w:val="20"/>
          <w:szCs w:val="20"/>
        </w:rPr>
        <w:t>line items in our Condensed Consolidated Balance Sheet (Unaudited).</w:t>
      </w:r>
    </w:p>
    <w:p w:rsidR="00000000" w:rsidRDefault="00C9777F">
      <w:pPr>
        <w:divId w:val="926882910"/>
        <w:rPr>
          <w:rFonts w:eastAsia="Times New Roman"/>
        </w:rPr>
      </w:pPr>
      <w:r>
        <w:rPr>
          <w:rFonts w:eastAsia="Times New Roman"/>
          <w:b/>
          <w:bCs/>
          <w:color w:val="000000"/>
          <w:sz w:val="20"/>
          <w:szCs w:val="20"/>
        </w:rPr>
        <w:t>Use of Estimates</w:t>
      </w:r>
    </w:p>
    <w:p w:rsidR="00000000" w:rsidRDefault="00C9777F">
      <w:pPr>
        <w:ind w:firstLine="360"/>
        <w:divId w:val="1085109848"/>
        <w:rPr>
          <w:rFonts w:eastAsia="Times New Roman"/>
        </w:rPr>
      </w:pPr>
      <w:r>
        <w:rPr>
          <w:rFonts w:eastAsia="Times New Roman"/>
          <w:color w:val="000000"/>
          <w:sz w:val="20"/>
          <w:szCs w:val="20"/>
        </w:rPr>
        <w:t>The preparation of financial statements in accordance with GAAP requires us to make estimates and assumptions that affect the amounts reported in the accompanying Condense</w:t>
      </w:r>
      <w:r>
        <w:rPr>
          <w:rFonts w:eastAsia="Times New Roman"/>
          <w:color w:val="000000"/>
          <w:sz w:val="20"/>
          <w:szCs w:val="20"/>
        </w:rPr>
        <w:t>d Consolidated Financial Statements (Unaudited) and these Notes and related disclosures. These estimates and assumptions are based on experience and other information available prior to issuance of the accompanying Condensed Consolidated Financial Statemen</w:t>
      </w:r>
      <w:r>
        <w:rPr>
          <w:rFonts w:eastAsia="Times New Roman"/>
          <w:color w:val="000000"/>
          <w:sz w:val="20"/>
          <w:szCs w:val="20"/>
        </w:rPr>
        <w:t xml:space="preserve">ts (Unaudited) and these Notes. Materially different results can occur as circumstances change and additional information becomes known. </w:t>
      </w:r>
    </w:p>
    <w:p w:rsidR="00000000" w:rsidRDefault="00C9777F">
      <w:pPr>
        <w:divId w:val="682434553"/>
        <w:rPr>
          <w:rFonts w:eastAsia="Times New Roman"/>
        </w:rPr>
      </w:pPr>
      <w:r>
        <w:rPr>
          <w:rFonts w:eastAsia="Times New Roman"/>
          <w:b/>
          <w:bCs/>
          <w:color w:val="000000"/>
          <w:sz w:val="20"/>
          <w:szCs w:val="20"/>
        </w:rPr>
        <w:t>Significant Accounting Policies Update</w:t>
      </w:r>
    </w:p>
    <w:p w:rsidR="00000000" w:rsidRDefault="00C9777F">
      <w:pPr>
        <w:ind w:firstLine="360"/>
        <w:divId w:val="637076447"/>
        <w:rPr>
          <w:rFonts w:eastAsia="Times New Roman"/>
        </w:rPr>
      </w:pPr>
      <w:r>
        <w:rPr>
          <w:rFonts w:eastAsia="Times New Roman"/>
          <w:color w:val="000000"/>
          <w:sz w:val="20"/>
          <w:szCs w:val="20"/>
        </w:rPr>
        <w:t>There have been no material changes to our significant accounting policies desc</w:t>
      </w:r>
      <w:r>
        <w:rPr>
          <w:rFonts w:eastAsia="Times New Roman"/>
          <w:color w:val="000000"/>
          <w:sz w:val="20"/>
          <w:szCs w:val="20"/>
        </w:rPr>
        <w:t>ribed in our Fiscal 2021 Form 10-K.</w:t>
      </w:r>
    </w:p>
    <w:p w:rsidR="00000000" w:rsidRDefault="00C9777F">
      <w:pPr>
        <w:divId w:val="15693406"/>
        <w:rPr>
          <w:rFonts w:eastAsia="Times New Roman"/>
        </w:rPr>
      </w:pPr>
      <w:r>
        <w:rPr>
          <w:rFonts w:eastAsia="Times New Roman"/>
          <w:b/>
          <w:bCs/>
          <w:color w:val="000000"/>
          <w:sz w:val="20"/>
          <w:szCs w:val="20"/>
        </w:rPr>
        <w:t xml:space="preserve">NOTE B— BUSINESS DIVESTITURES AND ASSET SALES </w:t>
      </w:r>
    </w:p>
    <w:p w:rsidR="00000000" w:rsidRDefault="00C9777F">
      <w:pPr>
        <w:divId w:val="839350480"/>
        <w:rPr>
          <w:rFonts w:eastAsia="Times New Roman"/>
        </w:rPr>
      </w:pPr>
      <w:r>
        <w:rPr>
          <w:rFonts w:eastAsia="Times New Roman"/>
          <w:b/>
          <w:bCs/>
          <w:color w:val="000000"/>
          <w:sz w:val="20"/>
          <w:szCs w:val="20"/>
        </w:rPr>
        <w:t>Completed Divestitures and Asset Sales — Three Quarters Ended September 30, 2022</w:t>
      </w:r>
    </w:p>
    <w:p w:rsidR="00000000" w:rsidRDefault="00C9777F">
      <w:pPr>
        <w:ind w:firstLine="360"/>
        <w:divId w:val="1937515621"/>
        <w:rPr>
          <w:rFonts w:eastAsia="Times New Roman"/>
        </w:rPr>
      </w:pPr>
      <w:r>
        <w:rPr>
          <w:rFonts w:eastAsia="Times New Roman"/>
          <w:color w:val="000000"/>
          <w:sz w:val="20"/>
          <w:szCs w:val="20"/>
        </w:rPr>
        <w:t>During the three quarters ended September 30, 2022, we completed one business divestiture an</w:t>
      </w:r>
      <w:r>
        <w:rPr>
          <w:rFonts w:eastAsia="Times New Roman"/>
          <w:color w:val="000000"/>
          <w:sz w:val="20"/>
          <w:szCs w:val="20"/>
        </w:rPr>
        <w:t>d one asset sale from our Integrated Mission Systems business segment for combined net cash proceeds of $23 million and recognized a pre-tax gain of $8 million associated with the asset sale included in the “Engineering, selling and administrative expenses</w:t>
      </w:r>
      <w:r>
        <w:rPr>
          <w:rFonts w:eastAsia="Times New Roman"/>
          <w:color w:val="000000"/>
          <w:sz w:val="20"/>
          <w:szCs w:val="20"/>
        </w:rPr>
        <w:t xml:space="preserve">” line of our Condensed Consolidated Statement of Operations (Unaudited) for the three quarters ended September 30, 2022. </w:t>
      </w:r>
    </w:p>
    <w:p w:rsidR="00000000" w:rsidRDefault="00C9777F">
      <w:pPr>
        <w:divId w:val="1183133695"/>
        <w:rPr>
          <w:rFonts w:eastAsia="Times New Roman"/>
        </w:rPr>
      </w:pPr>
      <w:r>
        <w:rPr>
          <w:rFonts w:eastAsia="Times New Roman"/>
          <w:b/>
          <w:bCs/>
          <w:color w:val="000000"/>
          <w:sz w:val="20"/>
          <w:szCs w:val="20"/>
        </w:rPr>
        <w:t>Completed Divestitures — Three Quarters Ended October 1, 2021</w:t>
      </w:r>
    </w:p>
    <w:p w:rsidR="00000000" w:rsidRDefault="00C9777F">
      <w:pPr>
        <w:ind w:firstLine="360"/>
        <w:divId w:val="1914196666"/>
        <w:rPr>
          <w:rFonts w:eastAsia="Times New Roman"/>
        </w:rPr>
      </w:pPr>
      <w:r>
        <w:rPr>
          <w:rFonts w:eastAsia="Times New Roman"/>
          <w:color w:val="000000"/>
          <w:sz w:val="20"/>
          <w:szCs w:val="20"/>
        </w:rPr>
        <w:t>The following table presents information regarding business divestiture</w:t>
      </w:r>
      <w:r>
        <w:rPr>
          <w:rFonts w:eastAsia="Times New Roman"/>
          <w:color w:val="000000"/>
          <w:sz w:val="20"/>
          <w:szCs w:val="20"/>
        </w:rPr>
        <w:t>s completed during the three quarters ended October 1,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2702"/>
        <w:gridCol w:w="37"/>
        <w:gridCol w:w="38"/>
        <w:gridCol w:w="2251"/>
        <w:gridCol w:w="37"/>
        <w:gridCol w:w="36"/>
        <w:gridCol w:w="36"/>
        <w:gridCol w:w="36"/>
        <w:gridCol w:w="52"/>
        <w:gridCol w:w="1126"/>
        <w:gridCol w:w="36"/>
        <w:gridCol w:w="36"/>
        <w:gridCol w:w="36"/>
        <w:gridCol w:w="36"/>
        <w:gridCol w:w="120"/>
        <w:gridCol w:w="668"/>
        <w:gridCol w:w="36"/>
        <w:gridCol w:w="36"/>
        <w:gridCol w:w="36"/>
        <w:gridCol w:w="36"/>
        <w:gridCol w:w="121"/>
        <w:gridCol w:w="684"/>
        <w:gridCol w:w="36"/>
      </w:tblGrid>
      <w:tr w:rsidR="00000000">
        <w:trPr>
          <w:divId w:val="1142507590"/>
        </w:trPr>
        <w:tc>
          <w:tcPr>
            <w:tcW w:w="50" w:type="pct"/>
            <w:vAlign w:val="center"/>
            <w:hideMark/>
          </w:tcPr>
          <w:p w:rsidR="00000000" w:rsidRDefault="00C9777F">
            <w:pPr>
              <w:ind w:firstLine="360"/>
              <w:rPr>
                <w:rFonts w:eastAsia="Times New Roman"/>
              </w:rPr>
            </w:pPr>
          </w:p>
        </w:tc>
        <w:tc>
          <w:tcPr>
            <w:tcW w:w="166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38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2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3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3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Business Segment Prior to Divestiture / Asset Sal</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Date of Divestiture / Asset Sale</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Sale Price</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Net Cash Proceed</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r>
      <w:tr w:rsidR="00000000">
        <w:trPr>
          <w:divId w:val="114250759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1063917158"/>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July 2, 2021</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42507590"/>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divId w:val="1608805655"/>
              <w:rPr>
                <w:rFonts w:eastAsia="Times New Roman"/>
              </w:rPr>
            </w:pPr>
            <w:r>
              <w:rPr>
                <w:rFonts w:eastAsia="Times New Roman"/>
                <w:color w:val="000000"/>
                <w:sz w:val="20"/>
                <w:szCs w:val="20"/>
              </w:rPr>
              <w:t>Military training busines</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July 2, 2021</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1,050 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1,059 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42507590"/>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884373921"/>
              <w:rPr>
                <w:rFonts w:eastAsia="Times New Roman"/>
              </w:rPr>
            </w:pPr>
            <w:r>
              <w:rPr>
                <w:rFonts w:eastAsia="Times New Roman"/>
                <w:color w:val="000000"/>
                <w:sz w:val="20"/>
                <w:szCs w:val="20"/>
              </w:rPr>
              <w:t>VSE disposal grou</w:t>
            </w:r>
            <w:r>
              <w:rPr>
                <w:rFonts w:eastAsia="Times New Roman"/>
                <w:color w:val="000000"/>
                <w:sz w:val="20"/>
                <w:szCs w:val="20"/>
              </w:rPr>
              <w:t>p</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July 30, 202</w:t>
            </w:r>
            <w:r>
              <w:rPr>
                <w:rFonts w:eastAsia="Times New Roman"/>
                <w:color w:val="000000"/>
                <w:sz w:val="20"/>
                <w:szCs w:val="20"/>
              </w:rPr>
              <w:t>1</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42507590"/>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divId w:val="916018573"/>
              <w:rPr>
                <w:rFonts w:eastAsia="Times New Roman"/>
              </w:rPr>
            </w:pPr>
            <w:r>
              <w:rPr>
                <w:rFonts w:eastAsia="Times New Roman"/>
                <w:color w:val="000000"/>
                <w:sz w:val="20"/>
                <w:szCs w:val="20"/>
              </w:rPr>
              <w:t>Electron Devices busines</w:t>
            </w:r>
            <w:r>
              <w:rPr>
                <w:rFonts w:eastAsia="Times New Roman"/>
                <w:color w:val="000000"/>
                <w:sz w:val="20"/>
                <w:szCs w:val="20"/>
              </w:rPr>
              <w:t>s</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Other non-reportable businesse</w:t>
            </w:r>
            <w:r>
              <w:rPr>
                <w:rFonts w:eastAsia="Times New Roman"/>
                <w:color w:val="000000"/>
                <w:sz w:val="20"/>
                <w:szCs w:val="20"/>
              </w:rPr>
              <w:t>s</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color w:val="000000"/>
                <w:sz w:val="20"/>
                <w:szCs w:val="20"/>
              </w:rPr>
              <w:t>October 1, 2021</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42507590"/>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42507590"/>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14250759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hanging="360"/>
        <w:divId w:val="1264846741"/>
        <w:rPr>
          <w:rFonts w:eastAsia="Times New Roman"/>
        </w:rPr>
      </w:pPr>
      <w:r>
        <w:rPr>
          <w:rFonts w:eastAsia="Times New Roman"/>
          <w:color w:val="000000"/>
          <w:sz w:val="16"/>
          <w:szCs w:val="16"/>
        </w:rPr>
        <w:t>_______________</w:t>
      </w:r>
    </w:p>
    <w:p w:rsidR="00000000" w:rsidRDefault="00C9777F">
      <w:pPr>
        <w:ind w:hanging="360"/>
        <w:divId w:val="1853061150"/>
        <w:rPr>
          <w:rFonts w:eastAsia="Times New Roman"/>
        </w:rPr>
      </w:pPr>
      <w:r>
        <w:rPr>
          <w:rFonts w:eastAsia="Times New Roman"/>
          <w:color w:val="000000"/>
          <w:sz w:val="16"/>
          <w:szCs w:val="16"/>
        </w:rPr>
        <w:t>(1)</w:t>
      </w:r>
      <w:r>
        <w:rPr>
          <w:rFonts w:eastAsia="Times New Roman"/>
          <w:color w:val="000000"/>
          <w:sz w:val="16"/>
          <w:szCs w:val="16"/>
        </w:rPr>
        <w:t>Business segment in which the operating results of each divested business were reported through the date of divestiture.</w:t>
      </w:r>
    </w:p>
    <w:p w:rsidR="00000000" w:rsidRDefault="00C9777F">
      <w:pPr>
        <w:ind w:hanging="360"/>
        <w:divId w:val="1210655183"/>
        <w:rPr>
          <w:rFonts w:eastAsia="Times New Roman"/>
        </w:rPr>
      </w:pPr>
      <w:r>
        <w:rPr>
          <w:rFonts w:eastAsia="Times New Roman"/>
          <w:color w:val="000000"/>
          <w:sz w:val="16"/>
          <w:szCs w:val="16"/>
        </w:rPr>
        <w:t>(2)Net cash proceeds after selling costs and purchase price adjustments.</w:t>
      </w:r>
    </w:p>
    <w:p w:rsidR="00000000" w:rsidRDefault="00C9777F">
      <w:pPr>
        <w:ind w:hanging="360"/>
        <w:divId w:val="169294632"/>
        <w:rPr>
          <w:rFonts w:eastAsia="Times New Roman"/>
        </w:rPr>
      </w:pPr>
      <w:r>
        <w:rPr>
          <w:rFonts w:eastAsia="Times New Roman"/>
          <w:color w:val="000000"/>
          <w:sz w:val="16"/>
          <w:szCs w:val="16"/>
        </w:rPr>
        <w:t xml:space="preserve">(3)The Combat Propulsion Systems and related businesses (“CPS </w:t>
      </w:r>
      <w:r>
        <w:rPr>
          <w:rFonts w:eastAsia="Times New Roman"/>
          <w:color w:val="000000"/>
          <w:sz w:val="16"/>
          <w:szCs w:val="16"/>
        </w:rPr>
        <w:t xml:space="preserve">business”) engineered, designed and manufactured engines, transmissions, suspensions and turret drive systems for tracked and wheeled combat vehicle systems. </w:t>
      </w:r>
    </w:p>
    <w:p w:rsidR="00000000" w:rsidRDefault="00C9777F">
      <w:pPr>
        <w:ind w:hanging="360"/>
        <w:divId w:val="2108840275"/>
        <w:rPr>
          <w:rFonts w:eastAsia="Times New Roman"/>
        </w:rPr>
      </w:pPr>
      <w:r>
        <w:rPr>
          <w:rFonts w:eastAsia="Times New Roman"/>
          <w:color w:val="000000"/>
          <w:sz w:val="16"/>
          <w:szCs w:val="16"/>
        </w:rPr>
        <w:t>(4)The military training business provided flight simulation solutions and training services to t</w:t>
      </w:r>
      <w:r>
        <w:rPr>
          <w:rFonts w:eastAsia="Times New Roman"/>
          <w:color w:val="000000"/>
          <w:sz w:val="16"/>
          <w:szCs w:val="16"/>
        </w:rPr>
        <w:t xml:space="preserve">he U.S. Department of Defense and foreign military agencies. </w:t>
      </w:r>
    </w:p>
    <w:p w:rsidR="00000000" w:rsidRDefault="00C9777F">
      <w:pPr>
        <w:ind w:hanging="360"/>
        <w:divId w:val="1941990482"/>
        <w:rPr>
          <w:rFonts w:eastAsia="Times New Roman"/>
        </w:rPr>
      </w:pPr>
      <w:r>
        <w:rPr>
          <w:rFonts w:eastAsia="Times New Roman"/>
          <w:color w:val="000000"/>
          <w:sz w:val="16"/>
          <w:szCs w:val="16"/>
        </w:rPr>
        <w:t xml:space="preserve">(5)The Voice Switch Enterprise disposal group (“VSE disposal group”) provided voice over internet protocol systems for air traffic management. </w:t>
      </w:r>
    </w:p>
    <w:p w:rsidR="00000000" w:rsidRDefault="00C9777F">
      <w:pPr>
        <w:ind w:hanging="360"/>
        <w:divId w:val="968903885"/>
        <w:rPr>
          <w:rFonts w:eastAsia="Times New Roman"/>
        </w:rPr>
      </w:pPr>
      <w:r>
        <w:rPr>
          <w:rFonts w:eastAsia="Times New Roman"/>
          <w:color w:val="000000"/>
          <w:sz w:val="16"/>
          <w:szCs w:val="16"/>
        </w:rPr>
        <w:t>(6)The sale of the VSE disposal group was partiall</w:t>
      </w:r>
      <w:r>
        <w:rPr>
          <w:rFonts w:eastAsia="Times New Roman"/>
          <w:color w:val="000000"/>
          <w:sz w:val="16"/>
          <w:szCs w:val="16"/>
        </w:rPr>
        <w:t>y closed on July 2, 2021, with the remainder divested on July 30, 2021.</w:t>
      </w:r>
    </w:p>
    <w:p w:rsidR="00000000" w:rsidRDefault="00C9777F">
      <w:pPr>
        <w:ind w:hanging="360"/>
        <w:divId w:val="1849445990"/>
        <w:rPr>
          <w:rFonts w:eastAsia="Times New Roman"/>
        </w:rPr>
      </w:pPr>
      <w:r>
        <w:rPr>
          <w:rFonts w:eastAsia="Times New Roman"/>
          <w:color w:val="000000"/>
          <w:sz w:val="16"/>
          <w:szCs w:val="16"/>
        </w:rPr>
        <w:t>(7)The Electron Devices and Narda Microwave-West divisions (“Electron Devices business”) manufactured microwave devices for ground-based, airborne and satellite communications and rada</w:t>
      </w:r>
      <w:r>
        <w:rPr>
          <w:rFonts w:eastAsia="Times New Roman"/>
          <w:color w:val="000000"/>
          <w:sz w:val="16"/>
          <w:szCs w:val="16"/>
        </w:rPr>
        <w:t>r.</w:t>
      </w:r>
    </w:p>
    <w:p w:rsidR="00000000" w:rsidRDefault="00C9777F">
      <w:pPr>
        <w:ind w:hanging="360"/>
        <w:divId w:val="947202645"/>
        <w:rPr>
          <w:rFonts w:eastAsia="Times New Roman"/>
        </w:rPr>
      </w:pPr>
      <w:r>
        <w:rPr>
          <w:rFonts w:eastAsia="Times New Roman"/>
          <w:color w:val="000000"/>
          <w:sz w:val="16"/>
          <w:szCs w:val="16"/>
        </w:rPr>
        <w:t>(8)Formerly our Aviation Systems segment.</w:t>
      </w:r>
    </w:p>
    <w:p w:rsidR="00000000" w:rsidRDefault="00C9777F">
      <w:pPr>
        <w:ind w:firstLine="360"/>
        <w:divId w:val="517619295"/>
        <w:rPr>
          <w:rFonts w:eastAsia="Times New Roman"/>
        </w:rPr>
      </w:pPr>
      <w:r>
        <w:rPr>
          <w:rFonts w:eastAsia="Times New Roman"/>
          <w:b/>
          <w:bCs/>
          <w:i/>
          <w:iCs/>
          <w:color w:val="000000"/>
          <w:sz w:val="20"/>
          <w:szCs w:val="20"/>
        </w:rPr>
        <w:t xml:space="preserve">Income Before Income Taxes Attributable to Businesses Divested: </w:t>
      </w:r>
      <w:r>
        <w:rPr>
          <w:rFonts w:eastAsia="Times New Roman"/>
          <w:color w:val="000000"/>
          <w:sz w:val="20"/>
          <w:szCs w:val="20"/>
        </w:rPr>
        <w:t>The following table presents the amount of significant income before income taxes attributable to businesses divested in our Condensed Consolidated</w:t>
      </w:r>
      <w:r>
        <w:rPr>
          <w:rFonts w:eastAsia="Times New Roman"/>
          <w:color w:val="000000"/>
          <w:sz w:val="20"/>
          <w:szCs w:val="20"/>
        </w:rPr>
        <w:t xml:space="preserve"> Statement of Operations (Unaudited):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939"/>
        <w:gridCol w:w="37"/>
        <w:gridCol w:w="36"/>
        <w:gridCol w:w="36"/>
        <w:gridCol w:w="121"/>
        <w:gridCol w:w="1093"/>
        <w:gridCol w:w="36"/>
        <w:gridCol w:w="36"/>
        <w:gridCol w:w="36"/>
        <w:gridCol w:w="36"/>
        <w:gridCol w:w="36"/>
        <w:gridCol w:w="36"/>
        <w:gridCol w:w="121"/>
        <w:gridCol w:w="1093"/>
        <w:gridCol w:w="36"/>
        <w:gridCol w:w="36"/>
        <w:gridCol w:w="36"/>
        <w:gridCol w:w="36"/>
        <w:gridCol w:w="36"/>
        <w:gridCol w:w="36"/>
        <w:gridCol w:w="36"/>
        <w:gridCol w:w="36"/>
        <w:gridCol w:w="36"/>
        <w:gridCol w:w="36"/>
        <w:gridCol w:w="36"/>
        <w:gridCol w:w="36"/>
        <w:gridCol w:w="36"/>
        <w:gridCol w:w="36"/>
        <w:gridCol w:w="36"/>
        <w:gridCol w:w="36"/>
      </w:tblGrid>
      <w:tr w:rsidR="00000000">
        <w:trPr>
          <w:divId w:val="1569000282"/>
        </w:trPr>
        <w:tc>
          <w:tcPr>
            <w:tcW w:w="50" w:type="pct"/>
            <w:vAlign w:val="center"/>
            <w:hideMark/>
          </w:tcPr>
          <w:p w:rsidR="00000000" w:rsidRDefault="00C9777F">
            <w:pPr>
              <w:ind w:firstLine="360"/>
              <w:rPr>
                <w:rFonts w:eastAsia="Times New Roman"/>
              </w:rPr>
            </w:pPr>
          </w:p>
        </w:tc>
        <w:tc>
          <w:tcPr>
            <w:tcW w:w="329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5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5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Height w:val="30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Electron Devices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CPS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Military training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5690002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jc w:val="center"/>
        <w:divId w:val="149450561"/>
        <w:rPr>
          <w:rFonts w:eastAsia="Times New Roman"/>
        </w:rPr>
      </w:pPr>
      <w:r>
        <w:rPr>
          <w:rFonts w:eastAsia="Times New Roman"/>
          <w:color w:val="000000"/>
          <w:sz w:val="20"/>
          <w:szCs w:val="20"/>
        </w:rPr>
        <w:t>7</w:t>
      </w:r>
    </w:p>
    <w:p w:rsidR="00000000" w:rsidRDefault="00C9777F">
      <w:pPr>
        <w:rPr>
          <w:rFonts w:eastAsia="Times New Roman"/>
        </w:rPr>
      </w:pPr>
      <w:r>
        <w:rPr>
          <w:rFonts w:eastAsia="Times New Roman"/>
        </w:rPr>
        <w:pict>
          <v:rect id="_x0000_i1034" style="width:0;height:1.5pt" o:hralign="center" o:hrstd="t" o:hr="t" fillcolor="#a0a0a0" stroked="f"/>
        </w:pict>
      </w:r>
    </w:p>
    <w:p w:rsidR="00000000" w:rsidRDefault="00C9777F">
      <w:pPr>
        <w:ind w:firstLine="360"/>
        <w:divId w:val="607543904"/>
        <w:rPr>
          <w:rFonts w:eastAsia="Times New Roman"/>
        </w:rPr>
      </w:pPr>
    </w:p>
    <w:p w:rsidR="00000000" w:rsidRDefault="00C9777F">
      <w:pPr>
        <w:ind w:firstLine="360"/>
        <w:divId w:val="1890143232"/>
        <w:rPr>
          <w:rFonts w:eastAsia="Times New Roman"/>
        </w:rPr>
      </w:pPr>
      <w:r>
        <w:rPr>
          <w:rFonts w:eastAsia="Times New Roman"/>
          <w:b/>
          <w:bCs/>
          <w:i/>
          <w:iCs/>
          <w:color w:val="000000"/>
          <w:sz w:val="20"/>
          <w:szCs w:val="20"/>
        </w:rPr>
        <w:t xml:space="preserve">Business Divestiture-Related Gains, net: </w:t>
      </w:r>
      <w:r>
        <w:rPr>
          <w:rFonts w:eastAsia="Times New Roman"/>
          <w:color w:val="000000"/>
          <w:sz w:val="20"/>
          <w:szCs w:val="20"/>
        </w:rPr>
        <w:t>The “Business divestiture-related gains, net” line item in our Condensed Consolidated Statement of Operations (Unaudited) is comprised of the following pre-tax gains assoc</w:t>
      </w:r>
      <w:r>
        <w:rPr>
          <w:rFonts w:eastAsia="Times New Roman"/>
          <w:color w:val="000000"/>
          <w:sz w:val="20"/>
          <w:szCs w:val="20"/>
        </w:rPr>
        <w:t xml:space="preserve">iated with businesses divested: </w:t>
      </w:r>
    </w:p>
    <w:tbl>
      <w:tblPr>
        <w:tblW w:w="5000" w:type="pct"/>
        <w:tblCellMar>
          <w:top w:w="15" w:type="dxa"/>
          <w:left w:w="15" w:type="dxa"/>
          <w:bottom w:w="15" w:type="dxa"/>
          <w:right w:w="15" w:type="dxa"/>
        </w:tblCellMar>
        <w:tblLook w:val="04A0" w:firstRow="1" w:lastRow="0" w:firstColumn="1" w:lastColumn="0" w:noHBand="0" w:noVBand="1"/>
      </w:tblPr>
      <w:tblGrid>
        <w:gridCol w:w="40"/>
        <w:gridCol w:w="4828"/>
        <w:gridCol w:w="39"/>
        <w:gridCol w:w="36"/>
        <w:gridCol w:w="36"/>
        <w:gridCol w:w="121"/>
        <w:gridCol w:w="1068"/>
        <w:gridCol w:w="36"/>
        <w:gridCol w:w="36"/>
        <w:gridCol w:w="36"/>
        <w:gridCol w:w="36"/>
        <w:gridCol w:w="661"/>
        <w:gridCol w:w="36"/>
        <w:gridCol w:w="36"/>
        <w:gridCol w:w="36"/>
        <w:gridCol w:w="121"/>
        <w:gridCol w:w="1068"/>
        <w:gridCol w:w="36"/>
      </w:tblGrid>
      <w:tr w:rsidR="00000000">
        <w:trPr>
          <w:divId w:val="562448382"/>
        </w:trPr>
        <w:tc>
          <w:tcPr>
            <w:tcW w:w="50" w:type="pct"/>
            <w:vAlign w:val="center"/>
            <w:hideMark/>
          </w:tcPr>
          <w:p w:rsidR="00000000" w:rsidRDefault="00C9777F">
            <w:pPr>
              <w:ind w:firstLine="360"/>
              <w:rPr>
                <w:rFonts w:eastAsia="Times New Roman"/>
              </w:rPr>
            </w:pPr>
          </w:p>
        </w:tc>
        <w:tc>
          <w:tcPr>
            <w:tcW w:w="329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5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5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4"/>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562448382"/>
          <w:trHeight w:val="6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Electron Devices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62448382"/>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VSE disposal group</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6244838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892159522"/>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62448382"/>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Military training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62448382"/>
        </w:trPr>
        <w:tc>
          <w:tcPr>
            <w:tcW w:w="0" w:type="auto"/>
            <w:gridSpan w:val="3"/>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Other</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62448382"/>
        </w:trPr>
        <w:tc>
          <w:tcPr>
            <w:tcW w:w="0" w:type="auto"/>
            <w:gridSpan w:val="3"/>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62448382"/>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 xml:space="preserve">Total business divestiture-related gains, net </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divId w:val="562448382"/>
        <w:rPr>
          <w:rFonts w:eastAsia="Times New Roman"/>
        </w:rPr>
      </w:pPr>
      <w:r>
        <w:rPr>
          <w:rFonts w:eastAsia="Times New Roman"/>
          <w:color w:val="000000"/>
          <w:sz w:val="16"/>
          <w:szCs w:val="16"/>
        </w:rPr>
        <w:t>_______________</w:t>
      </w:r>
    </w:p>
    <w:p w:rsidR="00000000" w:rsidRDefault="00C9777F">
      <w:pPr>
        <w:ind w:hanging="360"/>
        <w:divId w:val="1993680720"/>
        <w:rPr>
          <w:rFonts w:eastAsia="Times New Roman"/>
        </w:rPr>
      </w:pPr>
      <w:r>
        <w:rPr>
          <w:rFonts w:eastAsia="Times New Roman"/>
          <w:color w:val="000000"/>
          <w:sz w:val="16"/>
          <w:szCs w:val="16"/>
        </w:rPr>
        <w:t>(1)During the quarter ended April 2, 2021, upon classifying the CPS business as held for sale, we recorded a non-cash impairment charge of $62 million, which is included in the “Impairment of goodwill and other assets” line item</w:t>
      </w:r>
      <w:r>
        <w:rPr>
          <w:rFonts w:eastAsia="Times New Roman"/>
          <w:color w:val="000000"/>
          <w:sz w:val="16"/>
          <w:szCs w:val="16"/>
        </w:rPr>
        <w:t xml:space="preserve"> in our Condensed Consolidated Statement of Operations (Unaudited) for the three quarters ended October 1, 2021. See </w:t>
      </w:r>
      <w:r>
        <w:rPr>
          <w:rFonts w:eastAsia="Times New Roman"/>
          <w:i/>
          <w:iCs/>
          <w:color w:val="000000"/>
          <w:sz w:val="16"/>
          <w:szCs w:val="16"/>
        </w:rPr>
        <w:t>Note I — Goodwill and Other Intangible Assets</w:t>
      </w:r>
      <w:r>
        <w:rPr>
          <w:rFonts w:eastAsia="Times New Roman"/>
          <w:color w:val="000000"/>
          <w:sz w:val="16"/>
          <w:szCs w:val="16"/>
        </w:rPr>
        <w:t xml:space="preserve"> in these Notes for additional information.</w:t>
      </w:r>
    </w:p>
    <w:p w:rsidR="00000000" w:rsidRDefault="00C9777F">
      <w:pPr>
        <w:divId w:val="1270315695"/>
        <w:rPr>
          <w:rFonts w:eastAsia="Times New Roman"/>
        </w:rPr>
      </w:pPr>
      <w:r>
        <w:rPr>
          <w:rFonts w:eastAsia="Times New Roman"/>
          <w:b/>
          <w:bCs/>
          <w:color w:val="000000"/>
          <w:sz w:val="20"/>
          <w:szCs w:val="20"/>
        </w:rPr>
        <w:t>Fair Value of Businesses and Goodwill Allocation</w:t>
      </w:r>
    </w:p>
    <w:p w:rsidR="00000000" w:rsidRDefault="00C9777F">
      <w:pPr>
        <w:ind w:firstLine="360"/>
        <w:divId w:val="728306513"/>
        <w:rPr>
          <w:rFonts w:eastAsia="Times New Roman"/>
        </w:rPr>
      </w:pPr>
      <w:r>
        <w:rPr>
          <w:rFonts w:eastAsia="Times New Roman"/>
          <w:color w:val="000000"/>
          <w:sz w:val="20"/>
          <w:szCs w:val="20"/>
        </w:rPr>
        <w:t>S</w:t>
      </w:r>
      <w:r>
        <w:rPr>
          <w:rFonts w:eastAsia="Times New Roman"/>
          <w:color w:val="000000"/>
          <w:sz w:val="20"/>
          <w:szCs w:val="20"/>
        </w:rPr>
        <w:t xml:space="preserve">ee </w:t>
      </w:r>
      <w:r>
        <w:rPr>
          <w:rFonts w:eastAsia="Times New Roman"/>
          <w:i/>
          <w:iCs/>
          <w:color w:val="000000"/>
          <w:sz w:val="20"/>
          <w:szCs w:val="20"/>
        </w:rPr>
        <w:t>Note I — Goodwill and Other Intangible Assets</w:t>
      </w:r>
      <w:r>
        <w:rPr>
          <w:rFonts w:eastAsia="Times New Roman"/>
          <w:color w:val="000000"/>
          <w:sz w:val="20"/>
          <w:szCs w:val="20"/>
        </w:rPr>
        <w:t xml:space="preserve"> in these Notes for additional information regarding the impairment of goodwill related to business divestitures.</w:t>
      </w:r>
    </w:p>
    <w:p w:rsidR="00000000" w:rsidRDefault="00C9777F">
      <w:pPr>
        <w:divId w:val="119538253"/>
        <w:rPr>
          <w:rFonts w:eastAsia="Times New Roman"/>
        </w:rPr>
      </w:pPr>
      <w:r>
        <w:rPr>
          <w:rFonts w:eastAsia="Times New Roman"/>
          <w:b/>
          <w:bCs/>
          <w:color w:val="000000"/>
          <w:sz w:val="20"/>
          <w:szCs w:val="20"/>
        </w:rPr>
        <w:t>NOTE C— STOCK OPTIONS AND OTHER SHARE-BASED COMPENSATION</w:t>
      </w:r>
      <w:r>
        <w:rPr>
          <w:rFonts w:eastAsia="Times New Roman"/>
          <w:b/>
          <w:bCs/>
          <w:i/>
          <w:iCs/>
          <w:color w:val="000000"/>
          <w:sz w:val="20"/>
          <w:szCs w:val="20"/>
        </w:rPr>
        <w:t xml:space="preserve"> </w:t>
      </w:r>
    </w:p>
    <w:p w:rsidR="00000000" w:rsidRDefault="00C9777F">
      <w:pPr>
        <w:ind w:firstLine="360"/>
        <w:divId w:val="1094546399"/>
        <w:rPr>
          <w:rFonts w:eastAsia="Times New Roman"/>
        </w:rPr>
      </w:pPr>
      <w:r>
        <w:rPr>
          <w:rFonts w:eastAsia="Times New Roman"/>
          <w:color w:val="000000"/>
          <w:sz w:val="20"/>
          <w:szCs w:val="20"/>
        </w:rPr>
        <w:t>At September </w:t>
      </w:r>
      <w:r>
        <w:rPr>
          <w:rFonts w:eastAsia="Times New Roman"/>
          <w:color w:val="000000"/>
          <w:sz w:val="20"/>
          <w:szCs w:val="20"/>
        </w:rPr>
        <w:t>30, 2022, we had stock options and other share-based compensation awards outstanding under several employee stock incentive plans (“L3Harris SIPs”). The compensation cost related to our share-based awards that was charged against income was $23 million and</w:t>
      </w:r>
      <w:r>
        <w:rPr>
          <w:rFonts w:eastAsia="Times New Roman"/>
          <w:color w:val="000000"/>
          <w:sz w:val="20"/>
          <w:szCs w:val="20"/>
        </w:rPr>
        <w:t xml:space="preserve"> $92 million for the quarter and three quarters ended September 30, 2022, respectively, and $33 million and $100 million for the quarter and three quarters ended October 1, 2021, respectively. The aggregate number of shares of our common stock issued under</w:t>
      </w:r>
      <w:r>
        <w:rPr>
          <w:rFonts w:eastAsia="Times New Roman"/>
          <w:color w:val="000000"/>
          <w:sz w:val="20"/>
          <w:szCs w:val="20"/>
        </w:rPr>
        <w:t xml:space="preserve"> L3Harris SIPs, net of shares withheld for tax purposes, was 0.1 million and 0.7 million for the quarter and three quarters ended September 30, 2022, respectively, and 0.7 million and 1.2 million for the quarter and three quarters ended October 1, 2021, re</w:t>
      </w:r>
      <w:r>
        <w:rPr>
          <w:rFonts w:eastAsia="Times New Roman"/>
          <w:color w:val="000000"/>
          <w:sz w:val="20"/>
          <w:szCs w:val="20"/>
        </w:rPr>
        <w:t xml:space="preserve">spectively. </w:t>
      </w:r>
    </w:p>
    <w:p w:rsidR="00000000" w:rsidRDefault="00C9777F">
      <w:pPr>
        <w:ind w:firstLine="360"/>
        <w:divId w:val="1542354993"/>
        <w:rPr>
          <w:rFonts w:eastAsia="Times New Roman"/>
        </w:rPr>
      </w:pPr>
      <w:r>
        <w:rPr>
          <w:rFonts w:eastAsia="Times New Roman"/>
          <w:color w:val="000000"/>
          <w:sz w:val="20"/>
          <w:szCs w:val="20"/>
        </w:rPr>
        <w:t>There were no significant restricted stock units, stock options or performance stock units awarded during the quarter ended September 30, 2022. Awards granted to participants under L3Harris SIPs during the three quarters ended September 30, 20</w:t>
      </w:r>
      <w:r>
        <w:rPr>
          <w:rFonts w:eastAsia="Times New Roman"/>
          <w:color w:val="000000"/>
          <w:sz w:val="20"/>
          <w:szCs w:val="20"/>
        </w:rPr>
        <w:t xml:space="preserve">22 consisted of 0.4 million stock options, 0.2 million performance stock units and 0.3 million restricted stock units. During fiscal 2022, the majority of the options and units were granted on February 25, 2022. The fair value as of the grant date of each </w:t>
      </w:r>
      <w:r>
        <w:rPr>
          <w:rFonts w:eastAsia="Times New Roman"/>
          <w:color w:val="000000"/>
          <w:sz w:val="20"/>
          <w:szCs w:val="20"/>
        </w:rPr>
        <w:t>stock option award was determined using the Black-Scholes-Merton option-pricing model and the following assumptions: expected dividend yield of 1.92%; expected volatility of 29.11%; risk-free interest rates averaging 1.86%; and expected term of 5.02 years.</w:t>
      </w:r>
      <w:r>
        <w:rPr>
          <w:rFonts w:eastAsia="Times New Roman"/>
          <w:color w:val="000000"/>
          <w:sz w:val="20"/>
          <w:szCs w:val="20"/>
        </w:rPr>
        <w:t xml:space="preserve"> The fair value as of the grant date of each restricted stock unit award was based on the closing price of our common stock on the grant date. The fair value as of the grant date of each performance stock unit award was determined based on the fair value f</w:t>
      </w:r>
      <w:r>
        <w:rPr>
          <w:rFonts w:eastAsia="Times New Roman"/>
          <w:color w:val="000000"/>
          <w:sz w:val="20"/>
          <w:szCs w:val="20"/>
        </w:rPr>
        <w:t>rom a multifactor Monte Carlo valuation model that simulates our stock price and total shareholder return (“TSR”) relative to other companies in the S&amp;P 500, less a discount to reflect the delay in payments of cash dividend-equivalents that are made only u</w:t>
      </w:r>
      <w:r>
        <w:rPr>
          <w:rFonts w:eastAsia="Times New Roman"/>
          <w:color w:val="000000"/>
          <w:sz w:val="20"/>
          <w:szCs w:val="20"/>
        </w:rPr>
        <w:t>pon vesting. The fair value of these awards is amortized to compensation expense over the performance period if achievement of the performance measures is considered probable.</w:t>
      </w:r>
    </w:p>
    <w:p w:rsidR="00000000" w:rsidRDefault="00C9777F">
      <w:pPr>
        <w:ind w:firstLine="360"/>
        <w:divId w:val="419987225"/>
        <w:rPr>
          <w:rFonts w:eastAsia="Times New Roman"/>
        </w:rPr>
      </w:pPr>
      <w:r>
        <w:rPr>
          <w:rFonts w:eastAsia="Times New Roman"/>
          <w:color w:val="000000"/>
          <w:sz w:val="20"/>
          <w:szCs w:val="20"/>
        </w:rPr>
        <w:t xml:space="preserve">See </w:t>
      </w:r>
      <w:r>
        <w:rPr>
          <w:rFonts w:eastAsia="Times New Roman"/>
          <w:i/>
          <w:iCs/>
          <w:color w:val="000000"/>
          <w:sz w:val="20"/>
          <w:szCs w:val="20"/>
        </w:rPr>
        <w:t>Note 15: Stock Options and Other Share-Based Compensation</w:t>
      </w:r>
      <w:r>
        <w:rPr>
          <w:rFonts w:eastAsia="Times New Roman"/>
          <w:color w:val="000000"/>
          <w:sz w:val="20"/>
          <w:szCs w:val="20"/>
        </w:rPr>
        <w:t xml:space="preserve"> in the Notes to Co</w:t>
      </w:r>
      <w:r>
        <w:rPr>
          <w:rFonts w:eastAsia="Times New Roman"/>
          <w:color w:val="000000"/>
          <w:sz w:val="20"/>
          <w:szCs w:val="20"/>
        </w:rPr>
        <w:t xml:space="preserve">nsolidated Financial Statements in our Fiscal 2021 Form 10-K for additional information regarding L3Harris SIPs. </w:t>
      </w:r>
    </w:p>
    <w:p w:rsidR="00000000" w:rsidRDefault="00C9777F">
      <w:pPr>
        <w:ind w:firstLine="360"/>
        <w:jc w:val="center"/>
        <w:divId w:val="344021486"/>
        <w:rPr>
          <w:rFonts w:eastAsia="Times New Roman"/>
        </w:rPr>
      </w:pPr>
      <w:r>
        <w:rPr>
          <w:rFonts w:eastAsia="Times New Roman"/>
          <w:color w:val="000000"/>
          <w:sz w:val="20"/>
          <w:szCs w:val="20"/>
        </w:rPr>
        <w:t>8</w:t>
      </w:r>
    </w:p>
    <w:p w:rsidR="00000000" w:rsidRDefault="00C9777F">
      <w:pPr>
        <w:rPr>
          <w:rFonts w:eastAsia="Times New Roman"/>
        </w:rPr>
      </w:pPr>
      <w:r>
        <w:rPr>
          <w:rFonts w:eastAsia="Times New Roman"/>
        </w:rPr>
        <w:pict>
          <v:rect id="_x0000_i1035" style="width:0;height:1.5pt" o:hralign="center" o:hrstd="t" o:hr="t" fillcolor="#a0a0a0" stroked="f"/>
        </w:pict>
      </w:r>
    </w:p>
    <w:p w:rsidR="00000000" w:rsidRDefault="00C9777F">
      <w:pPr>
        <w:ind w:firstLine="360"/>
        <w:divId w:val="277372505"/>
        <w:rPr>
          <w:rFonts w:eastAsia="Times New Roman"/>
        </w:rPr>
      </w:pPr>
    </w:p>
    <w:p w:rsidR="00000000" w:rsidRDefault="00C9777F">
      <w:pPr>
        <w:divId w:val="1723560563"/>
        <w:rPr>
          <w:rFonts w:eastAsia="Times New Roman"/>
        </w:rPr>
      </w:pPr>
      <w:r>
        <w:rPr>
          <w:rFonts w:eastAsia="Times New Roman"/>
          <w:b/>
          <w:bCs/>
          <w:color w:val="000000"/>
          <w:sz w:val="20"/>
          <w:szCs w:val="20"/>
        </w:rPr>
        <w:t>NOTE D— ACCUMULATED OTHER COMPREHENSIVE INCOME (LOSS) (“AOCI”)</w:t>
      </w:r>
      <w:r>
        <w:rPr>
          <w:rFonts w:eastAsia="Times New Roman"/>
          <w:b/>
          <w:bCs/>
          <w:i/>
          <w:iCs/>
          <w:color w:val="000000"/>
          <w:sz w:val="20"/>
          <w:szCs w:val="20"/>
        </w:rPr>
        <w:t xml:space="preserve"> </w:t>
      </w:r>
    </w:p>
    <w:p w:rsidR="00000000" w:rsidRDefault="00C9777F">
      <w:pPr>
        <w:ind w:firstLine="360"/>
        <w:divId w:val="1509176121"/>
        <w:rPr>
          <w:rFonts w:eastAsia="Times New Roman"/>
        </w:rPr>
      </w:pPr>
      <w:r>
        <w:rPr>
          <w:rFonts w:eastAsia="Times New Roman"/>
          <w:color w:val="000000"/>
          <w:sz w:val="20"/>
          <w:szCs w:val="20"/>
        </w:rPr>
        <w:t xml:space="preserve">The components of AOCI are summarized </w:t>
      </w:r>
      <w:r>
        <w:rPr>
          <w:rFonts w:eastAsia="Times New Roman"/>
          <w:color w:val="000000"/>
          <w:sz w:val="20"/>
          <w:szCs w:val="20"/>
        </w:rPr>
        <w:t>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853"/>
        <w:gridCol w:w="37"/>
        <w:gridCol w:w="121"/>
        <w:gridCol w:w="850"/>
        <w:gridCol w:w="36"/>
        <w:gridCol w:w="36"/>
        <w:gridCol w:w="36"/>
        <w:gridCol w:w="36"/>
        <w:gridCol w:w="121"/>
        <w:gridCol w:w="850"/>
        <w:gridCol w:w="36"/>
        <w:gridCol w:w="36"/>
        <w:gridCol w:w="36"/>
        <w:gridCol w:w="36"/>
        <w:gridCol w:w="121"/>
        <w:gridCol w:w="960"/>
        <w:gridCol w:w="36"/>
        <w:gridCol w:w="36"/>
        <w:gridCol w:w="36"/>
        <w:gridCol w:w="36"/>
        <w:gridCol w:w="120"/>
        <w:gridCol w:w="766"/>
        <w:gridCol w:w="36"/>
      </w:tblGrid>
      <w:tr w:rsidR="00000000">
        <w:trPr>
          <w:divId w:val="300883568"/>
        </w:trPr>
        <w:tc>
          <w:tcPr>
            <w:tcW w:w="50" w:type="pct"/>
            <w:vAlign w:val="center"/>
            <w:hideMark/>
          </w:tcPr>
          <w:p w:rsidR="00000000" w:rsidRDefault="00C9777F">
            <w:pPr>
              <w:ind w:firstLine="360"/>
              <w:rPr>
                <w:rFonts w:eastAsia="Times New Roman"/>
              </w:rPr>
            </w:pPr>
          </w:p>
        </w:tc>
        <w:tc>
          <w:tcPr>
            <w:tcW w:w="240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 AOCI</w:t>
            </w:r>
          </w:p>
        </w:tc>
      </w:tr>
      <w:tr w:rsidR="00000000">
        <w:trPr>
          <w:divId w:val="300883568"/>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shd w:val="clear" w:color="auto" w:fill="FFFFFF"/>
            <w:tcMar>
              <w:top w:w="30" w:type="dxa"/>
              <w:left w:w="335" w:type="dxa"/>
              <w:bottom w:w="30" w:type="dxa"/>
              <w:right w:w="20" w:type="dxa"/>
            </w:tcMar>
            <w:vAlign w:val="bottom"/>
            <w:hideMark/>
          </w:tcPr>
          <w:p w:rsidR="00000000" w:rsidRDefault="00C9777F">
            <w:pPr>
              <w:spacing w:after="100"/>
              <w:ind w:hanging="18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hanging="180"/>
              <w:divId w:val="662851484"/>
              <w:rPr>
                <w:rFonts w:eastAsia="Times New Roman"/>
              </w:rPr>
            </w:pPr>
            <w:r>
              <w:rPr>
                <w:rFonts w:eastAsia="Times New Roman"/>
                <w:color w:val="000000"/>
                <w:sz w:val="20"/>
                <w:szCs w:val="20"/>
              </w:rPr>
              <w:t>Losses (gains) reclassified to earnings, net of income taxe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shd w:val="clear" w:color="auto" w:fill="FFFFFF"/>
            <w:tcMar>
              <w:top w:w="30" w:type="dxa"/>
              <w:left w:w="200" w:type="dxa"/>
              <w:bottom w:w="30" w:type="dxa"/>
              <w:right w:w="20" w:type="dxa"/>
            </w:tcMar>
            <w:vAlign w:val="bottom"/>
            <w:hideMark/>
          </w:tcPr>
          <w:p w:rsidR="00000000" w:rsidRDefault="00C9777F">
            <w:pPr>
              <w:spacing w:after="100"/>
              <w:ind w:hanging="180"/>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September 30, 2022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Height w:val="28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ind w:hanging="180"/>
              <w:divId w:val="996690590"/>
              <w:rPr>
                <w:rFonts w:eastAsia="Times New Roman"/>
              </w:rPr>
            </w:pPr>
            <w:r>
              <w:rPr>
                <w:rFonts w:eastAsia="Times New Roman"/>
                <w:color w:val="000000"/>
                <w:sz w:val="20"/>
                <w:szCs w:val="20"/>
              </w:rPr>
              <w:t>Other comprehensive (loss) income before reclassifications to earnings, net of income taxe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30088356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hanging="180"/>
              <w:divId w:val="555240420"/>
              <w:rPr>
                <w:rFonts w:eastAsia="Times New Roman"/>
              </w:rPr>
            </w:pPr>
            <w:r>
              <w:rPr>
                <w:rFonts w:eastAsia="Times New Roman"/>
                <w:color w:val="000000"/>
                <w:sz w:val="20"/>
                <w:szCs w:val="20"/>
              </w:rPr>
              <w:t>Losses (gains) reclassified to earnings, net of income taxe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shd w:val="clear" w:color="auto" w:fill="FFFFFF"/>
            <w:tcMar>
              <w:top w:w="30" w:type="dxa"/>
              <w:left w:w="200" w:type="dxa"/>
              <w:bottom w:w="30" w:type="dxa"/>
              <w:right w:w="20" w:type="dxa"/>
            </w:tcMar>
            <w:vAlign w:val="bottom"/>
            <w:hideMark/>
          </w:tcPr>
          <w:p w:rsidR="00000000" w:rsidRDefault="00C9777F">
            <w:pPr>
              <w:spacing w:after="100"/>
              <w:ind w:hanging="180"/>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30088356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Balance at October 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(94)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(303)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hanging="360"/>
        <w:divId w:val="784925585"/>
        <w:rPr>
          <w:rFonts w:eastAsia="Times New Roman"/>
        </w:rPr>
      </w:pPr>
      <w:r>
        <w:rPr>
          <w:rFonts w:eastAsia="Times New Roman"/>
          <w:color w:val="000000"/>
          <w:sz w:val="16"/>
          <w:szCs w:val="16"/>
        </w:rPr>
        <w:t>_______________</w:t>
      </w:r>
    </w:p>
    <w:p w:rsidR="00000000" w:rsidRDefault="00C9777F">
      <w:pPr>
        <w:ind w:hanging="360"/>
        <w:divId w:val="1327586529"/>
        <w:rPr>
          <w:rFonts w:eastAsia="Times New Roman"/>
        </w:rPr>
      </w:pPr>
      <w:r>
        <w:rPr>
          <w:rFonts w:eastAsia="Times New Roman"/>
          <w:color w:val="000000"/>
          <w:sz w:val="16"/>
          <w:szCs w:val="16"/>
        </w:rPr>
        <w:t>(1)Losses (gains) reclassified to earnings are included in the “Revenue from product sales and services,” “Business divestiture-related gains, net,” “Interes</w:t>
      </w:r>
      <w:r>
        <w:rPr>
          <w:rFonts w:eastAsia="Times New Roman"/>
          <w:color w:val="000000"/>
          <w:sz w:val="16"/>
          <w:szCs w:val="16"/>
        </w:rPr>
        <w:t>t expense, net” and “Non-operating income, net</w:t>
      </w:r>
      <w:r>
        <w:rPr>
          <w:rFonts w:eastAsia="Times New Roman"/>
          <w:color w:val="000000"/>
          <w:sz w:val="20"/>
          <w:szCs w:val="20"/>
        </w:rPr>
        <w:t>”</w:t>
      </w:r>
      <w:r>
        <w:rPr>
          <w:rFonts w:eastAsia="Times New Roman"/>
          <w:color w:val="000000"/>
          <w:sz w:val="16"/>
          <w:szCs w:val="16"/>
        </w:rPr>
        <w:t xml:space="preserve"> line items in our Condensed Consolidated Statement of Operations (Unaudited).</w:t>
      </w:r>
    </w:p>
    <w:p w:rsidR="00000000" w:rsidRDefault="00C9777F">
      <w:pPr>
        <w:ind w:hanging="360"/>
        <w:divId w:val="1089935359"/>
        <w:rPr>
          <w:rFonts w:eastAsia="Times New Roman"/>
        </w:rPr>
      </w:pPr>
      <w:r>
        <w:rPr>
          <w:rFonts w:eastAsia="Times New Roman"/>
          <w:color w:val="000000"/>
          <w:sz w:val="16"/>
          <w:szCs w:val="16"/>
        </w:rPr>
        <w:t>(2)</w:t>
      </w:r>
      <w:r>
        <w:rPr>
          <w:rFonts w:eastAsia="Times New Roman"/>
          <w:color w:val="000000"/>
          <w:sz w:val="16"/>
          <w:szCs w:val="16"/>
        </w:rPr>
        <w:t xml:space="preserve">Other comprehensive income before reclassifications to earnings, net of income taxes, for the quarter and three quarters ended October 1, 2021 includes remeasurement of funded status of pension plans after the purchases of group annuity policies. See </w:t>
      </w:r>
      <w:r>
        <w:rPr>
          <w:rFonts w:eastAsia="Times New Roman"/>
          <w:i/>
          <w:iCs/>
          <w:color w:val="000000"/>
          <w:sz w:val="16"/>
          <w:szCs w:val="16"/>
        </w:rPr>
        <w:t xml:space="preserve">Note </w:t>
      </w:r>
      <w:r>
        <w:rPr>
          <w:rFonts w:eastAsia="Times New Roman"/>
          <w:i/>
          <w:iCs/>
          <w:color w:val="000000"/>
          <w:sz w:val="16"/>
          <w:szCs w:val="16"/>
        </w:rPr>
        <w:t>L — Postretirement Benefit Plans</w:t>
      </w:r>
      <w:r>
        <w:rPr>
          <w:rFonts w:eastAsia="Times New Roman"/>
          <w:color w:val="000000"/>
          <w:sz w:val="16"/>
          <w:szCs w:val="16"/>
        </w:rPr>
        <w:t xml:space="preserve"> in these Notes for further information.</w:t>
      </w:r>
    </w:p>
    <w:p w:rsidR="00000000" w:rsidRDefault="00C9777F">
      <w:pPr>
        <w:divId w:val="289171988"/>
        <w:rPr>
          <w:rFonts w:eastAsia="Times New Roman"/>
        </w:rPr>
      </w:pPr>
      <w:r>
        <w:rPr>
          <w:rFonts w:eastAsia="Times New Roman"/>
          <w:b/>
          <w:bCs/>
          <w:color w:val="000000"/>
          <w:sz w:val="20"/>
          <w:szCs w:val="20"/>
        </w:rPr>
        <w:t>NOTE E— RECEIVABLES, NET</w:t>
      </w:r>
    </w:p>
    <w:p w:rsidR="00000000" w:rsidRDefault="00C9777F">
      <w:pPr>
        <w:ind w:firstLine="360"/>
        <w:divId w:val="895169545"/>
        <w:rPr>
          <w:rFonts w:eastAsia="Times New Roman"/>
        </w:rPr>
      </w:pPr>
      <w:r>
        <w:rPr>
          <w:rFonts w:eastAsia="Times New Roman"/>
          <w:color w:val="000000"/>
          <w:sz w:val="20"/>
          <w:szCs w:val="20"/>
        </w:rPr>
        <w:t>Receivables,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7"/>
        <w:gridCol w:w="121"/>
        <w:gridCol w:w="1046"/>
        <w:gridCol w:w="36"/>
        <w:gridCol w:w="36"/>
        <w:gridCol w:w="36"/>
        <w:gridCol w:w="36"/>
        <w:gridCol w:w="121"/>
        <w:gridCol w:w="1047"/>
        <w:gridCol w:w="36"/>
      </w:tblGrid>
      <w:tr w:rsidR="00000000">
        <w:trPr>
          <w:divId w:val="1109159781"/>
        </w:trPr>
        <w:tc>
          <w:tcPr>
            <w:tcW w:w="50" w:type="pct"/>
            <w:vAlign w:val="center"/>
            <w:hideMark/>
          </w:tcPr>
          <w:p w:rsidR="00000000" w:rsidRDefault="00C9777F">
            <w:pPr>
              <w:ind w:firstLine="360"/>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109159781"/>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r>
      <w:tr w:rsidR="00000000">
        <w:trPr>
          <w:divId w:val="1109159781"/>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109159781"/>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1,175 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1,088 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09159781"/>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Less: allowances for collection losses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09159781"/>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firstLine="360"/>
        <w:divId w:val="552622217"/>
        <w:rPr>
          <w:rFonts w:eastAsia="Times New Roman"/>
        </w:rPr>
      </w:pPr>
      <w:r>
        <w:rPr>
          <w:rFonts w:eastAsia="Times New Roman"/>
          <w:color w:val="000000"/>
          <w:sz w:val="20"/>
          <w:szCs w:val="20"/>
        </w:rPr>
        <w:t>We have two receivables sale agreements (“RSAs”</w:t>
      </w:r>
      <w:r>
        <w:rPr>
          <w:rFonts w:eastAsia="Times New Roman"/>
          <w:color w:val="000000"/>
          <w:sz w:val="20"/>
          <w:szCs w:val="20"/>
        </w:rPr>
        <w:t>) with two separate third-party financial institutions that permit us to sell, on a non-recourse basis, up to $100 million of outstanding receivables per agreement at any given time. From time to time, we have sold certain customer receivables under the RS</w:t>
      </w:r>
      <w:r>
        <w:rPr>
          <w:rFonts w:eastAsia="Times New Roman"/>
          <w:color w:val="000000"/>
          <w:sz w:val="20"/>
          <w:szCs w:val="20"/>
        </w:rPr>
        <w:t>As, which we continue to service and collect on behalf of the third-party financial institutions and which we account for as sales of receivables with sale proceeds included in net cash provided by operating activities. We did not have outstanding accounts</w:t>
      </w:r>
      <w:r>
        <w:rPr>
          <w:rFonts w:eastAsia="Times New Roman"/>
          <w:color w:val="000000"/>
          <w:sz w:val="20"/>
          <w:szCs w:val="20"/>
        </w:rPr>
        <w:t xml:space="preserve"> receivable sold pursuant to the RSAs at September 30, 2022. Outstanding accounts receivable sold pursuant to the RSAs were $99.9 million at December 31, 2021, with net cash proceeds of $99.8 million.</w:t>
      </w:r>
    </w:p>
    <w:p w:rsidR="00000000" w:rsidRDefault="00C9777F">
      <w:pPr>
        <w:divId w:val="313721948"/>
        <w:rPr>
          <w:rFonts w:eastAsia="Times New Roman"/>
        </w:rPr>
      </w:pPr>
      <w:r>
        <w:rPr>
          <w:rFonts w:eastAsia="Times New Roman"/>
          <w:b/>
          <w:bCs/>
          <w:color w:val="000000"/>
          <w:sz w:val="20"/>
          <w:szCs w:val="20"/>
        </w:rPr>
        <w:t>NOTE F— CONTRACT ASSETS AND CONTRACT LIABILITIES</w:t>
      </w:r>
      <w:r>
        <w:rPr>
          <w:rFonts w:eastAsia="Times New Roman"/>
          <w:b/>
          <w:bCs/>
          <w:i/>
          <w:iCs/>
          <w:color w:val="000000"/>
          <w:sz w:val="20"/>
          <w:szCs w:val="20"/>
        </w:rPr>
        <w:t xml:space="preserve"> </w:t>
      </w:r>
    </w:p>
    <w:p w:rsidR="00000000" w:rsidRDefault="00C9777F">
      <w:pPr>
        <w:ind w:firstLine="360"/>
        <w:divId w:val="1503348833"/>
        <w:rPr>
          <w:rFonts w:eastAsia="Times New Roman"/>
        </w:rPr>
      </w:pPr>
      <w:r>
        <w:rPr>
          <w:rFonts w:eastAsia="Times New Roman"/>
          <w:color w:val="000000"/>
          <w:sz w:val="20"/>
          <w:szCs w:val="20"/>
        </w:rPr>
        <w:t>Contract assets include unbilled amounts typically resulting from revenue recognized exceeding amounts billed to customers for contracts utilizing the percentage of completion (“POC”) cost-to-cost revenue recognition method. We bill customers as work progr</w:t>
      </w:r>
      <w:r>
        <w:rPr>
          <w:rFonts w:eastAsia="Times New Roman"/>
          <w:color w:val="000000"/>
          <w:sz w:val="20"/>
          <w:szCs w:val="20"/>
        </w:rPr>
        <w:t>esses in accordance with agreed-upon contractual terms, either at periodic intervals, upon achievement of contractual milestones or upon deliveries and, in certain arrangements, the customer may withhold payment of a small portion of the contract price unt</w:t>
      </w:r>
      <w:r>
        <w:rPr>
          <w:rFonts w:eastAsia="Times New Roman"/>
          <w:color w:val="000000"/>
          <w:sz w:val="20"/>
          <w:szCs w:val="20"/>
        </w:rPr>
        <w:t>il contract completion. Contract liabilities include advance payments and billings in excess of revenue recognized, including deferred revenue associated with extended product warranties. Contract assets and liabilities are reported on a contract-by-contra</w:t>
      </w:r>
      <w:r>
        <w:rPr>
          <w:rFonts w:eastAsia="Times New Roman"/>
          <w:color w:val="000000"/>
          <w:sz w:val="20"/>
          <w:szCs w:val="20"/>
        </w:rPr>
        <w:t xml:space="preserve">ct basis at the end of each reporting period. </w:t>
      </w:r>
    </w:p>
    <w:p w:rsidR="00000000" w:rsidRDefault="00C9777F">
      <w:pPr>
        <w:ind w:firstLine="360"/>
        <w:divId w:val="1343387453"/>
        <w:rPr>
          <w:rFonts w:eastAsia="Times New Roman"/>
        </w:rPr>
      </w:pPr>
      <w:r>
        <w:rPr>
          <w:rFonts w:eastAsia="Times New Roman"/>
          <w:color w:val="000000"/>
          <w:sz w:val="20"/>
          <w:szCs w:val="20"/>
        </w:rPr>
        <w:t xml:space="preserve">Contract assets and liabilities in the three quarters ended September 30, 2022 were impacted primarily by the timing of contractual billing milestones. </w:t>
      </w:r>
    </w:p>
    <w:p w:rsidR="00000000" w:rsidRDefault="00C9777F">
      <w:pPr>
        <w:ind w:firstLine="360"/>
        <w:jc w:val="both"/>
        <w:divId w:val="430856400"/>
        <w:rPr>
          <w:rFonts w:eastAsia="Times New Roman"/>
        </w:rPr>
      </w:pPr>
      <w:r>
        <w:rPr>
          <w:rFonts w:eastAsia="Times New Roman"/>
          <w:color w:val="00000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1"/>
        <w:gridCol w:w="1046"/>
        <w:gridCol w:w="36"/>
        <w:gridCol w:w="36"/>
        <w:gridCol w:w="36"/>
        <w:gridCol w:w="36"/>
        <w:gridCol w:w="121"/>
        <w:gridCol w:w="1046"/>
        <w:gridCol w:w="36"/>
      </w:tblGrid>
      <w:tr w:rsidR="00000000">
        <w:trPr>
          <w:divId w:val="921331893"/>
        </w:trPr>
        <w:tc>
          <w:tcPr>
            <w:tcW w:w="50" w:type="pct"/>
            <w:vAlign w:val="center"/>
            <w:hideMark/>
          </w:tcPr>
          <w:p w:rsidR="00000000" w:rsidRDefault="00C9777F">
            <w:pPr>
              <w:ind w:firstLine="360"/>
              <w:jc w:val="both"/>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921331893"/>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r>
      <w:tr w:rsidR="00000000">
        <w:trPr>
          <w:divId w:val="921331893"/>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921331893"/>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3,135 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921331893"/>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(1,158)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(1,297)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921331893"/>
        </w:trPr>
        <w:tc>
          <w:tcPr>
            <w:tcW w:w="0" w:type="auto"/>
            <w:gridSpan w:val="3"/>
            <w:shd w:val="clear" w:color="auto" w:fill="CCEEFF"/>
            <w:tcMar>
              <w:top w:w="30" w:type="dxa"/>
              <w:left w:w="20" w:type="dxa"/>
              <w:bottom w:w="30" w:type="dxa"/>
              <w:right w:w="20" w:type="dxa"/>
            </w:tcMar>
            <w:hideMark/>
          </w:tcPr>
          <w:p w:rsidR="00000000" w:rsidRDefault="00C9777F">
            <w:pPr>
              <w:spacing w:after="100"/>
              <w:divId w:val="986124633"/>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921331893"/>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hanging="360"/>
        <w:divId w:val="214584061"/>
        <w:rPr>
          <w:rFonts w:eastAsia="Times New Roman"/>
        </w:rPr>
      </w:pPr>
      <w:r>
        <w:rPr>
          <w:rFonts w:eastAsia="Times New Roman"/>
          <w:color w:val="000000"/>
          <w:sz w:val="16"/>
          <w:szCs w:val="16"/>
        </w:rPr>
        <w:t>_______________</w:t>
      </w:r>
    </w:p>
    <w:p w:rsidR="00000000" w:rsidRDefault="00C9777F">
      <w:pPr>
        <w:ind w:hanging="360"/>
        <w:divId w:val="1607688979"/>
        <w:rPr>
          <w:rFonts w:eastAsia="Times New Roman"/>
        </w:rPr>
      </w:pPr>
      <w:r>
        <w:rPr>
          <w:rFonts w:eastAsia="Times New Roman"/>
          <w:color w:val="000000"/>
          <w:sz w:val="16"/>
          <w:szCs w:val="16"/>
        </w:rPr>
        <w:t>(1)</w:t>
      </w:r>
      <w:r>
        <w:rPr>
          <w:rFonts w:eastAsia="Times New Roman"/>
          <w:color w:val="000000"/>
          <w:sz w:val="16"/>
          <w:szCs w:val="16"/>
        </w:rPr>
        <w:t>The non-current portion of contract liabilities is included as a component of the “Other long-term liabilities” line item in our Condensed Consolidated Balance Sheet (Unaudited).</w:t>
      </w:r>
    </w:p>
    <w:p w:rsidR="00000000" w:rsidRDefault="00C9777F">
      <w:pPr>
        <w:ind w:firstLine="360"/>
        <w:jc w:val="both"/>
        <w:divId w:val="2135362781"/>
        <w:rPr>
          <w:rFonts w:eastAsia="Times New Roman"/>
        </w:rPr>
      </w:pPr>
      <w:r>
        <w:rPr>
          <w:rFonts w:eastAsia="Times New Roman"/>
          <w:color w:val="00000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62"/>
        <w:gridCol w:w="37"/>
        <w:gridCol w:w="121"/>
        <w:gridCol w:w="1037"/>
        <w:gridCol w:w="36"/>
        <w:gridCol w:w="36"/>
        <w:gridCol w:w="36"/>
        <w:gridCol w:w="36"/>
        <w:gridCol w:w="121"/>
        <w:gridCol w:w="1037"/>
        <w:gridCol w:w="36"/>
        <w:gridCol w:w="36"/>
        <w:gridCol w:w="36"/>
      </w:tblGrid>
      <w:tr w:rsidR="00000000">
        <w:trPr>
          <w:divId w:val="313918476"/>
        </w:trPr>
        <w:tc>
          <w:tcPr>
            <w:tcW w:w="50" w:type="pct"/>
            <w:vAlign w:val="center"/>
            <w:hideMark/>
          </w:tcPr>
          <w:p w:rsidR="00000000" w:rsidRDefault="00C9777F">
            <w:pPr>
              <w:ind w:firstLine="360"/>
              <w:jc w:val="both"/>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313918476"/>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r>
      <w:tr w:rsidR="00000000">
        <w:trPr>
          <w:divId w:val="313918476"/>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313918476"/>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4,737 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4,921 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313918476"/>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(1,602)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(1,900)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313918476"/>
        </w:trPr>
        <w:tc>
          <w:tcPr>
            <w:tcW w:w="0" w:type="auto"/>
            <w:gridSpan w:val="3"/>
            <w:shd w:val="clear" w:color="auto" w:fill="CCEE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ind w:firstLine="360"/>
        <w:divId w:val="1470438605"/>
        <w:rPr>
          <w:rFonts w:eastAsia="Times New Roman"/>
        </w:rPr>
      </w:pPr>
      <w:r>
        <w:rPr>
          <w:rFonts w:eastAsia="Times New Roman"/>
          <w:color w:val="000000"/>
          <w:sz w:val="20"/>
          <w:szCs w:val="20"/>
        </w:rPr>
        <w:t>Contract liabilities recognized as revenue that were outstanding at the end of the prior fiscal year were $196 million and $967 million for the quarter and three quarters ended September 30, 2022, respectively, and $94 million and $821 million for the quar</w:t>
      </w:r>
      <w:r>
        <w:rPr>
          <w:rFonts w:eastAsia="Times New Roman"/>
          <w:color w:val="000000"/>
          <w:sz w:val="20"/>
          <w:szCs w:val="20"/>
        </w:rPr>
        <w:t>ter and three quarters ended October 1, 2021, respectively.</w:t>
      </w:r>
    </w:p>
    <w:p w:rsidR="00000000" w:rsidRDefault="00C9777F">
      <w:pPr>
        <w:divId w:val="1709211384"/>
        <w:rPr>
          <w:rFonts w:eastAsia="Times New Roman"/>
        </w:rPr>
      </w:pPr>
      <w:r>
        <w:rPr>
          <w:rFonts w:eastAsia="Times New Roman"/>
          <w:b/>
          <w:bCs/>
          <w:color w:val="000000"/>
          <w:sz w:val="20"/>
          <w:szCs w:val="20"/>
        </w:rPr>
        <w:t>NOTE G— INVENTORIES</w:t>
      </w:r>
      <w:r>
        <w:rPr>
          <w:rFonts w:eastAsia="Times New Roman"/>
          <w:b/>
          <w:bCs/>
          <w:i/>
          <w:iCs/>
          <w:color w:val="000000"/>
          <w:sz w:val="20"/>
          <w:szCs w:val="20"/>
        </w:rPr>
        <w:t xml:space="preserve"> </w:t>
      </w:r>
    </w:p>
    <w:p w:rsidR="00000000" w:rsidRDefault="00C9777F">
      <w:pPr>
        <w:ind w:firstLine="360"/>
        <w:divId w:val="582035630"/>
        <w:rPr>
          <w:rFonts w:eastAsia="Times New Roman"/>
        </w:rPr>
      </w:pPr>
      <w:r>
        <w:rPr>
          <w:rFonts w:eastAsia="Times New Roman"/>
          <w:color w:val="00000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1"/>
        <w:gridCol w:w="1046"/>
        <w:gridCol w:w="36"/>
        <w:gridCol w:w="36"/>
        <w:gridCol w:w="36"/>
        <w:gridCol w:w="36"/>
        <w:gridCol w:w="121"/>
        <w:gridCol w:w="1046"/>
        <w:gridCol w:w="36"/>
      </w:tblGrid>
      <w:tr w:rsidR="00000000">
        <w:trPr>
          <w:divId w:val="1662811215"/>
        </w:trPr>
        <w:tc>
          <w:tcPr>
            <w:tcW w:w="50" w:type="pct"/>
            <w:vAlign w:val="center"/>
            <w:hideMark/>
          </w:tcPr>
          <w:p w:rsidR="00000000" w:rsidRDefault="00C9777F">
            <w:pPr>
              <w:ind w:firstLine="360"/>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662811215"/>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r>
      <w:tr w:rsidR="00000000">
        <w:trPr>
          <w:divId w:val="1662811215"/>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662811215"/>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62811215"/>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62811215"/>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684 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662811215"/>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divId w:val="313948106"/>
        <w:rPr>
          <w:rFonts w:eastAsia="Times New Roman"/>
        </w:rPr>
      </w:pPr>
      <w:r>
        <w:rPr>
          <w:rFonts w:eastAsia="Times New Roman"/>
          <w:b/>
          <w:bCs/>
          <w:color w:val="000000"/>
          <w:sz w:val="20"/>
          <w:szCs w:val="20"/>
        </w:rPr>
        <w:t>NOTE H— PROPERTY, PLANT AND EQUIPMENT, NET</w:t>
      </w:r>
      <w:r>
        <w:rPr>
          <w:rFonts w:eastAsia="Times New Roman"/>
          <w:b/>
          <w:bCs/>
          <w:i/>
          <w:iCs/>
          <w:color w:val="000000"/>
          <w:sz w:val="20"/>
          <w:szCs w:val="20"/>
        </w:rPr>
        <w:t xml:space="preserve"> </w:t>
      </w:r>
    </w:p>
    <w:p w:rsidR="00000000" w:rsidRDefault="00C9777F">
      <w:pPr>
        <w:ind w:firstLine="360"/>
        <w:divId w:val="1062362417"/>
        <w:rPr>
          <w:rFonts w:eastAsia="Times New Roman"/>
        </w:rPr>
      </w:pPr>
      <w:r>
        <w:rPr>
          <w:rFonts w:eastAsia="Times New Roman"/>
          <w:color w:val="000000"/>
          <w:sz w:val="20"/>
          <w:szCs w:val="20"/>
        </w:rPr>
        <w:t>Property, plant and equipment,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662"/>
        <w:gridCol w:w="37"/>
        <w:gridCol w:w="121"/>
        <w:gridCol w:w="1037"/>
        <w:gridCol w:w="36"/>
        <w:gridCol w:w="36"/>
        <w:gridCol w:w="36"/>
        <w:gridCol w:w="36"/>
        <w:gridCol w:w="121"/>
        <w:gridCol w:w="1037"/>
        <w:gridCol w:w="36"/>
        <w:gridCol w:w="36"/>
        <w:gridCol w:w="36"/>
      </w:tblGrid>
      <w:tr w:rsidR="00000000">
        <w:trPr>
          <w:divId w:val="1062362417"/>
        </w:trPr>
        <w:tc>
          <w:tcPr>
            <w:tcW w:w="50" w:type="pct"/>
            <w:vAlign w:val="center"/>
            <w:hideMark/>
          </w:tcPr>
          <w:p w:rsidR="00000000" w:rsidRDefault="00C9777F">
            <w:pPr>
              <w:ind w:firstLine="360"/>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r>
      <w:tr w:rsidR="00000000">
        <w:trPr>
          <w:divId w:val="1062362417"/>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1,240 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2,249 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2,177 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(2,150)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(1,967)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062362417"/>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ind w:firstLine="360"/>
        <w:divId w:val="934822193"/>
        <w:rPr>
          <w:rFonts w:eastAsia="Times New Roman"/>
        </w:rPr>
      </w:pPr>
      <w:r>
        <w:rPr>
          <w:rFonts w:eastAsia="Times New Roman"/>
          <w:color w:val="000000"/>
          <w:sz w:val="20"/>
          <w:szCs w:val="20"/>
        </w:rPr>
        <w:t>Depreciation and amortization expense related to property, plant and equipment was $84 million and $250 million for the quarter and three quarters ended September 30, 2022, respectively, and $85 million and $249 million for the quarter and three quarters e</w:t>
      </w:r>
      <w:r>
        <w:rPr>
          <w:rFonts w:eastAsia="Times New Roman"/>
          <w:color w:val="000000"/>
          <w:sz w:val="20"/>
          <w:szCs w:val="20"/>
        </w:rPr>
        <w:t>nded October 1, 2021, respectively.</w:t>
      </w:r>
    </w:p>
    <w:p w:rsidR="00000000" w:rsidRDefault="00C9777F">
      <w:pPr>
        <w:ind w:firstLine="360"/>
        <w:divId w:val="184028709"/>
        <w:rPr>
          <w:rFonts w:eastAsia="Times New Roman"/>
        </w:rPr>
      </w:pPr>
      <w:r>
        <w:rPr>
          <w:rFonts w:eastAsia="Times New Roman"/>
          <w:color w:val="000000"/>
          <w:sz w:val="20"/>
          <w:szCs w:val="20"/>
        </w:rPr>
        <w:t xml:space="preserve">As discussed in more detail in </w:t>
      </w:r>
      <w:r>
        <w:rPr>
          <w:rFonts w:eastAsia="Times New Roman"/>
          <w:i/>
          <w:iCs/>
          <w:color w:val="000000"/>
          <w:sz w:val="20"/>
          <w:szCs w:val="20"/>
        </w:rPr>
        <w:t>Note I — Goodwill and Other Intangible Assets</w:t>
      </w:r>
      <w:r>
        <w:rPr>
          <w:rFonts w:eastAsia="Times New Roman"/>
          <w:color w:val="000000"/>
          <w:sz w:val="20"/>
          <w:szCs w:val="20"/>
        </w:rPr>
        <w:t xml:space="preserve"> </w:t>
      </w:r>
      <w:r>
        <w:rPr>
          <w:rFonts w:eastAsia="Times New Roman"/>
          <w:color w:val="000000"/>
          <w:sz w:val="20"/>
          <w:szCs w:val="20"/>
        </w:rPr>
        <w:t>in these Notes, in conjunction with, and in advance of, the tests of goodwill related to our Commercial Training Solutions (“CTS”) reporting unit, we recorded an $82 million non-cash impairment charge for long-lived assets, consisting of $19 million, $56 m</w:t>
      </w:r>
      <w:r>
        <w:rPr>
          <w:rFonts w:eastAsia="Times New Roman"/>
          <w:color w:val="000000"/>
          <w:sz w:val="20"/>
          <w:szCs w:val="20"/>
        </w:rPr>
        <w:t>illion and $7 million of impairment charges for right of use assets, property, plant and equipment and software, respectively, which is included in the “Impairment of goodwill and other assets” line item in our Condensed Consolidated Statement of Operation</w:t>
      </w:r>
      <w:r>
        <w:rPr>
          <w:rFonts w:eastAsia="Times New Roman"/>
          <w:color w:val="000000"/>
          <w:sz w:val="20"/>
          <w:szCs w:val="20"/>
        </w:rPr>
        <w:t>s (Unaudited) for the three quarters ended October 1, 2021.</w:t>
      </w:r>
    </w:p>
    <w:p w:rsidR="00000000" w:rsidRDefault="00C9777F">
      <w:pPr>
        <w:ind w:firstLine="360"/>
        <w:jc w:val="center"/>
        <w:divId w:val="598104427"/>
        <w:rPr>
          <w:rFonts w:eastAsia="Times New Roman"/>
        </w:rPr>
      </w:pPr>
      <w:r>
        <w:rPr>
          <w:rFonts w:eastAsia="Times New Roman"/>
          <w:color w:val="000000"/>
          <w:sz w:val="20"/>
          <w:szCs w:val="20"/>
        </w:rPr>
        <w:t>9</w:t>
      </w:r>
    </w:p>
    <w:p w:rsidR="00000000" w:rsidRDefault="00C9777F">
      <w:pPr>
        <w:rPr>
          <w:rFonts w:eastAsia="Times New Roman"/>
        </w:rPr>
      </w:pPr>
      <w:r>
        <w:rPr>
          <w:rFonts w:eastAsia="Times New Roman"/>
        </w:rPr>
        <w:pict>
          <v:rect id="_x0000_i1036" style="width:0;height:1.5pt" o:hralign="center" o:hrstd="t" o:hr="t" fillcolor="#a0a0a0" stroked="f"/>
        </w:pict>
      </w:r>
    </w:p>
    <w:p w:rsidR="00000000" w:rsidRDefault="00C9777F">
      <w:pPr>
        <w:ind w:firstLine="360"/>
        <w:divId w:val="742265015"/>
        <w:rPr>
          <w:rFonts w:eastAsia="Times New Roman"/>
        </w:rPr>
      </w:pPr>
    </w:p>
    <w:p w:rsidR="00000000" w:rsidRDefault="00C9777F">
      <w:pPr>
        <w:divId w:val="925696358"/>
        <w:rPr>
          <w:rFonts w:eastAsia="Times New Roman"/>
        </w:rPr>
      </w:pPr>
      <w:r>
        <w:rPr>
          <w:rFonts w:eastAsia="Times New Roman"/>
          <w:b/>
          <w:bCs/>
          <w:color w:val="000000"/>
          <w:sz w:val="20"/>
          <w:szCs w:val="20"/>
        </w:rPr>
        <w:t>NOTE I— GOODWILL AND OTHER INTANGIBLE ASSETS</w:t>
      </w:r>
      <w:r>
        <w:rPr>
          <w:rFonts w:eastAsia="Times New Roman"/>
          <w:b/>
          <w:bCs/>
          <w:i/>
          <w:iCs/>
          <w:color w:val="000000"/>
          <w:sz w:val="20"/>
          <w:szCs w:val="20"/>
        </w:rPr>
        <w:t xml:space="preserve"> </w:t>
      </w:r>
    </w:p>
    <w:p w:rsidR="00000000" w:rsidRDefault="00C9777F">
      <w:pPr>
        <w:ind w:firstLine="360"/>
        <w:divId w:val="549272153"/>
        <w:rPr>
          <w:rFonts w:eastAsia="Times New Roman"/>
        </w:rPr>
      </w:pPr>
      <w:r>
        <w:rPr>
          <w:rFonts w:eastAsia="Times New Roman"/>
          <w:color w:val="000000"/>
          <w:sz w:val="20"/>
          <w:szCs w:val="20"/>
        </w:rPr>
        <w:t>The assignment of goodwill by business segment, and changes in the carrying amount of goodwill by business seg</w:t>
      </w:r>
      <w:r>
        <w:rPr>
          <w:rFonts w:eastAsia="Times New Roman"/>
          <w:color w:val="000000"/>
          <w:sz w:val="20"/>
          <w:szCs w:val="20"/>
        </w:rPr>
        <w:t>ment,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902"/>
        <w:gridCol w:w="37"/>
        <w:gridCol w:w="121"/>
        <w:gridCol w:w="763"/>
        <w:gridCol w:w="36"/>
        <w:gridCol w:w="36"/>
        <w:gridCol w:w="36"/>
        <w:gridCol w:w="36"/>
        <w:gridCol w:w="121"/>
        <w:gridCol w:w="823"/>
        <w:gridCol w:w="36"/>
        <w:gridCol w:w="36"/>
        <w:gridCol w:w="36"/>
        <w:gridCol w:w="36"/>
        <w:gridCol w:w="121"/>
        <w:gridCol w:w="1036"/>
        <w:gridCol w:w="36"/>
        <w:gridCol w:w="36"/>
        <w:gridCol w:w="36"/>
        <w:gridCol w:w="36"/>
        <w:gridCol w:w="121"/>
        <w:gridCol w:w="810"/>
        <w:gridCol w:w="36"/>
        <w:gridCol w:w="36"/>
        <w:gridCol w:w="36"/>
        <w:gridCol w:w="36"/>
        <w:gridCol w:w="120"/>
        <w:gridCol w:w="680"/>
        <w:gridCol w:w="36"/>
      </w:tblGrid>
      <w:tr w:rsidR="00000000">
        <w:trPr>
          <w:divId w:val="549272153"/>
        </w:trPr>
        <w:tc>
          <w:tcPr>
            <w:tcW w:w="50" w:type="pct"/>
            <w:vAlign w:val="center"/>
            <w:hideMark/>
          </w:tcPr>
          <w:p w:rsidR="00000000" w:rsidRDefault="00C9777F">
            <w:pPr>
              <w:ind w:firstLine="360"/>
              <w:rPr>
                <w:rFonts w:eastAsia="Times New Roman"/>
              </w:rPr>
            </w:pPr>
          </w:p>
        </w:tc>
        <w:tc>
          <w:tcPr>
            <w:tcW w:w="18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3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3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8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Space &amp; Airborne Systems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Aviation System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w:t>
            </w:r>
          </w:p>
        </w:tc>
      </w:tr>
      <w:tr w:rsidR="00000000">
        <w:trPr>
          <w:divId w:val="549272153"/>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Balance at December 31, 2021 - As Reported</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6,485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5,202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2,349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49272153"/>
        </w:trPr>
        <w:tc>
          <w:tcPr>
            <w:tcW w:w="0" w:type="auto"/>
            <w:gridSpan w:val="3"/>
            <w:shd w:val="clear" w:color="auto" w:fill="FFFFFF"/>
            <w:tcMar>
              <w:top w:w="30" w:type="dxa"/>
              <w:left w:w="20" w:type="dxa"/>
              <w:bottom w:w="30" w:type="dxa"/>
              <w:right w:w="20" w:type="dxa"/>
            </w:tcMar>
            <w:hideMark/>
          </w:tcPr>
          <w:p w:rsidR="00000000" w:rsidRDefault="00C9777F">
            <w:pPr>
              <w:spacing w:after="100"/>
              <w:ind w:hanging="270"/>
              <w:divId w:val="1024555416"/>
              <w:rPr>
                <w:rFonts w:eastAsia="Times New Roman"/>
              </w:rPr>
            </w:pPr>
            <w:r>
              <w:rPr>
                <w:rFonts w:eastAsia="Times New Roman"/>
                <w:color w:val="000000"/>
                <w:sz w:val="20"/>
                <w:szCs w:val="20"/>
              </w:rPr>
              <w:t>Reallocation of goodwill in segment reorganizatio</w:t>
            </w:r>
            <w:r>
              <w:rPr>
                <w:rFonts w:eastAsia="Times New Roman"/>
                <w:color w:val="000000"/>
                <w:sz w:val="20"/>
                <w:szCs w:val="20"/>
              </w:rPr>
              <w:t>n</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(2,349)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49272153"/>
        </w:trPr>
        <w:tc>
          <w:tcPr>
            <w:tcW w:w="0" w:type="auto"/>
            <w:gridSpan w:val="3"/>
            <w:shd w:val="clear" w:color="auto" w:fill="CCEEFF"/>
            <w:tcMar>
              <w:top w:w="30" w:type="dxa"/>
              <w:left w:w="110" w:type="dxa"/>
              <w:bottom w:w="30" w:type="dxa"/>
              <w:right w:w="20" w:type="dxa"/>
            </w:tcMar>
            <w:hideMark/>
          </w:tcPr>
          <w:p w:rsidR="00000000" w:rsidRDefault="00C9777F">
            <w:pPr>
              <w:spacing w:after="100"/>
              <w:ind w:hanging="90"/>
              <w:rPr>
                <w:rFonts w:eastAsia="Times New Roman"/>
              </w:rPr>
            </w:pPr>
            <w:r>
              <w:rPr>
                <w:rFonts w:eastAsia="Times New Roman"/>
                <w:b/>
                <w:bCs/>
                <w:color w:val="000000"/>
                <w:sz w:val="20"/>
                <w:szCs w:val="20"/>
              </w:rPr>
              <w:t>Balance at December 31, 2021 - After Reallocation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8,187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5,849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4,153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49272153"/>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Impairment of goodwill</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49272153"/>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w:t>
            </w: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49272153"/>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Balance at September 30,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7,692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5,772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3,796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b/>
                <w:bCs/>
                <w:color w:val="000000"/>
                <w:sz w:val="20"/>
                <w:szCs w:val="20"/>
              </w:rPr>
              <w:t>17,260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549272153"/>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4927215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hanging="360"/>
        <w:divId w:val="2080637817"/>
        <w:rPr>
          <w:rFonts w:eastAsia="Times New Roman"/>
        </w:rPr>
      </w:pPr>
      <w:r>
        <w:rPr>
          <w:rFonts w:eastAsia="Times New Roman"/>
          <w:color w:val="000000"/>
          <w:sz w:val="16"/>
          <w:szCs w:val="16"/>
        </w:rPr>
        <w:t>_______________</w:t>
      </w:r>
    </w:p>
    <w:p w:rsidR="00000000" w:rsidRDefault="00C9777F">
      <w:pPr>
        <w:ind w:hanging="360"/>
        <w:divId w:val="895896700"/>
        <w:rPr>
          <w:rFonts w:eastAsia="Times New Roman"/>
        </w:rPr>
      </w:pPr>
      <w:r>
        <w:rPr>
          <w:rFonts w:eastAsia="Times New Roman"/>
          <w:color w:val="000000"/>
          <w:sz w:val="16"/>
          <w:szCs w:val="16"/>
        </w:rPr>
        <w:t>(1)</w:t>
      </w:r>
      <w:r>
        <w:rPr>
          <w:rFonts w:eastAsia="Times New Roman"/>
          <w:color w:val="000000"/>
          <w:sz w:val="16"/>
          <w:szCs w:val="16"/>
        </w:rPr>
        <w:t xml:space="preserve">As a result of our new organizational structure, effective January 1, 2022, streamlining our operations from four business segments to three business segments, we reallocated goodwill previously held by our former Aviation Systems segment to our remaining </w:t>
      </w:r>
      <w:r>
        <w:rPr>
          <w:rFonts w:eastAsia="Times New Roman"/>
          <w:color w:val="000000"/>
          <w:sz w:val="16"/>
          <w:szCs w:val="16"/>
        </w:rPr>
        <w:t xml:space="preserve">business segments as of January 1, 2021, the earliest period presented in these Notes. See additional information below and “Segment Reorganization” in. </w:t>
      </w:r>
      <w:r>
        <w:rPr>
          <w:rFonts w:eastAsia="Times New Roman"/>
          <w:i/>
          <w:iCs/>
          <w:color w:val="000000"/>
          <w:sz w:val="16"/>
          <w:szCs w:val="16"/>
        </w:rPr>
        <w:t>Note A — Significant Accounting Policies and Recent Accounting Standards</w:t>
      </w:r>
      <w:r>
        <w:rPr>
          <w:rFonts w:eastAsia="Times New Roman"/>
          <w:color w:val="000000"/>
          <w:sz w:val="16"/>
          <w:szCs w:val="16"/>
        </w:rPr>
        <w:t xml:space="preserve"> in these Notes.</w:t>
      </w:r>
    </w:p>
    <w:p w:rsidR="00000000" w:rsidRDefault="00C9777F">
      <w:pPr>
        <w:divId w:val="1109663153"/>
        <w:rPr>
          <w:rFonts w:eastAsia="Times New Roman"/>
        </w:rPr>
      </w:pPr>
      <w:r>
        <w:rPr>
          <w:rFonts w:eastAsia="Times New Roman"/>
          <w:b/>
          <w:bCs/>
          <w:color w:val="000000"/>
          <w:sz w:val="20"/>
          <w:szCs w:val="20"/>
        </w:rPr>
        <w:t>New Organizati</w:t>
      </w:r>
      <w:r>
        <w:rPr>
          <w:rFonts w:eastAsia="Times New Roman"/>
          <w:b/>
          <w:bCs/>
          <w:color w:val="000000"/>
          <w:sz w:val="20"/>
          <w:szCs w:val="20"/>
        </w:rPr>
        <w:t>onal Structure</w:t>
      </w:r>
    </w:p>
    <w:p w:rsidR="00000000" w:rsidRDefault="00C9777F">
      <w:pPr>
        <w:ind w:firstLine="360"/>
        <w:divId w:val="276106773"/>
        <w:rPr>
          <w:rFonts w:eastAsia="Times New Roman"/>
        </w:rPr>
      </w:pPr>
      <w:r>
        <w:rPr>
          <w:rFonts w:eastAsia="Times New Roman"/>
          <w:color w:val="000000"/>
          <w:sz w:val="20"/>
          <w:szCs w:val="20"/>
        </w:rPr>
        <w:t xml:space="preserve">Effective January 1, 2022, we implemented a new organizational structure resulting in changes to our operating segments (which are also our reportable segments and are referred to as our business segments) and reporting units (which are our </w:t>
      </w:r>
      <w:r>
        <w:rPr>
          <w:rFonts w:eastAsia="Times New Roman"/>
          <w:color w:val="000000"/>
          <w:sz w:val="20"/>
          <w:szCs w:val="20"/>
        </w:rPr>
        <w:t>business segments or one level below our business segments). Implementing the new structure reduced our business segments, from four to three, and our reporting units from eleven to nine. As a result, we reassigned goodwill to our new reporting unit struct</w:t>
      </w:r>
      <w:r>
        <w:rPr>
          <w:rFonts w:eastAsia="Times New Roman"/>
          <w:color w:val="000000"/>
          <w:sz w:val="20"/>
          <w:szCs w:val="20"/>
        </w:rPr>
        <w:t xml:space="preserve">ure on a relative fair value basis, tested goodwill related to impacted reporting units immediately before and after the reassignment and determined that no impairment existed. </w:t>
      </w:r>
    </w:p>
    <w:p w:rsidR="00000000" w:rsidRDefault="00C9777F">
      <w:pPr>
        <w:ind w:firstLine="360"/>
        <w:divId w:val="1159660271"/>
        <w:rPr>
          <w:rFonts w:eastAsia="Times New Roman"/>
        </w:rPr>
      </w:pPr>
      <w:r>
        <w:rPr>
          <w:rFonts w:eastAsia="Times New Roman"/>
          <w:b/>
          <w:bCs/>
          <w:color w:val="000000"/>
          <w:sz w:val="20"/>
          <w:szCs w:val="20"/>
        </w:rPr>
        <w:t>Precision Engagement Business Allocation and Impairment</w:t>
      </w:r>
    </w:p>
    <w:p w:rsidR="00000000" w:rsidRDefault="00C9777F">
      <w:pPr>
        <w:ind w:firstLine="360"/>
        <w:divId w:val="622082444"/>
        <w:rPr>
          <w:rFonts w:eastAsia="Times New Roman"/>
        </w:rPr>
      </w:pPr>
      <w:r>
        <w:rPr>
          <w:rFonts w:eastAsia="Times New Roman"/>
          <w:color w:val="000000"/>
          <w:sz w:val="20"/>
          <w:szCs w:val="20"/>
        </w:rPr>
        <w:t>During the quarter end</w:t>
      </w:r>
      <w:r>
        <w:rPr>
          <w:rFonts w:eastAsia="Times New Roman"/>
          <w:color w:val="000000"/>
          <w:sz w:val="20"/>
          <w:szCs w:val="20"/>
        </w:rPr>
        <w:t>ed September 30, 2022, we realigned our precision engagement business from our Agile Development Group (“ADG”) reporting unit to our Electro Optical reporting unit. In connection with the realignment, we transferred $325 million of goodwill associated with</w:t>
      </w:r>
      <w:r>
        <w:rPr>
          <w:rFonts w:eastAsia="Times New Roman"/>
          <w:color w:val="000000"/>
          <w:sz w:val="20"/>
          <w:szCs w:val="20"/>
        </w:rPr>
        <w:t xml:space="preserve"> the precision engagement business to our Electro Optical reporting unit on a relative fair value basis. Immediately before and after the reassignment, we tested goodwill assigned to each reporting unit. As a result of these tests, concurrently with the pr</w:t>
      </w:r>
      <w:r>
        <w:rPr>
          <w:rFonts w:eastAsia="Times New Roman"/>
          <w:color w:val="000000"/>
          <w:sz w:val="20"/>
          <w:szCs w:val="20"/>
        </w:rPr>
        <w:t xml:space="preserve">eparation of our financial statements for the quarter ended September 30, 2022, we concluded that goodwill related to our ADG reporting unit was impaired immediately before the reassignment and recorded a non-cash charge of $313 million for the impairment </w:t>
      </w:r>
      <w:r>
        <w:rPr>
          <w:rFonts w:eastAsia="Times New Roman"/>
          <w:color w:val="000000"/>
          <w:sz w:val="20"/>
          <w:szCs w:val="20"/>
        </w:rPr>
        <w:t>in the “Impairment of goodwill and other assets” line item in our Condensed Consolidated Statement of Operations (Unaudited). The impairment of goodwill was due to lower sales volume in our precision engagement business, reflecting U.S. Government spending</w:t>
      </w:r>
      <w:r>
        <w:rPr>
          <w:rFonts w:eastAsia="Times New Roman"/>
          <w:color w:val="000000"/>
          <w:sz w:val="20"/>
          <w:szCs w:val="20"/>
        </w:rPr>
        <w:t xml:space="preserve"> priorities with respect to precision weapons, and higher interest rates. ADG and Electro Optical are both part of our Integrated Mission Systems segment.</w:t>
      </w:r>
    </w:p>
    <w:p w:rsidR="00000000" w:rsidRDefault="00C9777F">
      <w:pPr>
        <w:ind w:firstLine="360"/>
        <w:divId w:val="1022511541"/>
        <w:rPr>
          <w:rFonts w:eastAsia="Times New Roman"/>
        </w:rPr>
      </w:pPr>
      <w:r>
        <w:rPr>
          <w:rFonts w:eastAsia="Times New Roman"/>
          <w:b/>
          <w:bCs/>
          <w:color w:val="000000"/>
          <w:sz w:val="20"/>
          <w:szCs w:val="20"/>
        </w:rPr>
        <w:t xml:space="preserve">Broadband, Electro Optical and ADG Interim Tests </w:t>
      </w:r>
    </w:p>
    <w:p w:rsidR="00000000" w:rsidRDefault="00C9777F">
      <w:pPr>
        <w:ind w:firstLine="360"/>
        <w:divId w:val="1094865970"/>
        <w:rPr>
          <w:rFonts w:eastAsia="Times New Roman"/>
        </w:rPr>
      </w:pPr>
      <w:r>
        <w:rPr>
          <w:rFonts w:eastAsia="Times New Roman"/>
          <w:color w:val="000000"/>
          <w:sz w:val="20"/>
          <w:szCs w:val="20"/>
        </w:rPr>
        <w:t>Indications of potential impairment of goodwill related to our Broadband, Electro Optical and ADG reporting units were present as of September 30, 2022. Consequently, in connection with the preparation of our financial statements for the quarter ended Sept</w:t>
      </w:r>
      <w:r>
        <w:rPr>
          <w:rFonts w:eastAsia="Times New Roman"/>
          <w:color w:val="000000"/>
          <w:sz w:val="20"/>
          <w:szCs w:val="20"/>
        </w:rPr>
        <w:t>ember 30, 2022, we performed interim tests of each of these reporting unit’s goodwill for impairment. We determined that goodwill related to our Broadband and Electro Optical reporting units was impaired and goodwill related to our ADG reporting unit was n</w:t>
      </w:r>
      <w:r>
        <w:rPr>
          <w:rFonts w:eastAsia="Times New Roman"/>
          <w:color w:val="000000"/>
          <w:sz w:val="20"/>
          <w:szCs w:val="20"/>
        </w:rPr>
        <w:t xml:space="preserve">ot impaired as of September 30, 2022. </w:t>
      </w:r>
    </w:p>
    <w:p w:rsidR="00000000" w:rsidRDefault="00C9777F">
      <w:pPr>
        <w:ind w:firstLine="360"/>
        <w:divId w:val="580600789"/>
        <w:rPr>
          <w:rFonts w:eastAsia="Times New Roman"/>
        </w:rPr>
      </w:pPr>
      <w:r>
        <w:rPr>
          <w:rFonts w:eastAsia="Times New Roman"/>
          <w:b/>
          <w:bCs/>
          <w:i/>
          <w:iCs/>
          <w:color w:val="000000"/>
          <w:sz w:val="20"/>
          <w:szCs w:val="20"/>
        </w:rPr>
        <w:t>Broadband and Electro Optical goodwill impairments:</w:t>
      </w:r>
      <w:r>
        <w:rPr>
          <w:rFonts w:eastAsia="Times New Roman"/>
          <w:color w:val="000000"/>
          <w:sz w:val="20"/>
          <w:szCs w:val="20"/>
        </w:rPr>
        <w:t xml:space="preserve"> As a result of the interim tests of goodwill related to our Broadband and Electro Optical reporting units, we recorded $489 million of non-cash charges for the impai</w:t>
      </w:r>
      <w:r>
        <w:rPr>
          <w:rFonts w:eastAsia="Times New Roman"/>
          <w:color w:val="000000"/>
          <w:sz w:val="20"/>
          <w:szCs w:val="20"/>
        </w:rPr>
        <w:t>rment of goodwill ($355 million related to Broadband and $134 million related to Electro Optical) in the “Impairment of goodwill and other assets” line item in our Condensed Consolidated Statement of Operations (Unaudited). Broadband is part of our Communi</w:t>
      </w:r>
      <w:r>
        <w:rPr>
          <w:rFonts w:eastAsia="Times New Roman"/>
          <w:color w:val="000000"/>
          <w:sz w:val="20"/>
          <w:szCs w:val="20"/>
        </w:rPr>
        <w:t>cations Systems segment (as noted above Electro Optical is part of our Integrated Mission Systems segment). The impairment of goodwill related to our Electro Optical reporting unit was due to persistently lower demand in the precision engagement business a</w:t>
      </w:r>
      <w:r>
        <w:rPr>
          <w:rFonts w:eastAsia="Times New Roman"/>
          <w:color w:val="000000"/>
          <w:sz w:val="20"/>
          <w:szCs w:val="20"/>
        </w:rPr>
        <w:t>nd an associated decrease in our outlook for the business, as well as rising interest rates. The impairment of goodwill related to our Broadband reporting unit was due to lower volume on legacy platforms, which also resulted in a decrease in our outlook fo</w:t>
      </w:r>
      <w:r>
        <w:rPr>
          <w:rFonts w:eastAsia="Times New Roman"/>
          <w:color w:val="000000"/>
          <w:sz w:val="20"/>
          <w:szCs w:val="20"/>
        </w:rPr>
        <w:t xml:space="preserve">r the reporting unit, and higher interest rates. </w:t>
      </w:r>
    </w:p>
    <w:p w:rsidR="00000000" w:rsidRDefault="00C9777F">
      <w:pPr>
        <w:divId w:val="1370032515"/>
        <w:rPr>
          <w:rFonts w:eastAsia="Times New Roman"/>
        </w:rPr>
      </w:pPr>
      <w:r>
        <w:rPr>
          <w:rFonts w:eastAsia="Times New Roman"/>
          <w:b/>
          <w:bCs/>
          <w:color w:val="000000"/>
          <w:sz w:val="20"/>
          <w:szCs w:val="20"/>
        </w:rPr>
        <w:t>CPS Business Impairment</w:t>
      </w:r>
      <w:r>
        <w:rPr>
          <w:rFonts w:eastAsia="Times New Roman"/>
          <w:color w:val="000000"/>
          <w:sz w:val="20"/>
          <w:szCs w:val="20"/>
        </w:rPr>
        <w:t xml:space="preserve"> </w:t>
      </w:r>
    </w:p>
    <w:p w:rsidR="00000000" w:rsidRDefault="00C9777F">
      <w:pPr>
        <w:ind w:firstLine="360"/>
        <w:divId w:val="1910576600"/>
        <w:rPr>
          <w:rFonts w:eastAsia="Times New Roman"/>
        </w:rPr>
      </w:pPr>
      <w:r>
        <w:rPr>
          <w:rFonts w:eastAsia="Times New Roman"/>
          <w:color w:val="000000"/>
          <w:sz w:val="20"/>
          <w:szCs w:val="20"/>
        </w:rPr>
        <w:t>During the quarter ended April 2, 2021, we determined the criteria to be classified as held for sale were met with respect to the CPS business within our other non-reportable busine</w:t>
      </w:r>
      <w:r>
        <w:rPr>
          <w:rFonts w:eastAsia="Times New Roman"/>
          <w:color w:val="000000"/>
          <w:sz w:val="20"/>
          <w:szCs w:val="20"/>
        </w:rPr>
        <w:t>ss segment and assigned $174 million of goodwill to the disposal group on a relative fair value basis. In connection with the preparation of our financial statements for the quarter ended April 2, 2021, we concluded that goodwill related to the CPS busines</w:t>
      </w:r>
      <w:r>
        <w:rPr>
          <w:rFonts w:eastAsia="Times New Roman"/>
          <w:color w:val="000000"/>
          <w:sz w:val="20"/>
          <w:szCs w:val="20"/>
        </w:rPr>
        <w:t xml:space="preserve">s was impaired and we recorded a non-cash impairment charge of $62 </w:t>
      </w:r>
    </w:p>
    <w:p w:rsidR="00000000" w:rsidRDefault="00C9777F">
      <w:pPr>
        <w:ind w:firstLine="360"/>
        <w:jc w:val="center"/>
        <w:divId w:val="410782186"/>
        <w:rPr>
          <w:rFonts w:eastAsia="Times New Roman"/>
        </w:rPr>
      </w:pPr>
      <w:r>
        <w:rPr>
          <w:rFonts w:eastAsia="Times New Roman"/>
          <w:color w:val="000000"/>
          <w:sz w:val="20"/>
          <w:szCs w:val="20"/>
        </w:rPr>
        <w:t>10</w:t>
      </w:r>
    </w:p>
    <w:p w:rsidR="00000000" w:rsidRDefault="00C9777F">
      <w:pPr>
        <w:rPr>
          <w:rFonts w:eastAsia="Times New Roman"/>
        </w:rPr>
      </w:pPr>
      <w:r>
        <w:rPr>
          <w:rFonts w:eastAsia="Times New Roman"/>
        </w:rPr>
        <w:pict>
          <v:rect id="_x0000_i1037" style="width:0;height:1.5pt" o:hralign="center" o:hrstd="t" o:hr="t" fillcolor="#a0a0a0" stroked="f"/>
        </w:pict>
      </w:r>
    </w:p>
    <w:p w:rsidR="00000000" w:rsidRDefault="00C9777F">
      <w:pPr>
        <w:ind w:firstLine="360"/>
        <w:divId w:val="73548693"/>
        <w:rPr>
          <w:rFonts w:eastAsia="Times New Roman"/>
        </w:rPr>
      </w:pPr>
    </w:p>
    <w:p w:rsidR="00000000" w:rsidRDefault="00C9777F">
      <w:pPr>
        <w:divId w:val="102700596"/>
        <w:rPr>
          <w:rFonts w:eastAsia="Times New Roman"/>
        </w:rPr>
      </w:pPr>
      <w:r>
        <w:rPr>
          <w:rFonts w:eastAsia="Times New Roman"/>
          <w:color w:val="000000"/>
          <w:sz w:val="20"/>
          <w:szCs w:val="20"/>
        </w:rPr>
        <w:t xml:space="preserve">million, which is included in the “Impairment of goodwill and other assets” line item in our Condensed Consolidated Statement of Operations (Unaudited). </w:t>
      </w:r>
    </w:p>
    <w:p w:rsidR="00000000" w:rsidRDefault="00C9777F">
      <w:pPr>
        <w:divId w:val="1395810780"/>
        <w:rPr>
          <w:rFonts w:eastAsia="Times New Roman"/>
        </w:rPr>
      </w:pPr>
      <w:r>
        <w:rPr>
          <w:rFonts w:eastAsia="Times New Roman"/>
          <w:b/>
          <w:bCs/>
          <w:color w:val="000000"/>
          <w:sz w:val="20"/>
          <w:szCs w:val="20"/>
        </w:rPr>
        <w:t>CTS Impairment</w:t>
      </w:r>
      <w:r>
        <w:rPr>
          <w:rFonts w:eastAsia="Times New Roman"/>
          <w:color w:val="000000"/>
          <w:sz w:val="20"/>
          <w:szCs w:val="20"/>
        </w:rPr>
        <w:t xml:space="preserve"> </w:t>
      </w:r>
    </w:p>
    <w:p w:rsidR="00000000" w:rsidRDefault="00C9777F">
      <w:pPr>
        <w:ind w:firstLine="360"/>
        <w:divId w:val="1303804534"/>
        <w:rPr>
          <w:rFonts w:eastAsia="Times New Roman"/>
        </w:rPr>
      </w:pPr>
      <w:r>
        <w:rPr>
          <w:rFonts w:eastAsia="Times New Roman"/>
          <w:color w:val="000000"/>
          <w:sz w:val="20"/>
          <w:szCs w:val="20"/>
        </w:rPr>
        <w:t>During the quarter ended July 2, 2021, we adjust</w:t>
      </w:r>
      <w:r>
        <w:rPr>
          <w:rFonts w:eastAsia="Times New Roman"/>
          <w:color w:val="000000"/>
          <w:sz w:val="20"/>
          <w:szCs w:val="20"/>
        </w:rPr>
        <w:t>ed our Aviation Systems segment reporting to better align our businesses and separated the CTS business from our Commercial Aviation Solutions reporting unit, creating a new reporting unit within the Commercial Aviation Solutions sector of our Aviation Sys</w:t>
      </w:r>
      <w:r>
        <w:rPr>
          <w:rFonts w:eastAsia="Times New Roman"/>
          <w:color w:val="000000"/>
          <w:sz w:val="20"/>
          <w:szCs w:val="20"/>
        </w:rPr>
        <w:t xml:space="preserve">tems segment. Immediately before and after our goodwill assignments, we completed an assessment of any potential goodwill impairment under our former and new reporting unit structure and determined that no impairment existed. </w:t>
      </w:r>
    </w:p>
    <w:p w:rsidR="00000000" w:rsidRDefault="00C9777F">
      <w:pPr>
        <w:ind w:firstLine="360"/>
        <w:divId w:val="958225709"/>
        <w:rPr>
          <w:rFonts w:eastAsia="Times New Roman"/>
        </w:rPr>
      </w:pPr>
      <w:r>
        <w:rPr>
          <w:rFonts w:eastAsia="Times New Roman"/>
          <w:color w:val="000000"/>
          <w:sz w:val="20"/>
          <w:szCs w:val="20"/>
        </w:rPr>
        <w:t>To test for potential impairm</w:t>
      </w:r>
      <w:r>
        <w:rPr>
          <w:rFonts w:eastAsia="Times New Roman"/>
          <w:color w:val="000000"/>
          <w:sz w:val="20"/>
          <w:szCs w:val="20"/>
        </w:rPr>
        <w:t>ent of the long-lived assets, including identifiable intangible assets and property, plant and equipment, related to CTS, we compared the estimated future cash flows (on an undiscounted basis) to be generated from the use and hypothetical eventual disposit</w:t>
      </w:r>
      <w:r>
        <w:rPr>
          <w:rFonts w:eastAsia="Times New Roman"/>
          <w:color w:val="000000"/>
          <w:sz w:val="20"/>
          <w:szCs w:val="20"/>
        </w:rPr>
        <w:t xml:space="preserve">ion of the asset group to its carrying value and, as a result, we determined the carrying value of the CTS asset group was not recoverable. Next, we prepared an estimate of the fair value of CTS based on a combination of market-based valuation techniques, </w:t>
      </w:r>
      <w:r>
        <w:rPr>
          <w:rFonts w:eastAsia="Times New Roman"/>
          <w:color w:val="000000"/>
          <w:sz w:val="20"/>
          <w:szCs w:val="20"/>
        </w:rPr>
        <w:t>utilizing quoted market prices and comparable publicly reported transactions and projected discounted cash flows. We compared the fair value of CTS to our carrying value and recorded a $145 million non-cash charge for the impairment of CTS long-lived asset</w:t>
      </w:r>
      <w:r>
        <w:rPr>
          <w:rFonts w:eastAsia="Times New Roman"/>
          <w:color w:val="000000"/>
          <w:sz w:val="20"/>
          <w:szCs w:val="20"/>
        </w:rPr>
        <w:t>s, including $63 million for impairment of identifiable intangible assets, which is included in the “Impairment of goodwill and other assets” line item in our Condensed Consolidated Statement of Operations (Unaudited) for the three quarters ended October 1</w:t>
      </w:r>
      <w:r>
        <w:rPr>
          <w:rFonts w:eastAsia="Times New Roman"/>
          <w:color w:val="000000"/>
          <w:sz w:val="20"/>
          <w:szCs w:val="20"/>
        </w:rPr>
        <w:t xml:space="preserve">, 2021. See </w:t>
      </w:r>
      <w:r>
        <w:rPr>
          <w:rFonts w:eastAsia="Times New Roman"/>
          <w:i/>
          <w:iCs/>
          <w:color w:val="000000"/>
          <w:sz w:val="20"/>
          <w:szCs w:val="20"/>
        </w:rPr>
        <w:t>Note H — Property, Plant and Equipment, net</w:t>
      </w:r>
      <w:r>
        <w:rPr>
          <w:rFonts w:eastAsia="Times New Roman"/>
          <w:color w:val="000000"/>
          <w:sz w:val="20"/>
          <w:szCs w:val="20"/>
        </w:rPr>
        <w:t xml:space="preserve"> in these Notes for additional information.</w:t>
      </w:r>
    </w:p>
    <w:p w:rsidR="00000000" w:rsidRDefault="00C9777F">
      <w:pPr>
        <w:divId w:val="678850372"/>
        <w:rPr>
          <w:rFonts w:eastAsia="Times New Roman"/>
        </w:rPr>
      </w:pPr>
      <w:r>
        <w:rPr>
          <w:rFonts w:eastAsia="Times New Roman"/>
          <w:b/>
          <w:bCs/>
          <w:color w:val="000000"/>
          <w:sz w:val="20"/>
          <w:szCs w:val="20"/>
        </w:rPr>
        <w:t>Fair Value Determinations</w:t>
      </w:r>
    </w:p>
    <w:p w:rsidR="00000000" w:rsidRDefault="00C9777F">
      <w:pPr>
        <w:ind w:firstLine="360"/>
        <w:divId w:val="948857977"/>
        <w:rPr>
          <w:rFonts w:eastAsia="Times New Roman"/>
        </w:rPr>
      </w:pPr>
      <w:r>
        <w:rPr>
          <w:rFonts w:eastAsia="Times New Roman"/>
          <w:color w:val="000000"/>
          <w:sz w:val="20"/>
          <w:szCs w:val="20"/>
        </w:rPr>
        <w:t>Fair value determinations were determined based on a combination of market-based valuation techniques, utilizing quoted market pric</w:t>
      </w:r>
      <w:r>
        <w:rPr>
          <w:rFonts w:eastAsia="Times New Roman"/>
          <w:color w:val="000000"/>
          <w:sz w:val="20"/>
          <w:szCs w:val="20"/>
        </w:rPr>
        <w:t>es and comparable publicly reported transactions, and projected discounted cash flows.</w:t>
      </w:r>
    </w:p>
    <w:p w:rsidR="00000000" w:rsidRDefault="00C9777F">
      <w:pPr>
        <w:divId w:val="2060126736"/>
        <w:rPr>
          <w:rFonts w:eastAsia="Times New Roman"/>
        </w:rPr>
      </w:pPr>
      <w:r>
        <w:rPr>
          <w:rFonts w:eastAsia="Times New Roman"/>
          <w:b/>
          <w:bCs/>
          <w:color w:val="000000"/>
          <w:sz w:val="20"/>
          <w:szCs w:val="20"/>
        </w:rPr>
        <w:t>NOTE J— ACCRUED WARRANTIES</w:t>
      </w:r>
      <w:r>
        <w:rPr>
          <w:rFonts w:eastAsia="Times New Roman"/>
          <w:b/>
          <w:bCs/>
          <w:i/>
          <w:iCs/>
          <w:color w:val="000000"/>
          <w:sz w:val="20"/>
          <w:szCs w:val="20"/>
        </w:rPr>
        <w:t xml:space="preserve"> </w:t>
      </w:r>
    </w:p>
    <w:p w:rsidR="00000000" w:rsidRDefault="00C9777F">
      <w:pPr>
        <w:ind w:firstLine="360"/>
        <w:divId w:val="80641580"/>
        <w:rPr>
          <w:rFonts w:eastAsia="Times New Roman"/>
        </w:rPr>
      </w:pPr>
      <w:r>
        <w:rPr>
          <w:rFonts w:eastAsia="Times New Roman"/>
          <w:color w:val="000000"/>
          <w:sz w:val="20"/>
          <w:szCs w:val="20"/>
        </w:rPr>
        <w:t xml:space="preserve">Our liability for standard product warranties is included as a component of the “Other accrued items” and “Other long-term liabilities” line </w:t>
      </w:r>
      <w:r>
        <w:rPr>
          <w:rFonts w:eastAsia="Times New Roman"/>
          <w:color w:val="000000"/>
          <w:sz w:val="20"/>
          <w:szCs w:val="20"/>
        </w:rPr>
        <w:t>items in our Condensed Consolidated Balance Sheet (Unaudited). Changes in our liability for standard product warranties during the three quarters ended September 30,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6867"/>
        <w:gridCol w:w="38"/>
        <w:gridCol w:w="121"/>
        <w:gridCol w:w="1051"/>
        <w:gridCol w:w="36"/>
        <w:gridCol w:w="36"/>
        <w:gridCol w:w="36"/>
        <w:gridCol w:w="36"/>
        <w:gridCol w:w="36"/>
      </w:tblGrid>
      <w:tr w:rsidR="00000000">
        <w:trPr>
          <w:divId w:val="80641580"/>
        </w:trPr>
        <w:tc>
          <w:tcPr>
            <w:tcW w:w="50" w:type="pct"/>
            <w:vAlign w:val="center"/>
            <w:hideMark/>
          </w:tcPr>
          <w:p w:rsidR="00000000" w:rsidRDefault="00C9777F">
            <w:pPr>
              <w:ind w:firstLine="360"/>
              <w:rPr>
                <w:rFonts w:eastAsia="Times New Roman"/>
              </w:rPr>
            </w:pPr>
          </w:p>
        </w:tc>
        <w:tc>
          <w:tcPr>
            <w:tcW w:w="422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Balance at December 31, 2021</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shd w:val="clear" w:color="auto" w:fill="CCEE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Settlements made during the period</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0641580"/>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Balance at September 30,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divId w:val="2133938377"/>
        <w:rPr>
          <w:rFonts w:eastAsia="Times New Roman"/>
        </w:rPr>
      </w:pPr>
      <w:r>
        <w:rPr>
          <w:rFonts w:eastAsia="Times New Roman"/>
          <w:b/>
          <w:bCs/>
          <w:color w:val="000000"/>
          <w:sz w:val="20"/>
          <w:szCs w:val="20"/>
        </w:rPr>
        <w:t>NOTE K— CREDIT AGREEMENTS</w:t>
      </w:r>
    </w:p>
    <w:p w:rsidR="00000000" w:rsidRDefault="00C9777F">
      <w:pPr>
        <w:ind w:firstLine="360"/>
        <w:divId w:val="1109474288"/>
        <w:rPr>
          <w:rFonts w:eastAsia="Times New Roman"/>
        </w:rPr>
      </w:pPr>
      <w:r>
        <w:rPr>
          <w:rFonts w:eastAsia="Times New Roman"/>
          <w:color w:val="000000"/>
          <w:sz w:val="20"/>
          <w:szCs w:val="20"/>
        </w:rPr>
        <w:t xml:space="preserve">On July 29, 2022, we established a new $2 billion, 5-year senior unsecured revolving credit facility maturing in July 2027 (the “2022 Credit Facility”) pursuant to a Revolving Credit Agreement (the “2022 Credit Agreement”) with a syndicate of lenders. The </w:t>
      </w:r>
      <w:r>
        <w:rPr>
          <w:rFonts w:eastAsia="Times New Roman"/>
          <w:color w:val="000000"/>
          <w:sz w:val="20"/>
          <w:szCs w:val="20"/>
        </w:rPr>
        <w:t>2022 Credit Facility replaces our prior $2 billion, 5-year senior unsecured revolving credit facility established in June 2019 (the “2019 Credit Facility”) and provides for revolving loans, swingline loans and letters of credit, with a sub-limit of $200 mi</w:t>
      </w:r>
      <w:r>
        <w:rPr>
          <w:rFonts w:eastAsia="Times New Roman"/>
          <w:color w:val="000000"/>
          <w:sz w:val="20"/>
          <w:szCs w:val="20"/>
        </w:rPr>
        <w:t>llion for swingline loans and a sub-limit of $350 million for letters of credit, with the option to request an increase of the maximum amount of commitments up to $3 billion.</w:t>
      </w:r>
    </w:p>
    <w:p w:rsidR="00000000" w:rsidRDefault="00C9777F">
      <w:pPr>
        <w:ind w:firstLine="360"/>
        <w:divId w:val="137499713"/>
        <w:rPr>
          <w:rFonts w:eastAsia="Times New Roman"/>
        </w:rPr>
      </w:pPr>
      <w:r>
        <w:rPr>
          <w:rFonts w:eastAsia="Times New Roman"/>
          <w:color w:val="000000"/>
          <w:sz w:val="20"/>
          <w:szCs w:val="20"/>
        </w:rPr>
        <w:t xml:space="preserve">At our election, borrowings in U.S. Dollars under the 2022 Credit Agreement will </w:t>
      </w:r>
      <w:r>
        <w:rPr>
          <w:rFonts w:eastAsia="Times New Roman"/>
          <w:color w:val="000000"/>
          <w:sz w:val="20"/>
          <w:szCs w:val="20"/>
        </w:rPr>
        <w:t>bear interest either based on the secured overnight funding rate or the Base Rate (as defined in the 2022 Credit Agreement), plus an applicable margin.</w:t>
      </w:r>
    </w:p>
    <w:p w:rsidR="00000000" w:rsidRDefault="00C9777F">
      <w:pPr>
        <w:ind w:firstLine="360"/>
        <w:divId w:val="164708048"/>
        <w:rPr>
          <w:rFonts w:eastAsia="Times New Roman"/>
        </w:rPr>
      </w:pPr>
      <w:r>
        <w:rPr>
          <w:rFonts w:eastAsia="Times New Roman"/>
          <w:color w:val="000000"/>
          <w:sz w:val="20"/>
          <w:szCs w:val="20"/>
        </w:rPr>
        <w:t>We are also required to pay a quarterly unused commitment fee and letter of credit fees based on our Sen</w:t>
      </w:r>
      <w:r>
        <w:rPr>
          <w:rFonts w:eastAsia="Times New Roman"/>
          <w:color w:val="000000"/>
          <w:sz w:val="20"/>
          <w:szCs w:val="20"/>
        </w:rPr>
        <w:t>ior Debt Ratings.</w:t>
      </w:r>
    </w:p>
    <w:p w:rsidR="00000000" w:rsidRDefault="00C9777F">
      <w:pPr>
        <w:ind w:firstLine="360"/>
        <w:divId w:val="1583103247"/>
        <w:rPr>
          <w:rFonts w:eastAsia="Times New Roman"/>
        </w:rPr>
      </w:pPr>
      <w:r>
        <w:rPr>
          <w:rFonts w:eastAsia="Times New Roman"/>
          <w:color w:val="000000"/>
          <w:sz w:val="20"/>
          <w:szCs w:val="20"/>
        </w:rPr>
        <w:t>We were in compliance with all covenants under the 2022 Credit Agreement at September 30, 2022, including the covenant requiring that we not permit our ratio of consolidated total indebtedness to total capital, each as defined in the 2022</w:t>
      </w:r>
      <w:r>
        <w:rPr>
          <w:rFonts w:eastAsia="Times New Roman"/>
          <w:color w:val="000000"/>
          <w:sz w:val="20"/>
          <w:szCs w:val="20"/>
        </w:rPr>
        <w:t xml:space="preserve"> Credit Agreement, to be greater than 0.65 to 1.00. At September 30, 2022, we had no borrowings outstanding under the 2022 Credit Agreement. </w:t>
      </w:r>
    </w:p>
    <w:p w:rsidR="00000000" w:rsidRDefault="00C9777F">
      <w:pPr>
        <w:ind w:firstLine="360"/>
        <w:divId w:val="309864284"/>
        <w:rPr>
          <w:rFonts w:eastAsia="Times New Roman"/>
        </w:rPr>
      </w:pPr>
      <w:r>
        <w:rPr>
          <w:rFonts w:eastAsia="Times New Roman"/>
          <w:color w:val="000000"/>
          <w:sz w:val="20"/>
          <w:szCs w:val="20"/>
        </w:rPr>
        <w:t>The covenants under the 2022 Credit Agreement are substantially similar to the covenants under the 2019 Credit Fac</w:t>
      </w:r>
      <w:r>
        <w:rPr>
          <w:rFonts w:eastAsia="Times New Roman"/>
          <w:color w:val="000000"/>
          <w:sz w:val="20"/>
          <w:szCs w:val="20"/>
        </w:rPr>
        <w:t xml:space="preserve">ility. See </w:t>
      </w:r>
      <w:r>
        <w:rPr>
          <w:rFonts w:eastAsia="Times New Roman"/>
          <w:i/>
          <w:iCs/>
          <w:color w:val="000000"/>
          <w:sz w:val="20"/>
          <w:szCs w:val="20"/>
        </w:rPr>
        <w:t xml:space="preserve">Note 12: Credit Arrangements </w:t>
      </w:r>
      <w:r>
        <w:rPr>
          <w:rFonts w:eastAsia="Times New Roman"/>
          <w:color w:val="000000"/>
          <w:sz w:val="20"/>
          <w:szCs w:val="20"/>
        </w:rPr>
        <w:t xml:space="preserve">in our Fiscal 2021 Form 10-K for additional information. </w:t>
      </w:r>
    </w:p>
    <w:p w:rsidR="00000000" w:rsidRDefault="00C9777F">
      <w:pPr>
        <w:ind w:firstLine="360"/>
        <w:jc w:val="center"/>
        <w:divId w:val="450516129"/>
        <w:rPr>
          <w:rFonts w:eastAsia="Times New Roman"/>
        </w:rPr>
      </w:pPr>
      <w:r>
        <w:rPr>
          <w:rFonts w:eastAsia="Times New Roman"/>
          <w:color w:val="000000"/>
          <w:sz w:val="20"/>
          <w:szCs w:val="20"/>
        </w:rPr>
        <w:t>11</w:t>
      </w:r>
    </w:p>
    <w:p w:rsidR="00000000" w:rsidRDefault="00C9777F">
      <w:pPr>
        <w:rPr>
          <w:rFonts w:eastAsia="Times New Roman"/>
        </w:rPr>
      </w:pPr>
      <w:r>
        <w:rPr>
          <w:rFonts w:eastAsia="Times New Roman"/>
        </w:rPr>
        <w:pict>
          <v:rect id="_x0000_i1038" style="width:0;height:1.5pt" o:hralign="center" o:hrstd="t" o:hr="t" fillcolor="#a0a0a0" stroked="f"/>
        </w:pict>
      </w:r>
    </w:p>
    <w:p w:rsidR="00000000" w:rsidRDefault="00C9777F">
      <w:pPr>
        <w:ind w:firstLine="360"/>
        <w:divId w:val="1767339766"/>
        <w:rPr>
          <w:rFonts w:eastAsia="Times New Roman"/>
        </w:rPr>
      </w:pPr>
    </w:p>
    <w:p w:rsidR="00000000" w:rsidRDefault="00C9777F">
      <w:pPr>
        <w:divId w:val="1004940289"/>
        <w:rPr>
          <w:rFonts w:eastAsia="Times New Roman"/>
        </w:rPr>
      </w:pPr>
      <w:r>
        <w:rPr>
          <w:rFonts w:eastAsia="Times New Roman"/>
          <w:b/>
          <w:bCs/>
          <w:color w:val="000000"/>
          <w:sz w:val="20"/>
          <w:szCs w:val="20"/>
        </w:rPr>
        <w:t>NOTE L— POSTRETIREMENT BENEFIT PLANS</w:t>
      </w:r>
      <w:r>
        <w:rPr>
          <w:rFonts w:eastAsia="Times New Roman"/>
          <w:b/>
          <w:bCs/>
          <w:i/>
          <w:iCs/>
          <w:color w:val="000000"/>
          <w:sz w:val="20"/>
          <w:szCs w:val="20"/>
        </w:rPr>
        <w:t xml:space="preserve"> </w:t>
      </w:r>
    </w:p>
    <w:p w:rsidR="00000000" w:rsidRDefault="00C9777F">
      <w:pPr>
        <w:ind w:firstLine="360"/>
        <w:divId w:val="656615487"/>
        <w:rPr>
          <w:rFonts w:eastAsia="Times New Roman"/>
        </w:rPr>
      </w:pPr>
      <w:r>
        <w:rPr>
          <w:rFonts w:eastAsia="Times New Roman"/>
          <w:color w:val="000000"/>
          <w:sz w:val="20"/>
          <w:szCs w:val="20"/>
        </w:rPr>
        <w:t>The following tables provide the components of our net periodic benefit income</w:t>
      </w:r>
      <w:r>
        <w:rPr>
          <w:rFonts w:eastAsia="Times New Roman"/>
          <w:color w:val="000000"/>
          <w:sz w:val="20"/>
          <w:szCs w:val="20"/>
        </w:rPr>
        <w:t xml:space="preserve"> for our defined benefit plans, including defined benefit pension plans and other postretirement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40"/>
        <w:gridCol w:w="3182"/>
        <w:gridCol w:w="39"/>
        <w:gridCol w:w="121"/>
        <w:gridCol w:w="1022"/>
        <w:gridCol w:w="37"/>
        <w:gridCol w:w="36"/>
        <w:gridCol w:w="36"/>
        <w:gridCol w:w="36"/>
        <w:gridCol w:w="121"/>
        <w:gridCol w:w="1023"/>
        <w:gridCol w:w="37"/>
        <w:gridCol w:w="36"/>
        <w:gridCol w:w="36"/>
        <w:gridCol w:w="36"/>
        <w:gridCol w:w="120"/>
        <w:gridCol w:w="1023"/>
        <w:gridCol w:w="36"/>
        <w:gridCol w:w="36"/>
        <w:gridCol w:w="36"/>
        <w:gridCol w:w="36"/>
        <w:gridCol w:w="121"/>
        <w:gridCol w:w="1023"/>
        <w:gridCol w:w="37"/>
      </w:tblGrid>
      <w:tr w:rsidR="00000000">
        <w:trPr>
          <w:divId w:val="656615487"/>
        </w:trPr>
        <w:tc>
          <w:tcPr>
            <w:tcW w:w="50" w:type="pct"/>
            <w:vAlign w:val="center"/>
            <w:hideMark/>
          </w:tcPr>
          <w:p w:rsidR="00000000" w:rsidRDefault="00C9777F">
            <w:pPr>
              <w:ind w:firstLine="360"/>
              <w:rPr>
                <w:rFonts w:eastAsia="Times New Roman"/>
              </w:rPr>
            </w:pPr>
          </w:p>
        </w:tc>
        <w:tc>
          <w:tcPr>
            <w:tcW w:w="198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 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 September 30, 2022</w:t>
            </w:r>
          </w:p>
        </w:tc>
      </w:tr>
      <w:tr w:rsidR="00000000">
        <w:trPr>
          <w:divId w:val="656615487"/>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Other Benefits</w:t>
            </w:r>
          </w:p>
        </w:tc>
      </w:tr>
      <w:tr w:rsidR="00000000">
        <w:trPr>
          <w:divId w:val="656615487"/>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Operating</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Non-operating</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Amortization of net actuarial loss (gain)</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26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Amortization of prior service (credit) cost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Non-service cost periodic benefit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Height w:val="6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6566154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182"/>
        <w:gridCol w:w="39"/>
        <w:gridCol w:w="121"/>
        <w:gridCol w:w="1022"/>
        <w:gridCol w:w="37"/>
        <w:gridCol w:w="36"/>
        <w:gridCol w:w="36"/>
        <w:gridCol w:w="36"/>
        <w:gridCol w:w="121"/>
        <w:gridCol w:w="1023"/>
        <w:gridCol w:w="37"/>
        <w:gridCol w:w="36"/>
        <w:gridCol w:w="36"/>
        <w:gridCol w:w="36"/>
        <w:gridCol w:w="120"/>
        <w:gridCol w:w="1023"/>
        <w:gridCol w:w="36"/>
        <w:gridCol w:w="36"/>
        <w:gridCol w:w="36"/>
        <w:gridCol w:w="36"/>
        <w:gridCol w:w="121"/>
        <w:gridCol w:w="1023"/>
        <w:gridCol w:w="37"/>
      </w:tblGrid>
      <w:tr w:rsidR="00000000">
        <w:trPr>
          <w:divId w:val="656615487"/>
        </w:trPr>
        <w:tc>
          <w:tcPr>
            <w:tcW w:w="50" w:type="pct"/>
            <w:vAlign w:val="center"/>
            <w:hideMark/>
          </w:tcPr>
          <w:p w:rsidR="00000000" w:rsidRDefault="00C9777F">
            <w:pPr>
              <w:ind w:firstLine="360"/>
              <w:rPr>
                <w:rFonts w:eastAsia="Times New Roman"/>
              </w:rPr>
            </w:pPr>
          </w:p>
        </w:tc>
        <w:tc>
          <w:tcPr>
            <w:tcW w:w="198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 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 October 1, 2021</w:t>
            </w:r>
          </w:p>
        </w:tc>
      </w:tr>
      <w:tr w:rsidR="00000000">
        <w:trPr>
          <w:divId w:val="656615487"/>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Other Benefits</w:t>
            </w:r>
          </w:p>
        </w:tc>
      </w:tr>
      <w:tr w:rsidR="00000000">
        <w:trPr>
          <w:divId w:val="656615487"/>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Operating</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14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Non-operating</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(467)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26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Amortization of prior service credit (cost)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56615487"/>
        </w:trPr>
        <w:tc>
          <w:tcPr>
            <w:tcW w:w="0" w:type="auto"/>
            <w:gridSpan w:val="3"/>
            <w:shd w:val="clear" w:color="auto" w:fill="CCEEFF"/>
            <w:tcMar>
              <w:top w:w="30" w:type="dxa"/>
              <w:left w:w="26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Effect of curtailments or settlements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Non-service cost periodic benefit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periodic benefit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656615487"/>
          <w:trHeight w:val="60"/>
        </w:trPr>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bl>
    <w:p w:rsidR="00000000" w:rsidRDefault="00C9777F">
      <w:pPr>
        <w:ind w:firstLine="360"/>
        <w:divId w:val="490214914"/>
        <w:rPr>
          <w:rFonts w:eastAsia="Times New Roman"/>
        </w:rPr>
      </w:pPr>
      <w:r>
        <w:rPr>
          <w:rFonts w:eastAsia="Times New Roman"/>
          <w:color w:val="000000"/>
          <w:sz w:val="20"/>
          <w:szCs w:val="20"/>
        </w:rPr>
        <w:t>During the quarter and three quarters ended October 1, 2021, we undertook an initiative to de-risk pension obligations by purchasing a group annuity policy and transferring approximately $81 million and $250 million, respectively, of pension plan as</w:t>
      </w:r>
      <w:r>
        <w:rPr>
          <w:rFonts w:eastAsia="Times New Roman"/>
          <w:color w:val="000000"/>
          <w:sz w:val="20"/>
          <w:szCs w:val="20"/>
        </w:rPr>
        <w:t>sets to an insurance company thereby reducing our defined benefit obligations by approximately $81 million and $250 million, respectively. As a result of the annuity purchase, we recognized pre-tax Financial Accounting Standard settlement losses of $7 mill</w:t>
      </w:r>
      <w:r>
        <w:rPr>
          <w:rFonts w:eastAsia="Times New Roman"/>
          <w:color w:val="000000"/>
          <w:sz w:val="20"/>
          <w:szCs w:val="20"/>
        </w:rPr>
        <w:t xml:space="preserve">ion and $4 million in the quarter and three quarters ended October 1, 2021, respectively, which are included as a component of the “Non-operating income, net” line item in our Condensed Consolidated Statement of Operations (Unaudited). </w:t>
      </w:r>
    </w:p>
    <w:p w:rsidR="00000000" w:rsidRDefault="00C9777F">
      <w:pPr>
        <w:ind w:firstLine="360"/>
        <w:divId w:val="1408577668"/>
        <w:rPr>
          <w:rFonts w:eastAsia="Times New Roman"/>
        </w:rPr>
      </w:pPr>
      <w:r>
        <w:rPr>
          <w:rFonts w:eastAsia="Times New Roman"/>
          <w:color w:val="000000"/>
          <w:sz w:val="20"/>
          <w:szCs w:val="20"/>
        </w:rPr>
        <w:t>The service cost co</w:t>
      </w:r>
      <w:r>
        <w:rPr>
          <w:rFonts w:eastAsia="Times New Roman"/>
          <w:color w:val="000000"/>
          <w:sz w:val="20"/>
          <w:szCs w:val="20"/>
        </w:rPr>
        <w:t>mponent of net periodic benefit income is included in the “Cost of product sales and services” and “Engineering, selling and administrative expenses” line items in our Condensed Consolidated Statement of Operations (Unaudited). The non-service cost compone</w:t>
      </w:r>
      <w:r>
        <w:rPr>
          <w:rFonts w:eastAsia="Times New Roman"/>
          <w:color w:val="000000"/>
          <w:sz w:val="20"/>
          <w:szCs w:val="20"/>
        </w:rPr>
        <w:t>nts of net periodic benefit income are included in the “Non-operating income, net” line item in our Condensed Consolidated Statement of Operations (Unaudited).</w:t>
      </w:r>
    </w:p>
    <w:p w:rsidR="00000000" w:rsidRDefault="00C9777F">
      <w:pPr>
        <w:ind w:firstLine="360"/>
        <w:divId w:val="1623073191"/>
        <w:rPr>
          <w:rFonts w:eastAsia="Times New Roman"/>
        </w:rPr>
      </w:pPr>
      <w:r>
        <w:rPr>
          <w:rFonts w:eastAsia="Times New Roman"/>
          <w:color w:val="000000"/>
          <w:sz w:val="20"/>
          <w:szCs w:val="20"/>
        </w:rPr>
        <w:t>We made no material contributions to our U.S. qualified defined benefit pension plans during the</w:t>
      </w:r>
      <w:r>
        <w:rPr>
          <w:rFonts w:eastAsia="Times New Roman"/>
          <w:color w:val="000000"/>
          <w:sz w:val="20"/>
          <w:szCs w:val="20"/>
        </w:rPr>
        <w:t xml:space="preserve"> quarter or three quarters ended September 30, 2022 or October 1, 2021. As a result of prior voluntary contributions, we are not required to make any contributions to these plans during fiscal 2022 and for several years thereafter.</w:t>
      </w:r>
    </w:p>
    <w:p w:rsidR="00000000" w:rsidRDefault="00C9777F">
      <w:pPr>
        <w:divId w:val="667712332"/>
        <w:rPr>
          <w:rFonts w:eastAsia="Times New Roman"/>
        </w:rPr>
      </w:pPr>
      <w:r>
        <w:rPr>
          <w:rFonts w:eastAsia="Times New Roman"/>
          <w:b/>
          <w:bCs/>
          <w:color w:val="000000"/>
          <w:sz w:val="20"/>
          <w:szCs w:val="20"/>
        </w:rPr>
        <w:t xml:space="preserve">NOTE M— </w:t>
      </w:r>
      <w:r>
        <w:rPr>
          <w:rFonts w:eastAsia="Times New Roman"/>
          <w:b/>
          <w:bCs/>
          <w:color w:val="000000"/>
          <w:sz w:val="20"/>
          <w:szCs w:val="20"/>
        </w:rPr>
        <w:t>EARNINGS PER SHARE</w:t>
      </w:r>
      <w:r>
        <w:rPr>
          <w:rFonts w:eastAsia="Times New Roman"/>
          <w:b/>
          <w:bCs/>
          <w:i/>
          <w:iCs/>
          <w:color w:val="000000"/>
          <w:sz w:val="20"/>
          <w:szCs w:val="20"/>
        </w:rPr>
        <w:t xml:space="preserve"> </w:t>
      </w:r>
    </w:p>
    <w:p w:rsidR="00000000" w:rsidRDefault="00C9777F">
      <w:pPr>
        <w:ind w:firstLine="360"/>
        <w:divId w:val="1132165824"/>
        <w:rPr>
          <w:rFonts w:eastAsia="Times New Roman"/>
        </w:rPr>
      </w:pPr>
      <w:r>
        <w:rPr>
          <w:rFonts w:eastAsia="Times New Roman"/>
          <w:color w:val="000000"/>
          <w:sz w:val="20"/>
          <w:szCs w:val="20"/>
        </w:rPr>
        <w:t xml:space="preserve">(Loss) income from continuing operations per common share attributable to L3Harris common shareholders (“EPS”) is computed using the two-class method, which is an earnings allocation formula that determines EPS for common stock and any </w:t>
      </w:r>
      <w:r>
        <w:rPr>
          <w:rFonts w:eastAsia="Times New Roman"/>
          <w:color w:val="000000"/>
          <w:sz w:val="20"/>
          <w:szCs w:val="20"/>
        </w:rPr>
        <w:t>participating securities according to dividends paid and participation rights in undistributed earnings. Under the two-class method, EPS is computed by dividing the sum of earnings distributed to L3Harris common shareholders and undistributed earnings allo</w:t>
      </w:r>
      <w:r>
        <w:rPr>
          <w:rFonts w:eastAsia="Times New Roman"/>
          <w:color w:val="000000"/>
          <w:sz w:val="20"/>
          <w:szCs w:val="20"/>
        </w:rPr>
        <w:t xml:space="preserve">cated to L3Harris common shareholders by the weighted-average number of common shares outstanding for the period. (Loss) income from continuing operations per diluted common share attributable to L3Harris common shareholders (“diluted EPS”) is </w:t>
      </w:r>
    </w:p>
    <w:p w:rsidR="00000000" w:rsidRDefault="00C9777F">
      <w:pPr>
        <w:ind w:firstLine="360"/>
        <w:jc w:val="center"/>
        <w:divId w:val="1195188190"/>
        <w:rPr>
          <w:rFonts w:eastAsia="Times New Roman"/>
        </w:rPr>
      </w:pPr>
      <w:r>
        <w:rPr>
          <w:rFonts w:eastAsia="Times New Roman"/>
          <w:color w:val="000000"/>
          <w:sz w:val="20"/>
          <w:szCs w:val="20"/>
        </w:rPr>
        <w:t>12</w:t>
      </w:r>
    </w:p>
    <w:p w:rsidR="00000000" w:rsidRDefault="00C9777F">
      <w:pPr>
        <w:rPr>
          <w:rFonts w:eastAsia="Times New Roman"/>
        </w:rPr>
      </w:pPr>
      <w:r>
        <w:rPr>
          <w:rFonts w:eastAsia="Times New Roman"/>
        </w:rPr>
        <w:pict>
          <v:rect id="_x0000_i1039" style="width:0;height:1.5pt" o:hralign="center" o:hrstd="t" o:hr="t" fillcolor="#a0a0a0" stroked="f"/>
        </w:pict>
      </w:r>
    </w:p>
    <w:p w:rsidR="00000000" w:rsidRDefault="00C9777F">
      <w:pPr>
        <w:ind w:firstLine="360"/>
        <w:divId w:val="1720206106"/>
        <w:rPr>
          <w:rFonts w:eastAsia="Times New Roman"/>
        </w:rPr>
      </w:pPr>
    </w:p>
    <w:p w:rsidR="00000000" w:rsidRDefault="00C9777F">
      <w:pPr>
        <w:divId w:val="1852987531"/>
        <w:rPr>
          <w:rFonts w:eastAsia="Times New Roman"/>
        </w:rPr>
      </w:pPr>
      <w:r>
        <w:rPr>
          <w:rFonts w:eastAsia="Times New Roman"/>
          <w:color w:val="000000"/>
          <w:sz w:val="20"/>
          <w:szCs w:val="20"/>
        </w:rPr>
        <w:t xml:space="preserve">computed using the more dilutive of the two-class method or the treasury stock method. Under the treasury stock method, diluted EPS is computed by dividing net (loss) income attributable to L3Harris common shareholders by the </w:t>
      </w:r>
      <w:r>
        <w:rPr>
          <w:rFonts w:eastAsia="Times New Roman"/>
          <w:color w:val="000000"/>
          <w:sz w:val="20"/>
          <w:szCs w:val="20"/>
        </w:rPr>
        <w:t>weighted-average number of common shares outstanding for the period. In applying the two-class method, undistributed earnings are allocated to both common shares and participating securities based on the weighted-average shares outstanding during the perio</w:t>
      </w:r>
      <w:r>
        <w:rPr>
          <w:rFonts w:eastAsia="Times New Roman"/>
          <w:color w:val="000000"/>
          <w:sz w:val="20"/>
          <w:szCs w:val="20"/>
        </w:rPr>
        <w:t>d.</w:t>
      </w:r>
    </w:p>
    <w:p w:rsidR="00000000" w:rsidRDefault="00C9777F">
      <w:pPr>
        <w:ind w:firstLine="360"/>
        <w:divId w:val="1642298731"/>
        <w:rPr>
          <w:rFonts w:eastAsia="Times New Roman"/>
        </w:rPr>
      </w:pPr>
      <w:r>
        <w:rPr>
          <w:rFonts w:eastAsia="Times New Roman"/>
          <w:color w:val="000000"/>
          <w:sz w:val="20"/>
          <w:szCs w:val="20"/>
        </w:rPr>
        <w:t>The weighted average number of shares outstanding used to compute basic and diluted EPS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4222"/>
        <w:gridCol w:w="36"/>
        <w:gridCol w:w="68"/>
        <w:gridCol w:w="813"/>
        <w:gridCol w:w="37"/>
        <w:gridCol w:w="37"/>
        <w:gridCol w:w="37"/>
        <w:gridCol w:w="36"/>
        <w:gridCol w:w="53"/>
        <w:gridCol w:w="828"/>
        <w:gridCol w:w="36"/>
        <w:gridCol w:w="36"/>
        <w:gridCol w:w="36"/>
        <w:gridCol w:w="36"/>
        <w:gridCol w:w="68"/>
        <w:gridCol w:w="813"/>
        <w:gridCol w:w="37"/>
        <w:gridCol w:w="37"/>
        <w:gridCol w:w="37"/>
        <w:gridCol w:w="36"/>
        <w:gridCol w:w="53"/>
        <w:gridCol w:w="828"/>
        <w:gridCol w:w="37"/>
      </w:tblGrid>
      <w:tr w:rsidR="00000000">
        <w:trPr>
          <w:divId w:val="740755016"/>
        </w:trPr>
        <w:tc>
          <w:tcPr>
            <w:tcW w:w="50" w:type="pct"/>
            <w:vAlign w:val="center"/>
            <w:hideMark/>
          </w:tcPr>
          <w:p w:rsidR="00000000" w:rsidRDefault="00C9777F">
            <w:pPr>
              <w:ind w:firstLine="360"/>
              <w:rPr>
                <w:rFonts w:eastAsia="Times New Roman"/>
              </w:rPr>
            </w:pPr>
          </w:p>
        </w:tc>
        <w:tc>
          <w:tcPr>
            <w:tcW w:w="255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740755016"/>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divId w:val="740755016"/>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740755016"/>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740755016"/>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Basic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191.3 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199.5 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203.3 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740755016"/>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740755016"/>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firstLine="360"/>
        <w:divId w:val="17052727"/>
        <w:rPr>
          <w:rFonts w:eastAsia="Times New Roman"/>
        </w:rPr>
      </w:pPr>
      <w:r>
        <w:rPr>
          <w:rFonts w:eastAsia="Times New Roman"/>
          <w:color w:val="000000"/>
          <w:sz w:val="20"/>
          <w:szCs w:val="20"/>
        </w:rPr>
        <w:t>Potential dilutive common shares primarily consist of employee sto</w:t>
      </w:r>
      <w:r>
        <w:rPr>
          <w:rFonts w:eastAsia="Times New Roman"/>
          <w:color w:val="000000"/>
          <w:sz w:val="20"/>
          <w:szCs w:val="20"/>
        </w:rPr>
        <w:t>ck options and restricted and performance unit awards. Diluted EPS excludes the antidilutive impact of 1.9 million and 0.3 million weighted average share-based awards outstanding for the quarter and three quarters ended September 30, 2022, respectively, an</w:t>
      </w:r>
      <w:r>
        <w:rPr>
          <w:rFonts w:eastAsia="Times New Roman"/>
          <w:color w:val="000000"/>
          <w:sz w:val="20"/>
          <w:szCs w:val="20"/>
        </w:rPr>
        <w:t>d 1.1 million weighted average share-based awards outstanding for the three quarters ended October 1, 2021. The anti-dilutive impact of weighted average share-based awards outstanding for the quarter ended October 1, 2021 was immaterial.</w:t>
      </w:r>
    </w:p>
    <w:p w:rsidR="00000000" w:rsidRDefault="00C9777F">
      <w:pPr>
        <w:divId w:val="1272516327"/>
        <w:rPr>
          <w:rFonts w:eastAsia="Times New Roman"/>
        </w:rPr>
      </w:pPr>
      <w:r>
        <w:rPr>
          <w:rFonts w:eastAsia="Times New Roman"/>
          <w:b/>
          <w:bCs/>
          <w:color w:val="000000"/>
          <w:sz w:val="20"/>
          <w:szCs w:val="20"/>
        </w:rPr>
        <w:t>NOTE N— INCOME TAX</w:t>
      </w:r>
      <w:r>
        <w:rPr>
          <w:rFonts w:eastAsia="Times New Roman"/>
          <w:b/>
          <w:bCs/>
          <w:color w:val="000000"/>
          <w:sz w:val="20"/>
          <w:szCs w:val="20"/>
        </w:rPr>
        <w:t>ES</w:t>
      </w:r>
      <w:r>
        <w:rPr>
          <w:rFonts w:eastAsia="Times New Roman"/>
          <w:b/>
          <w:bCs/>
          <w:i/>
          <w:iCs/>
          <w:color w:val="000000"/>
          <w:sz w:val="20"/>
          <w:szCs w:val="20"/>
        </w:rPr>
        <w:t xml:space="preserve"> </w:t>
      </w:r>
    </w:p>
    <w:p w:rsidR="00000000" w:rsidRDefault="00C9777F">
      <w:pPr>
        <w:ind w:firstLine="360"/>
        <w:divId w:val="1274744871"/>
        <w:rPr>
          <w:rFonts w:eastAsia="Times New Roman"/>
        </w:rPr>
      </w:pPr>
      <w:r>
        <w:rPr>
          <w:rFonts w:eastAsia="Times New Roman"/>
          <w:color w:val="000000"/>
          <w:sz w:val="20"/>
          <w:szCs w:val="20"/>
        </w:rPr>
        <w:t>Our effective tax rate (income taxes as a percentage of (loss) income from continuing operations before income taxes) was 6.2% on the loss from continuing operations for the quarter ended September 30, 2022 compared with 18.3% on the income from contin</w:t>
      </w:r>
      <w:r>
        <w:rPr>
          <w:rFonts w:eastAsia="Times New Roman"/>
          <w:color w:val="000000"/>
          <w:sz w:val="20"/>
          <w:szCs w:val="20"/>
        </w:rPr>
        <w:t>uing operations</w:t>
      </w:r>
      <w:r>
        <w:rPr>
          <w:rFonts w:ascii="Calibri" w:eastAsia="Times New Roman" w:hAnsi="Calibri" w:cs="Calibri"/>
          <w:color w:val="FF0000"/>
          <w:sz w:val="22"/>
          <w:szCs w:val="22"/>
        </w:rPr>
        <w:t xml:space="preserve"> </w:t>
      </w:r>
      <w:r>
        <w:rPr>
          <w:rFonts w:eastAsia="Times New Roman"/>
          <w:color w:val="000000"/>
          <w:sz w:val="20"/>
          <w:szCs w:val="20"/>
        </w:rPr>
        <w:t>for the quarter ended October 1, 2021. For the quarter ended September 30, 2022, our effective tax rate benefited from the favorable impacts of Research and Development (“R&amp;D”) credits, incremental foreign-derived intangible income (“FDII”)</w:t>
      </w:r>
      <w:r>
        <w:rPr>
          <w:rFonts w:eastAsia="Times New Roman"/>
          <w:color w:val="000000"/>
          <w:sz w:val="20"/>
          <w:szCs w:val="20"/>
        </w:rPr>
        <w:t xml:space="preserve"> and the release of a valuation allowance in a foreign jurisdiction resulting from an internal restructuring, partially offset by the unfavorable impact of non-deductible goodwill impairments. For the quarter ended October 1, 2021, our effective tax rate w</w:t>
      </w:r>
      <w:r>
        <w:rPr>
          <w:rFonts w:eastAsia="Times New Roman"/>
          <w:color w:val="000000"/>
          <w:sz w:val="20"/>
          <w:szCs w:val="20"/>
        </w:rPr>
        <w:t>as unfavorably impacted by non-deductible goodwill from completed business divestitures and the unfavorable impact of valuation allowances in certain foreign jurisdictions, partially offset by the favorable impact of R&amp;D credits, favorable adjustments upon</w:t>
      </w:r>
      <w:r>
        <w:rPr>
          <w:rFonts w:eastAsia="Times New Roman"/>
          <w:color w:val="000000"/>
          <w:sz w:val="20"/>
          <w:szCs w:val="20"/>
        </w:rPr>
        <w:t xml:space="preserve"> finalization of our Federal tax return, the favorable impact of excess tax benefits related to equity-based compensation and the favorable resolution of specific audit uncertainties.</w:t>
      </w:r>
    </w:p>
    <w:p w:rsidR="00000000" w:rsidRDefault="00C9777F">
      <w:pPr>
        <w:ind w:firstLine="360"/>
        <w:divId w:val="647133977"/>
        <w:rPr>
          <w:rFonts w:eastAsia="Times New Roman"/>
        </w:rPr>
      </w:pPr>
      <w:r>
        <w:rPr>
          <w:rFonts w:eastAsia="Times New Roman"/>
          <w:color w:val="000000"/>
          <w:sz w:val="20"/>
          <w:szCs w:val="20"/>
        </w:rPr>
        <w:t xml:space="preserve">Our effective tax rate was 13.0% for the three quarters ended September </w:t>
      </w:r>
      <w:r>
        <w:rPr>
          <w:rFonts w:eastAsia="Times New Roman"/>
          <w:color w:val="000000"/>
          <w:sz w:val="20"/>
          <w:szCs w:val="20"/>
        </w:rPr>
        <w:t xml:space="preserve">30, 2022 compared with 19.8% for the three quarters ended October 1, 2021. Our effective tax rate for the three quarters ended September 30, 2022 was favorably impacted by a reduction in the deferred tax liabilities on the outside basis of certain foreign </w:t>
      </w:r>
      <w:r>
        <w:rPr>
          <w:rFonts w:eastAsia="Times New Roman"/>
          <w:color w:val="000000"/>
          <w:sz w:val="20"/>
          <w:szCs w:val="20"/>
        </w:rPr>
        <w:t>subsidiaries due to an internal restructuring, the favorable impact of excess tax benefits related to equity-based compensation and the items described above for the quarter ended September 30, 2022. Our effective tax rate for the three quarters ended Octo</w:t>
      </w:r>
      <w:r>
        <w:rPr>
          <w:rFonts w:eastAsia="Times New Roman"/>
          <w:color w:val="000000"/>
          <w:sz w:val="20"/>
          <w:szCs w:val="20"/>
        </w:rPr>
        <w:t>ber 1, 2021 were impacted by the items described above for the quarter ended October 1, 2021.</w:t>
      </w:r>
    </w:p>
    <w:p w:rsidR="00000000" w:rsidRDefault="00C9777F">
      <w:pPr>
        <w:divId w:val="142044568"/>
        <w:rPr>
          <w:rFonts w:eastAsia="Times New Roman"/>
        </w:rPr>
      </w:pPr>
      <w:r>
        <w:rPr>
          <w:rFonts w:eastAsia="Times New Roman"/>
          <w:b/>
          <w:bCs/>
          <w:color w:val="000000"/>
          <w:sz w:val="20"/>
          <w:szCs w:val="20"/>
        </w:rPr>
        <w:t>NOTE O— FAIR VALUE MEASUREMENTS</w:t>
      </w:r>
    </w:p>
    <w:p w:rsidR="00000000" w:rsidRDefault="00C9777F">
      <w:pPr>
        <w:ind w:firstLine="360"/>
        <w:divId w:val="354500124"/>
        <w:rPr>
          <w:rFonts w:eastAsia="Times New Roman"/>
        </w:rPr>
      </w:pPr>
      <w:r>
        <w:rPr>
          <w:rFonts w:eastAsia="Times New Roman"/>
          <w:color w:val="000000"/>
          <w:sz w:val="20"/>
          <w:szCs w:val="20"/>
        </w:rPr>
        <w:t xml:space="preserve">Fair value is defined as the price that would be received for an asset or the price that would be paid to transfer a liability in </w:t>
      </w:r>
      <w:r>
        <w:rPr>
          <w:rFonts w:eastAsia="Times New Roman"/>
          <w:color w:val="000000"/>
          <w:sz w:val="20"/>
          <w:szCs w:val="20"/>
        </w:rPr>
        <w:t>the principal market or most advantageous market in an orderly transaction between market participants at the measurement date. Entities are required to maximize the use of observable inputs and minimize the use of unobservable inputs in measuring fair val</w:t>
      </w:r>
      <w:r>
        <w:rPr>
          <w:rFonts w:eastAsia="Times New Roman"/>
          <w:color w:val="000000"/>
          <w:sz w:val="20"/>
          <w:szCs w:val="20"/>
        </w:rPr>
        <w:t>ue, and to utilize a three-level fair value hierarchy that prioritizes the inputs used to measure fair value. The three levels of inputs used to measure fair value are as follows:</w:t>
      </w:r>
    </w:p>
    <w:p w:rsidR="00000000" w:rsidRDefault="00C9777F">
      <w:pPr>
        <w:ind w:hanging="360"/>
        <w:divId w:val="1670600722"/>
        <w:rPr>
          <w:rFonts w:eastAsia="Times New Roman"/>
        </w:rPr>
      </w:pPr>
      <w:r>
        <w:rPr>
          <w:rFonts w:eastAsia="Times New Roman"/>
          <w:color w:val="000000"/>
          <w:sz w:val="20"/>
          <w:szCs w:val="20"/>
        </w:rPr>
        <w:t>•Level 1 — Quoted prices in active markets for identical assets or liabiliti</w:t>
      </w:r>
      <w:r>
        <w:rPr>
          <w:rFonts w:eastAsia="Times New Roman"/>
          <w:color w:val="000000"/>
          <w:sz w:val="20"/>
          <w:szCs w:val="20"/>
        </w:rPr>
        <w:t>es.</w:t>
      </w:r>
    </w:p>
    <w:p w:rsidR="00000000" w:rsidRDefault="00C9777F">
      <w:pPr>
        <w:ind w:hanging="360"/>
        <w:divId w:val="1105886161"/>
        <w:rPr>
          <w:rFonts w:eastAsia="Times New Roman"/>
        </w:rPr>
      </w:pPr>
      <w:r>
        <w:rPr>
          <w:rFonts w:eastAsia="Times New Roman"/>
          <w:color w:val="000000"/>
          <w:sz w:val="20"/>
          <w:szCs w:val="20"/>
        </w:rPr>
        <w:t>•Level 2 — Observable inputs other than quoted prices included within Level 1, including quoted prices for similar assets or liabilities in active markets; quoted prices for identical or similar assets or liabilities in markets that are not active; and</w:t>
      </w:r>
      <w:r>
        <w:rPr>
          <w:rFonts w:eastAsia="Times New Roman"/>
          <w:color w:val="000000"/>
          <w:sz w:val="20"/>
          <w:szCs w:val="20"/>
        </w:rPr>
        <w:t xml:space="preserve"> inputs other than quoted prices that are observable or are derived principally from, or corroborated by, observable market data by correlation or other means.</w:t>
      </w:r>
    </w:p>
    <w:p w:rsidR="00000000" w:rsidRDefault="00C9777F">
      <w:pPr>
        <w:ind w:hanging="360"/>
        <w:divId w:val="704788752"/>
        <w:rPr>
          <w:rFonts w:eastAsia="Times New Roman"/>
        </w:rPr>
      </w:pPr>
      <w:r>
        <w:rPr>
          <w:rFonts w:eastAsia="Times New Roman"/>
          <w:color w:val="000000"/>
          <w:sz w:val="20"/>
          <w:szCs w:val="20"/>
        </w:rPr>
        <w:t xml:space="preserve">•Level 3 — </w:t>
      </w:r>
      <w:r>
        <w:rPr>
          <w:rFonts w:eastAsia="Times New Roman"/>
          <w:color w:val="000000"/>
          <w:sz w:val="20"/>
          <w:szCs w:val="20"/>
        </w:rPr>
        <w:t>Unobservable inputs that are supported by little or no market activity, are significant to the fair value of the assets or liabilities, and reflect our own assumptions about the assumptions market participants would use in pricing the asset or liability de</w:t>
      </w:r>
      <w:r>
        <w:rPr>
          <w:rFonts w:eastAsia="Times New Roman"/>
          <w:color w:val="000000"/>
          <w:sz w:val="20"/>
          <w:szCs w:val="20"/>
        </w:rPr>
        <w:t>veloped using the best information available in the circumstances.</w:t>
      </w:r>
    </w:p>
    <w:p w:rsidR="00000000" w:rsidRDefault="00C9777F">
      <w:pPr>
        <w:ind w:firstLine="360"/>
        <w:divId w:val="759253957"/>
        <w:rPr>
          <w:rFonts w:eastAsia="Times New Roman"/>
        </w:rPr>
      </w:pPr>
      <w:r>
        <w:rPr>
          <w:rFonts w:eastAsia="Times New Roman"/>
          <w:color w:val="000000"/>
          <w:sz w:val="20"/>
          <w:szCs w:val="20"/>
        </w:rPr>
        <w:t>In certain instances, fair value is estimated using quoted market prices obtained from external pricing services. In obtaining such data from the external pricing services, we have evaluate</w:t>
      </w:r>
      <w:r>
        <w:rPr>
          <w:rFonts w:eastAsia="Times New Roman"/>
          <w:color w:val="000000"/>
          <w:sz w:val="20"/>
          <w:szCs w:val="20"/>
        </w:rPr>
        <w:t xml:space="preserve">d the methodologies used to develop the estimate of fair value in order to assess whether such valuations are representative of fair value, including net asset value (“NAV”). Additionally, in </w:t>
      </w:r>
    </w:p>
    <w:p w:rsidR="00000000" w:rsidRDefault="00C9777F">
      <w:pPr>
        <w:ind w:firstLine="360"/>
        <w:jc w:val="center"/>
        <w:divId w:val="1383410691"/>
        <w:rPr>
          <w:rFonts w:eastAsia="Times New Roman"/>
        </w:rPr>
      </w:pPr>
      <w:r>
        <w:rPr>
          <w:rFonts w:eastAsia="Times New Roman"/>
          <w:color w:val="000000"/>
          <w:sz w:val="20"/>
          <w:szCs w:val="20"/>
        </w:rPr>
        <w:t>13</w:t>
      </w:r>
    </w:p>
    <w:p w:rsidR="00000000" w:rsidRDefault="00C9777F">
      <w:pPr>
        <w:rPr>
          <w:rFonts w:eastAsia="Times New Roman"/>
        </w:rPr>
      </w:pPr>
      <w:r>
        <w:rPr>
          <w:rFonts w:eastAsia="Times New Roman"/>
        </w:rPr>
        <w:pict>
          <v:rect id="_x0000_i1040" style="width:0;height:1.5pt" o:hralign="center" o:hrstd="t" o:hr="t" fillcolor="#a0a0a0" stroked="f"/>
        </w:pict>
      </w:r>
    </w:p>
    <w:p w:rsidR="00000000" w:rsidRDefault="00C9777F">
      <w:pPr>
        <w:ind w:firstLine="360"/>
        <w:divId w:val="1880631911"/>
        <w:rPr>
          <w:rFonts w:eastAsia="Times New Roman"/>
        </w:rPr>
      </w:pPr>
    </w:p>
    <w:p w:rsidR="00000000" w:rsidRDefault="00C9777F">
      <w:pPr>
        <w:divId w:val="200093672"/>
        <w:rPr>
          <w:rFonts w:eastAsia="Times New Roman"/>
        </w:rPr>
      </w:pPr>
      <w:r>
        <w:rPr>
          <w:rFonts w:eastAsia="Times New Roman"/>
          <w:color w:val="000000"/>
          <w:sz w:val="20"/>
          <w:szCs w:val="20"/>
        </w:rPr>
        <w:t>certain circumstances, the NAV reported by an asset manager may be adjusted when sufficient evidence indicates NAV is not representative of fair value.</w:t>
      </w:r>
    </w:p>
    <w:p w:rsidR="00000000" w:rsidRDefault="00C9777F">
      <w:pPr>
        <w:ind w:firstLine="360"/>
        <w:divId w:val="1624115932"/>
        <w:rPr>
          <w:rFonts w:eastAsia="Times New Roman"/>
        </w:rPr>
      </w:pPr>
      <w:r>
        <w:rPr>
          <w:rFonts w:eastAsia="Times New Roman"/>
          <w:color w:val="000000"/>
          <w:sz w:val="20"/>
          <w:szCs w:val="20"/>
        </w:rPr>
        <w:t>The following table presents assets and liabilities measured at fa</w:t>
      </w:r>
      <w:r>
        <w:rPr>
          <w:rFonts w:eastAsia="Times New Roman"/>
          <w:color w:val="000000"/>
          <w:sz w:val="20"/>
          <w:szCs w:val="20"/>
        </w:rPr>
        <w:t>ir value on a recurring basis (at least annually) at September 30,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5"/>
        <w:gridCol w:w="3450"/>
        <w:gridCol w:w="40"/>
        <w:gridCol w:w="120"/>
        <w:gridCol w:w="640"/>
        <w:gridCol w:w="36"/>
        <w:gridCol w:w="36"/>
        <w:gridCol w:w="36"/>
        <w:gridCol w:w="36"/>
        <w:gridCol w:w="121"/>
        <w:gridCol w:w="640"/>
        <w:gridCol w:w="36"/>
        <w:gridCol w:w="36"/>
        <w:gridCol w:w="36"/>
        <w:gridCol w:w="36"/>
        <w:gridCol w:w="36"/>
        <w:gridCol w:w="648"/>
        <w:gridCol w:w="120"/>
        <w:gridCol w:w="640"/>
        <w:gridCol w:w="36"/>
        <w:gridCol w:w="36"/>
        <w:gridCol w:w="36"/>
        <w:gridCol w:w="36"/>
        <w:gridCol w:w="121"/>
        <w:gridCol w:w="641"/>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254829182"/>
        </w:trPr>
        <w:tc>
          <w:tcPr>
            <w:tcW w:w="50" w:type="pct"/>
            <w:vAlign w:val="center"/>
            <w:hideMark/>
          </w:tcPr>
          <w:p w:rsidR="00000000" w:rsidRDefault="00C9777F">
            <w:pPr>
              <w:ind w:firstLine="360"/>
              <w:rPr>
                <w:rFonts w:eastAsia="Times New Roman"/>
              </w:rPr>
            </w:pPr>
          </w:p>
        </w:tc>
        <w:tc>
          <w:tcPr>
            <w:tcW w:w="255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vAlign w:val="center"/>
            <w:hideMark/>
          </w:tcPr>
          <w:p w:rsidR="00000000" w:rsidRDefault="00C9777F">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c>
          <w:tcPr>
            <w:tcW w:w="0" w:type="auto"/>
            <w:gridSpan w:val="3"/>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Level 1</w:t>
            </w:r>
          </w:p>
        </w:tc>
        <w:tc>
          <w:tcPr>
            <w:tcW w:w="0" w:type="auto"/>
            <w:vAlign w:val="center"/>
            <w:hideMark/>
          </w:tcPr>
          <w:p w:rsidR="00000000" w:rsidRDefault="00C9777F">
            <w:pPr>
              <w:spacing w:after="100"/>
              <w:jc w:val="center"/>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Height w:val="30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FFFFFF"/>
            <w:tcMar>
              <w:top w:w="30" w:type="dxa"/>
              <w:left w:w="20" w:type="dxa"/>
              <w:bottom w:w="30" w:type="dxa"/>
              <w:right w:w="20" w:type="dxa"/>
            </w:tcMar>
            <w:hideMark/>
          </w:tcPr>
          <w:p w:rsidR="00000000" w:rsidRDefault="00C9777F">
            <w:pPr>
              <w:spacing w:after="100"/>
              <w:divId w:val="776413044"/>
              <w:rPr>
                <w:rFonts w:eastAsia="Times New Roman"/>
              </w:rPr>
            </w:pPr>
            <w:r>
              <w:rPr>
                <w:rFonts w:eastAsia="Times New Roman"/>
                <w:i/>
                <w:iCs/>
                <w:color w:val="000000"/>
                <w:sz w:val="20"/>
                <w:szCs w:val="20"/>
              </w:rPr>
              <w:t>Deferred compensation plan asset</w:t>
            </w:r>
            <w:r>
              <w:rPr>
                <w:rFonts w:eastAsia="Times New Roman"/>
                <w:i/>
                <w:iCs/>
                <w:color w:val="000000"/>
                <w:sz w:val="20"/>
                <w:szCs w:val="20"/>
              </w:rPr>
              <w:t>s</w:t>
            </w:r>
            <w:r>
              <w:rPr>
                <w:rFonts w:eastAsia="Times New Roman"/>
                <w:i/>
                <w:iCs/>
                <w:color w:val="000000"/>
                <w:sz w:val="13"/>
                <w:szCs w:val="13"/>
              </w:rPr>
              <w:t>(1</w:t>
            </w:r>
            <w:r>
              <w:rPr>
                <w:rFonts w:eastAsia="Times New Roman"/>
                <w:i/>
                <w:i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CCEE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Equity and fixed income securities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CCEEFF"/>
            <w:tcMar>
              <w:top w:w="30" w:type="dxa"/>
              <w:left w:w="6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FFFFFF"/>
            <w:tcMar>
              <w:top w:w="30" w:type="dxa"/>
              <w:left w:w="56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Height w:val="300"/>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CCEEFF"/>
            <w:tcMar>
              <w:top w:w="30" w:type="dxa"/>
              <w:left w:w="20" w:type="dxa"/>
              <w:bottom w:w="30" w:type="dxa"/>
              <w:right w:w="20" w:type="dxa"/>
            </w:tcMar>
            <w:hideMark/>
          </w:tcPr>
          <w:p w:rsidR="00000000" w:rsidRDefault="00C9777F">
            <w:pPr>
              <w:spacing w:after="100"/>
              <w:divId w:val="868952856"/>
              <w:rPr>
                <w:rFonts w:eastAsia="Times New Roman"/>
              </w:rPr>
            </w:pPr>
            <w:r>
              <w:rPr>
                <w:rFonts w:eastAsia="Times New Roman"/>
                <w:i/>
                <w:iCs/>
                <w:color w:val="000000"/>
                <w:sz w:val="20"/>
                <w:szCs w:val="20"/>
              </w:rPr>
              <w:t>Deferred compensation plan liabilitie</w:t>
            </w:r>
            <w:r>
              <w:rPr>
                <w:rFonts w:eastAsia="Times New Roman"/>
                <w:i/>
                <w:iCs/>
                <w:color w:val="000000"/>
                <w:sz w:val="20"/>
                <w:szCs w:val="20"/>
              </w:rPr>
              <w:t>s</w:t>
            </w:r>
            <w:r>
              <w:rPr>
                <w:rFonts w:eastAsia="Times New Roman"/>
                <w:i/>
                <w:iCs/>
                <w:color w:val="000000"/>
                <w:sz w:val="13"/>
                <w:szCs w:val="13"/>
              </w:rPr>
              <w:t>(2</w:t>
            </w:r>
            <w:r>
              <w:rPr>
                <w:rFonts w:eastAsia="Times New Roman"/>
                <w:i/>
                <w:i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FFFF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CCEEFF"/>
            <w:tcMar>
              <w:top w:w="30" w:type="dxa"/>
              <w:left w:w="38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Investments measured at NAV:</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FFFFFF"/>
            <w:tcMar>
              <w:top w:w="30" w:type="dxa"/>
              <w:left w:w="92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254829182"/>
        </w:trPr>
        <w:tc>
          <w:tcPr>
            <w:tcW w:w="0" w:type="auto"/>
            <w:gridSpan w:val="3"/>
            <w:shd w:val="clear" w:color="auto" w:fill="CCEEFF"/>
            <w:tcMar>
              <w:top w:w="30" w:type="dxa"/>
              <w:left w:w="56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hanging="360"/>
        <w:divId w:val="740636170"/>
        <w:rPr>
          <w:rFonts w:eastAsia="Times New Roman"/>
        </w:rPr>
      </w:pPr>
      <w:r>
        <w:rPr>
          <w:rFonts w:eastAsia="Times New Roman"/>
          <w:color w:val="000000"/>
          <w:sz w:val="16"/>
          <w:szCs w:val="16"/>
        </w:rPr>
        <w:t>_______________</w:t>
      </w:r>
    </w:p>
    <w:p w:rsidR="00000000" w:rsidRDefault="00C9777F">
      <w:pPr>
        <w:ind w:hanging="360"/>
        <w:divId w:val="1192918694"/>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 assets” and “Other non-current assets” line items in our Condensed Consolidated Balance Sheet (Unaudit</w:t>
      </w:r>
      <w:r>
        <w:rPr>
          <w:rFonts w:eastAsia="Times New Roman"/>
          <w:color w:val="000000"/>
          <w:sz w:val="16"/>
          <w:szCs w:val="16"/>
        </w:rPr>
        <w:t>ed), and which are measured at fair value.</w:t>
      </w:r>
    </w:p>
    <w:p w:rsidR="00000000" w:rsidRDefault="00C9777F">
      <w:pPr>
        <w:ind w:hanging="360"/>
        <w:divId w:val="1442526979"/>
        <w:rPr>
          <w:rFonts w:eastAsia="Times New Roman"/>
        </w:rPr>
      </w:pPr>
      <w:r>
        <w:rPr>
          <w:rFonts w:eastAsia="Times New Roman"/>
          <w:color w:val="000000"/>
          <w:sz w:val="16"/>
          <w:szCs w:val="16"/>
        </w:rPr>
        <w:t xml:space="preserve">(2)Primarily represents obligations to pay benefits under certain non-qualified deferred compensation plans, which we include in the “Compensation and benefits” and “Other long-term liabilities” line items in our </w:t>
      </w:r>
      <w:r>
        <w:rPr>
          <w:rFonts w:eastAsia="Times New Roman"/>
          <w:color w:val="000000"/>
          <w:sz w:val="16"/>
          <w:szCs w:val="16"/>
        </w:rPr>
        <w:t>Condensed Consolidated Balance Sheet (Unaudited). Under these plans, participants designate investment options (including stock and fixed-income funds), which serve as the basis for measurement of the notional value of their accounts.</w:t>
      </w:r>
    </w:p>
    <w:p w:rsidR="00000000" w:rsidRDefault="00C9777F">
      <w:pPr>
        <w:ind w:firstLine="360"/>
        <w:divId w:val="2071343399"/>
        <w:rPr>
          <w:rFonts w:eastAsia="Times New Roman"/>
        </w:rPr>
      </w:pPr>
      <w:r>
        <w:rPr>
          <w:rFonts w:eastAsia="Times New Roman"/>
          <w:color w:val="000000"/>
          <w:sz w:val="20"/>
          <w:szCs w:val="20"/>
        </w:rPr>
        <w:t>The following table p</w:t>
      </w:r>
      <w:r>
        <w:rPr>
          <w:rFonts w:eastAsia="Times New Roman"/>
          <w:color w:val="000000"/>
          <w:sz w:val="20"/>
          <w:szCs w:val="20"/>
        </w:rPr>
        <w:t>resents the carrying amounts and estimated fair values of our significant financial instruments that were not measured at fair value (carrying amounts of other financial instruments not listed in the table below approximate fair value due to the short-term</w:t>
      </w:r>
      <w:r>
        <w:rPr>
          <w:rFonts w:eastAsia="Times New Roman"/>
          <w:color w:val="000000"/>
          <w:sz w:val="20"/>
          <w:szCs w:val="20"/>
        </w:rPr>
        <w:t xml:space="preserve"> nature of those items): </w:t>
      </w:r>
    </w:p>
    <w:tbl>
      <w:tblPr>
        <w:tblW w:w="5000" w:type="pct"/>
        <w:tblCellMar>
          <w:top w:w="15" w:type="dxa"/>
          <w:left w:w="15" w:type="dxa"/>
          <w:bottom w:w="15" w:type="dxa"/>
          <w:right w:w="15" w:type="dxa"/>
        </w:tblCellMar>
        <w:tblLook w:val="04A0" w:firstRow="1" w:lastRow="0" w:firstColumn="1" w:lastColumn="0" w:noHBand="0" w:noVBand="1"/>
      </w:tblPr>
      <w:tblGrid>
        <w:gridCol w:w="38"/>
        <w:gridCol w:w="364"/>
        <w:gridCol w:w="37"/>
        <w:gridCol w:w="37"/>
        <w:gridCol w:w="3479"/>
        <w:gridCol w:w="37"/>
        <w:gridCol w:w="121"/>
        <w:gridCol w:w="769"/>
        <w:gridCol w:w="36"/>
        <w:gridCol w:w="36"/>
        <w:gridCol w:w="36"/>
        <w:gridCol w:w="36"/>
        <w:gridCol w:w="120"/>
        <w:gridCol w:w="769"/>
        <w:gridCol w:w="36"/>
        <w:gridCol w:w="36"/>
        <w:gridCol w:w="36"/>
        <w:gridCol w:w="36"/>
        <w:gridCol w:w="121"/>
        <w:gridCol w:w="769"/>
        <w:gridCol w:w="36"/>
        <w:gridCol w:w="36"/>
        <w:gridCol w:w="36"/>
        <w:gridCol w:w="36"/>
        <w:gridCol w:w="120"/>
        <w:gridCol w:w="769"/>
        <w:gridCol w:w="36"/>
        <w:gridCol w:w="36"/>
        <w:gridCol w:w="36"/>
        <w:gridCol w:w="36"/>
        <w:gridCol w:w="36"/>
        <w:gridCol w:w="36"/>
        <w:gridCol w:w="36"/>
        <w:gridCol w:w="36"/>
        <w:gridCol w:w="36"/>
      </w:tblGrid>
      <w:tr w:rsidR="00000000">
        <w:trPr>
          <w:divId w:val="582103361"/>
        </w:trPr>
        <w:tc>
          <w:tcPr>
            <w:tcW w:w="50" w:type="pct"/>
            <w:vAlign w:val="center"/>
            <w:hideMark/>
          </w:tcPr>
          <w:p w:rsidR="00000000" w:rsidRDefault="00C9777F">
            <w:pPr>
              <w:ind w:firstLine="360"/>
              <w:rPr>
                <w:rFonts w:eastAsia="Times New Roman"/>
              </w:rPr>
            </w:pPr>
          </w:p>
        </w:tc>
        <w:tc>
          <w:tcPr>
            <w:tcW w:w="28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222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8210336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82103361"/>
        </w:trPr>
        <w:tc>
          <w:tcPr>
            <w:tcW w:w="0" w:type="auto"/>
            <w:gridSpan w:val="6"/>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82103361"/>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582103361"/>
        </w:trPr>
        <w:tc>
          <w:tcPr>
            <w:tcW w:w="0" w:type="auto"/>
            <w:gridSpan w:val="6"/>
            <w:shd w:val="clear" w:color="auto" w:fill="CCEEFF"/>
            <w:tcMar>
              <w:top w:w="30" w:type="dxa"/>
              <w:left w:w="20" w:type="dxa"/>
              <w:bottom w:w="30" w:type="dxa"/>
              <w:right w:w="20" w:type="dxa"/>
            </w:tcMar>
            <w:hideMark/>
          </w:tcPr>
          <w:p w:rsidR="00000000" w:rsidRDefault="00C9777F">
            <w:pPr>
              <w:spacing w:after="100"/>
              <w:divId w:val="847911798"/>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7,030 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6,494 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7,059 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7,701 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hanging="360"/>
        <w:divId w:val="452090124"/>
        <w:rPr>
          <w:rFonts w:eastAsia="Times New Roman"/>
        </w:rPr>
      </w:pPr>
      <w:r>
        <w:rPr>
          <w:rFonts w:eastAsia="Times New Roman"/>
          <w:color w:val="000000"/>
          <w:sz w:val="16"/>
          <w:szCs w:val="16"/>
        </w:rPr>
        <w:t>_______________</w:t>
      </w:r>
    </w:p>
    <w:p w:rsidR="00000000" w:rsidRDefault="00C9777F">
      <w:pPr>
        <w:ind w:hanging="360"/>
        <w:divId w:val="1419136004"/>
        <w:rPr>
          <w:rFonts w:eastAsia="Times New Roman"/>
        </w:rPr>
      </w:pPr>
      <w:r>
        <w:rPr>
          <w:rFonts w:eastAsia="Times New Roman"/>
          <w:color w:val="000000"/>
          <w:sz w:val="16"/>
          <w:szCs w:val="16"/>
        </w:rPr>
        <w:t>(1)The fair value was estimated using a market approach based on quoted market prices for our debt traded in the second</w:t>
      </w:r>
      <w:r>
        <w:rPr>
          <w:rFonts w:eastAsia="Times New Roman"/>
          <w:color w:val="000000"/>
          <w:sz w:val="16"/>
          <w:szCs w:val="16"/>
        </w:rPr>
        <w:t>ary market. If our long-term debt in our balance sheet was measured at fair value, it would be categorized in Level 2 of the fair value hierarchy.</w:t>
      </w:r>
    </w:p>
    <w:p w:rsidR="00000000" w:rsidRDefault="00C9777F">
      <w:pPr>
        <w:ind w:firstLine="360"/>
        <w:divId w:val="1451631289"/>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I — Goodwill and Other Intangible Assets </w:t>
      </w:r>
      <w:r>
        <w:rPr>
          <w:rFonts w:eastAsia="Times New Roman"/>
          <w:color w:val="000000"/>
          <w:sz w:val="20"/>
          <w:szCs w:val="20"/>
        </w:rPr>
        <w:t xml:space="preserve">in these Notes and </w:t>
      </w:r>
      <w:r>
        <w:rPr>
          <w:rFonts w:eastAsia="Times New Roman"/>
          <w:i/>
          <w:iCs/>
          <w:color w:val="000000"/>
          <w:sz w:val="20"/>
          <w:szCs w:val="20"/>
        </w:rPr>
        <w:t xml:space="preserve">Note 3: Business Divestitures and Asset </w:t>
      </w:r>
      <w:r>
        <w:rPr>
          <w:rFonts w:eastAsia="Times New Roman"/>
          <w:i/>
          <w:iCs/>
          <w:color w:val="000000"/>
          <w:sz w:val="20"/>
          <w:szCs w:val="20"/>
        </w:rPr>
        <w:t>Sales</w:t>
      </w:r>
      <w:r>
        <w:rPr>
          <w:rFonts w:eastAsia="Times New Roman"/>
          <w:color w:val="000000"/>
          <w:sz w:val="20"/>
          <w:szCs w:val="20"/>
        </w:rPr>
        <w:t xml:space="preserve"> in the Notes to Consolidated Financial Statements in our Fiscal 2021 Form 10-K for additional information regarding fair value measurements associated with goodwill. </w:t>
      </w:r>
    </w:p>
    <w:p w:rsidR="00000000" w:rsidRDefault="00C9777F">
      <w:pPr>
        <w:divId w:val="917593177"/>
        <w:rPr>
          <w:rFonts w:eastAsia="Times New Roman"/>
        </w:rPr>
      </w:pPr>
      <w:r>
        <w:rPr>
          <w:rFonts w:eastAsia="Times New Roman"/>
          <w:b/>
          <w:bCs/>
          <w:color w:val="000000"/>
          <w:sz w:val="20"/>
          <w:szCs w:val="20"/>
        </w:rPr>
        <w:t>NOTE P— DERIVATIVE INSTRUMENTS AND HEDGING ACTIVITIES</w:t>
      </w:r>
      <w:r>
        <w:rPr>
          <w:rFonts w:eastAsia="Times New Roman"/>
          <w:b/>
          <w:bCs/>
          <w:i/>
          <w:iCs/>
          <w:color w:val="000000"/>
          <w:sz w:val="20"/>
          <w:szCs w:val="20"/>
        </w:rPr>
        <w:t xml:space="preserve"> </w:t>
      </w:r>
    </w:p>
    <w:p w:rsidR="00000000" w:rsidRDefault="00C9777F">
      <w:pPr>
        <w:ind w:firstLine="360"/>
        <w:divId w:val="1814055288"/>
        <w:rPr>
          <w:rFonts w:eastAsia="Times New Roman"/>
        </w:rPr>
      </w:pPr>
      <w:r>
        <w:rPr>
          <w:rFonts w:eastAsia="Times New Roman"/>
          <w:color w:val="000000"/>
          <w:sz w:val="20"/>
          <w:szCs w:val="20"/>
        </w:rPr>
        <w:t xml:space="preserve">In the normal course of business, we are exposed to global market risks, including the effect of changes in foreign currency exchange rates. We use derivative instruments to manage our exposure to such risks and formally document all relationships between </w:t>
      </w:r>
      <w:r>
        <w:rPr>
          <w:rFonts w:eastAsia="Times New Roman"/>
          <w:color w:val="000000"/>
          <w:sz w:val="20"/>
          <w:szCs w:val="20"/>
        </w:rPr>
        <w:t>hedging instruments and hedged items, as well as the risk-management objective and strategy for undertaking hedge transactions. We also may enter into derivative instruments that are not designated as hedges and do not qualify for hedge accounting. We reco</w:t>
      </w:r>
      <w:r>
        <w:rPr>
          <w:rFonts w:eastAsia="Times New Roman"/>
          <w:color w:val="000000"/>
          <w:sz w:val="20"/>
          <w:szCs w:val="20"/>
        </w:rPr>
        <w:t>gnize all derivatives in our Condensed Consolidated Balance Sheet (Unaudited) at fair value. We do not hold or issue derivatives for speculative trading purposes.</w:t>
      </w:r>
    </w:p>
    <w:p w:rsidR="00000000" w:rsidRDefault="00C9777F">
      <w:pPr>
        <w:divId w:val="599686031"/>
        <w:rPr>
          <w:rFonts w:eastAsia="Times New Roman"/>
        </w:rPr>
      </w:pPr>
      <w:r>
        <w:rPr>
          <w:rFonts w:eastAsia="Times New Roman"/>
          <w:b/>
          <w:bCs/>
          <w:color w:val="000000"/>
          <w:sz w:val="20"/>
          <w:szCs w:val="20"/>
        </w:rPr>
        <w:t>Exchange Rate Risk — Cash Flow Hedges</w:t>
      </w:r>
    </w:p>
    <w:p w:rsidR="00000000" w:rsidRDefault="00C9777F">
      <w:pPr>
        <w:ind w:firstLine="360"/>
        <w:divId w:val="1224683553"/>
        <w:rPr>
          <w:rFonts w:eastAsia="Times New Roman"/>
        </w:rPr>
      </w:pPr>
      <w:r>
        <w:rPr>
          <w:rFonts w:eastAsia="Times New Roman"/>
          <w:color w:val="000000"/>
          <w:sz w:val="20"/>
          <w:szCs w:val="20"/>
        </w:rPr>
        <w:t>To manage our exposure to currency risk and market fluc</w:t>
      </w:r>
      <w:r>
        <w:rPr>
          <w:rFonts w:eastAsia="Times New Roman"/>
          <w:color w:val="000000"/>
          <w:sz w:val="20"/>
          <w:szCs w:val="20"/>
        </w:rPr>
        <w:t>tuation risk associated with anticipated cash flows that are probable of occurring in the future, we implement cash flow hedges. More specifically, we use foreign currency forward contracts and options to hedge off-balance sheet future foreign currency com</w:t>
      </w:r>
      <w:r>
        <w:rPr>
          <w:rFonts w:eastAsia="Times New Roman"/>
          <w:color w:val="000000"/>
          <w:sz w:val="20"/>
          <w:szCs w:val="20"/>
        </w:rPr>
        <w:t xml:space="preserve">mitments, including purchase commitments to suppliers, future committed sales to customers and intersegment transactions. These derivatives are used to hedge currency exposures from cash </w:t>
      </w:r>
    </w:p>
    <w:p w:rsidR="00000000" w:rsidRDefault="00C9777F">
      <w:pPr>
        <w:ind w:firstLine="360"/>
        <w:jc w:val="center"/>
        <w:divId w:val="19938274"/>
        <w:rPr>
          <w:rFonts w:eastAsia="Times New Roman"/>
        </w:rPr>
      </w:pPr>
      <w:r>
        <w:rPr>
          <w:rFonts w:eastAsia="Times New Roman"/>
          <w:color w:val="000000"/>
          <w:sz w:val="20"/>
          <w:szCs w:val="20"/>
        </w:rPr>
        <w:t>14</w:t>
      </w:r>
    </w:p>
    <w:p w:rsidR="00000000" w:rsidRDefault="00C9777F">
      <w:pPr>
        <w:rPr>
          <w:rFonts w:eastAsia="Times New Roman"/>
        </w:rPr>
      </w:pPr>
      <w:r>
        <w:rPr>
          <w:rFonts w:eastAsia="Times New Roman"/>
        </w:rPr>
        <w:pict>
          <v:rect id="_x0000_i1041" style="width:0;height:1.5pt" o:hralign="center" o:hrstd="t" o:hr="t" fillcolor="#a0a0a0" stroked="f"/>
        </w:pict>
      </w:r>
    </w:p>
    <w:p w:rsidR="00000000" w:rsidRDefault="00C9777F">
      <w:pPr>
        <w:ind w:firstLine="360"/>
        <w:divId w:val="854423129"/>
        <w:rPr>
          <w:rFonts w:eastAsia="Times New Roman"/>
        </w:rPr>
      </w:pPr>
    </w:p>
    <w:p w:rsidR="00000000" w:rsidRDefault="00C9777F">
      <w:pPr>
        <w:divId w:val="759717404"/>
        <w:rPr>
          <w:rFonts w:eastAsia="Times New Roman"/>
        </w:rPr>
      </w:pPr>
      <w:r>
        <w:rPr>
          <w:rFonts w:eastAsia="Times New Roman"/>
          <w:color w:val="000000"/>
          <w:sz w:val="20"/>
          <w:szCs w:val="20"/>
        </w:rPr>
        <w:t>flows anticipated across o</w:t>
      </w:r>
      <w:r>
        <w:rPr>
          <w:rFonts w:eastAsia="Times New Roman"/>
          <w:color w:val="000000"/>
          <w:sz w:val="20"/>
          <w:szCs w:val="20"/>
        </w:rPr>
        <w:t>ur business segments. We also hedge U.S. Dollar payments to suppliers to maintain our anticipated profit margins in our international operations. These derivatives have only nominal intrinsic value at the time of purchase and have a high degree of correlat</w:t>
      </w:r>
      <w:r>
        <w:rPr>
          <w:rFonts w:eastAsia="Times New Roman"/>
          <w:color w:val="000000"/>
          <w:sz w:val="20"/>
          <w:szCs w:val="20"/>
        </w:rPr>
        <w:t>ion to the anticipated cash flows they are designated to hedge. Hedge effectiveness is determined by the correlation of the anticipated cash flows from the hedging instruments and the anticipated cash flows from the future foreign currency commitments thro</w:t>
      </w:r>
      <w:r>
        <w:rPr>
          <w:rFonts w:eastAsia="Times New Roman"/>
          <w:color w:val="000000"/>
          <w:sz w:val="20"/>
          <w:szCs w:val="20"/>
        </w:rPr>
        <w:t>ugh the maturity dates of the derivatives used to hedge these cash flows. These financial instruments are marked-to-market using forward prices and fair value quotes with the offset to other comprehensive (loss) income. Gains and losses in AOCI are reclass</w:t>
      </w:r>
      <w:r>
        <w:rPr>
          <w:rFonts w:eastAsia="Times New Roman"/>
          <w:color w:val="000000"/>
          <w:sz w:val="20"/>
          <w:szCs w:val="20"/>
        </w:rPr>
        <w:t>ified to earnings when the related hedged item is recognized in earnings. The cash flow impact of our derivatives is included in the same category in our Condensed Consolidated Statement of Cash Flows (Unaudited) as the cash flows of the related hedged ite</w:t>
      </w:r>
      <w:r>
        <w:rPr>
          <w:rFonts w:eastAsia="Times New Roman"/>
          <w:color w:val="000000"/>
          <w:sz w:val="20"/>
          <w:szCs w:val="20"/>
        </w:rPr>
        <w:t>ms. Notional amounts are used to measure the volume of foreign currency forward contracts and do not represent exposure to foreign currency losses. At September 30, 2022, we had open foreign currency forward contracts with an aggregate notional amount of $</w:t>
      </w:r>
      <w:r>
        <w:rPr>
          <w:rFonts w:eastAsia="Times New Roman"/>
          <w:color w:val="000000"/>
          <w:sz w:val="20"/>
          <w:szCs w:val="20"/>
        </w:rPr>
        <w:t>347 million, hedging certain forecasted transactions denominated in Canadian Dollars, U.S. Dollars, British Pounds, Euros and Australian Dollars. At December 31, 2021, we had open foreign currency forward contracts with an aggregate notional amount of $328</w:t>
      </w:r>
      <w:r>
        <w:rPr>
          <w:rFonts w:eastAsia="Times New Roman"/>
          <w:color w:val="000000"/>
          <w:sz w:val="20"/>
          <w:szCs w:val="20"/>
        </w:rPr>
        <w:t xml:space="preserve"> million, hedging certain forecasted transactions denominated in U.S. Dollars, Canadian Dollars, British Pounds, Euros and Australian Dollars. </w:t>
      </w:r>
    </w:p>
    <w:p w:rsidR="00000000" w:rsidRDefault="00C9777F">
      <w:pPr>
        <w:ind w:firstLine="360"/>
        <w:divId w:val="151726495"/>
        <w:rPr>
          <w:rFonts w:eastAsia="Times New Roman"/>
        </w:rPr>
      </w:pPr>
      <w:r>
        <w:rPr>
          <w:rFonts w:eastAsia="Times New Roman"/>
          <w:color w:val="000000"/>
          <w:sz w:val="20"/>
          <w:szCs w:val="20"/>
        </w:rPr>
        <w:t>At September 30, 2022, our foreign currency forward contracts had maturities through 2025.</w:t>
      </w:r>
    </w:p>
    <w:p w:rsidR="00000000" w:rsidRDefault="00C9777F">
      <w:pPr>
        <w:ind w:firstLine="360"/>
        <w:divId w:val="1230767127"/>
        <w:rPr>
          <w:rFonts w:eastAsia="Times New Roman"/>
        </w:rPr>
      </w:pPr>
      <w:r>
        <w:rPr>
          <w:rFonts w:eastAsia="Times New Roman"/>
          <w:color w:val="000000"/>
          <w:sz w:val="20"/>
          <w:szCs w:val="20"/>
        </w:rPr>
        <w:t xml:space="preserve">Net unrealized losses recognized in other comprehensive loss were $20 million and $30 million for the quarter and three quarters ended September 30, 2022, respectively, and $10 million for the quarter ended October 1, 2021. Net unrealized gains and losses </w:t>
      </w:r>
      <w:r>
        <w:rPr>
          <w:rFonts w:eastAsia="Times New Roman"/>
          <w:color w:val="000000"/>
          <w:sz w:val="20"/>
          <w:szCs w:val="20"/>
        </w:rPr>
        <w:t>recognized in other comprehensive income were not material for the three quarters ended October 1, 2021.</w:t>
      </w:r>
    </w:p>
    <w:p w:rsidR="00000000" w:rsidRDefault="00C9777F">
      <w:pPr>
        <w:ind w:firstLine="360"/>
        <w:divId w:val="1562134686"/>
        <w:rPr>
          <w:rFonts w:eastAsia="Times New Roman"/>
        </w:rPr>
      </w:pPr>
      <w:r>
        <w:rPr>
          <w:rFonts w:eastAsia="Times New Roman"/>
          <w:color w:val="000000"/>
          <w:sz w:val="20"/>
          <w:szCs w:val="20"/>
        </w:rPr>
        <w:t>At September 30, 2022, the estimated amount of existing net losses to be reclassified into earnings within the next twelve months was $22 million.</w:t>
      </w:r>
    </w:p>
    <w:p w:rsidR="00000000" w:rsidRDefault="00C9777F">
      <w:pPr>
        <w:ind w:firstLine="360"/>
        <w:divId w:val="1834448072"/>
        <w:rPr>
          <w:rFonts w:eastAsia="Times New Roman"/>
        </w:rPr>
      </w:pPr>
      <w:r>
        <w:rPr>
          <w:rFonts w:eastAsia="Times New Roman"/>
          <w:color w:val="000000"/>
          <w:sz w:val="20"/>
          <w:szCs w:val="20"/>
        </w:rPr>
        <w:t>Gain</w:t>
      </w:r>
      <w:r>
        <w:rPr>
          <w:rFonts w:eastAsia="Times New Roman"/>
          <w:color w:val="000000"/>
          <w:sz w:val="20"/>
          <w:szCs w:val="20"/>
        </w:rPr>
        <w:t>s and losses from foreign currency derivatives designated as cash flow hedges are included in the line item in our Condensed Consolidated Statement of Operations (Unaudited) associated with the hedged transaction, with the exception of the losses resulting</w:t>
      </w:r>
      <w:r>
        <w:rPr>
          <w:rFonts w:eastAsia="Times New Roman"/>
          <w:color w:val="000000"/>
          <w:sz w:val="20"/>
          <w:szCs w:val="20"/>
        </w:rPr>
        <w:t xml:space="preserve"> from discontinued cash flow hedges, which are included in the “Engineering, selling and administrative expenses” line item in our Condensed Consolidated Statement of Operations (Unaudited). </w:t>
      </w:r>
    </w:p>
    <w:p w:rsidR="00000000" w:rsidRDefault="00C9777F">
      <w:pPr>
        <w:divId w:val="1191993231"/>
        <w:rPr>
          <w:rFonts w:eastAsia="Times New Roman"/>
        </w:rPr>
      </w:pPr>
      <w:r>
        <w:rPr>
          <w:rFonts w:eastAsia="Times New Roman"/>
          <w:b/>
          <w:bCs/>
          <w:color w:val="000000"/>
          <w:sz w:val="20"/>
          <w:szCs w:val="20"/>
        </w:rPr>
        <w:t>NOTE Q— CHANGES IN ESTIMATES</w:t>
      </w:r>
    </w:p>
    <w:p w:rsidR="00000000" w:rsidRDefault="00C9777F">
      <w:pPr>
        <w:ind w:firstLine="360"/>
        <w:divId w:val="586309720"/>
        <w:rPr>
          <w:rFonts w:eastAsia="Times New Roman"/>
        </w:rPr>
      </w:pPr>
      <w:r>
        <w:rPr>
          <w:rFonts w:eastAsia="Times New Roman"/>
          <w:color w:val="000000"/>
          <w:sz w:val="20"/>
          <w:szCs w:val="20"/>
        </w:rPr>
        <w:t>Under the POC cost-to-cost method o</w:t>
      </w:r>
      <w:r>
        <w:rPr>
          <w:rFonts w:eastAsia="Times New Roman"/>
          <w:color w:val="000000"/>
          <w:sz w:val="20"/>
          <w:szCs w:val="20"/>
        </w:rPr>
        <w:t>f revenue recognition, a single estimated profit margin is used to recognize profit for each performance obligation over its period of performance. Recognition of profit on a contract requires estimates of the total cost at completion and transaction price</w:t>
      </w:r>
      <w:r>
        <w:rPr>
          <w:rFonts w:eastAsia="Times New Roman"/>
          <w:color w:val="000000"/>
          <w:sz w:val="20"/>
          <w:szCs w:val="20"/>
        </w:rPr>
        <w:t xml:space="preserve"> and the measurement of progress towards completion. Due to the long-term nature of many of our contracts, developing the estimated total cost at completion and total transaction price often requires judgment. Factors that must be considered in estimating </w:t>
      </w:r>
      <w:r>
        <w:rPr>
          <w:rFonts w:eastAsia="Times New Roman"/>
          <w:color w:val="000000"/>
          <w:sz w:val="20"/>
          <w:szCs w:val="20"/>
        </w:rPr>
        <w:t xml:space="preserve">the cost of the work to be completed include the nature and complexity of the work to be performed, subcontractor performance and the risk and impact of delayed performance. Factors that must be considered in estimating the total transaction price include </w:t>
      </w:r>
      <w:r>
        <w:rPr>
          <w:rFonts w:eastAsia="Times New Roman"/>
          <w:color w:val="000000"/>
          <w:sz w:val="20"/>
          <w:szCs w:val="20"/>
        </w:rPr>
        <w:t>contractual cost or performance incentives (such as incentive fees, award fees and penalties) and other forms of variable consideration as well as our historical experience and our expectation for performance on the contract. These variable amounts general</w:t>
      </w:r>
      <w:r>
        <w:rPr>
          <w:rFonts w:eastAsia="Times New Roman"/>
          <w:color w:val="000000"/>
          <w:sz w:val="20"/>
          <w:szCs w:val="20"/>
        </w:rPr>
        <w:t>ly are awarded upon achievement of certain negotiated performance metrics, program milestones or cost targets and can be based upon customer discretion. We include such estimated amounts in the transaction price to the extent it is probable that a signific</w:t>
      </w:r>
      <w:r>
        <w:rPr>
          <w:rFonts w:eastAsia="Times New Roman"/>
          <w:color w:val="000000"/>
          <w:sz w:val="20"/>
          <w:szCs w:val="20"/>
        </w:rPr>
        <w:t>ant reversal of cumulative revenue recognized will not occur when the uncertainty associated with the variable consideration is resolved.</w:t>
      </w:r>
    </w:p>
    <w:p w:rsidR="00000000" w:rsidRDefault="00C9777F">
      <w:pPr>
        <w:ind w:firstLine="360"/>
        <w:divId w:val="1023944853"/>
        <w:rPr>
          <w:rFonts w:eastAsia="Times New Roman"/>
        </w:rPr>
      </w:pPr>
      <w:r>
        <w:rPr>
          <w:rFonts w:eastAsia="Times New Roman"/>
          <w:color w:val="000000"/>
          <w:sz w:val="20"/>
          <w:szCs w:val="20"/>
        </w:rPr>
        <w:t>At the outset of each contract, we gauge its complexity and perceived risks and establish an estimated total cost at c</w:t>
      </w:r>
      <w:r>
        <w:rPr>
          <w:rFonts w:eastAsia="Times New Roman"/>
          <w:color w:val="000000"/>
          <w:sz w:val="20"/>
          <w:szCs w:val="20"/>
        </w:rPr>
        <w:t>ompletion in line with these expectations. After establishing the estimated total cost at completion, we follow a standard Estimate at Completion (“EAC”) process in which we review the progress and performance on our ongoing contracts at least quarterly. I</w:t>
      </w:r>
      <w:r>
        <w:rPr>
          <w:rFonts w:eastAsia="Times New Roman"/>
          <w:color w:val="000000"/>
          <w:sz w:val="20"/>
          <w:szCs w:val="20"/>
        </w:rPr>
        <w:t>f we successfully retire risks associated with the technical, schedule and cost aspects of a contract, we may lower our estimated total cost at completion commensurate with the retirement of these risks. Conversely, if we are not successful in retiring the</w:t>
      </w:r>
      <w:r>
        <w:rPr>
          <w:rFonts w:eastAsia="Times New Roman"/>
          <w:color w:val="000000"/>
          <w:sz w:val="20"/>
          <w:szCs w:val="20"/>
        </w:rPr>
        <w:t>se risks, we may increase our estimated total cost at completion. Additionally, as the contract progresses, our estimates of total transaction price may increase or decrease if, for example, we receive award fees that are higher or lower than expected. Whe</w:t>
      </w:r>
      <w:r>
        <w:rPr>
          <w:rFonts w:eastAsia="Times New Roman"/>
          <w:color w:val="000000"/>
          <w:sz w:val="20"/>
          <w:szCs w:val="20"/>
        </w:rPr>
        <w:t>n adjustments in estimated total costs at completion or in estimated total transaction price are determined, the related impact on operating income is recognized using the cumulative catch-up method, which recognizes in the current period the cumulative ef</w:t>
      </w:r>
      <w:r>
        <w:rPr>
          <w:rFonts w:eastAsia="Times New Roman"/>
          <w:color w:val="000000"/>
          <w:sz w:val="20"/>
          <w:szCs w:val="20"/>
        </w:rPr>
        <w:t>fect of such adjustments for all prior periods. Any anticipated losses on these contracts are fully recognized in the period in which the losses become evident.</w:t>
      </w:r>
    </w:p>
    <w:p w:rsidR="00000000" w:rsidRDefault="00C9777F">
      <w:pPr>
        <w:ind w:firstLine="360"/>
        <w:jc w:val="center"/>
        <w:divId w:val="1800488896"/>
        <w:rPr>
          <w:rFonts w:eastAsia="Times New Roman"/>
        </w:rPr>
      </w:pPr>
      <w:r>
        <w:rPr>
          <w:rFonts w:eastAsia="Times New Roman"/>
          <w:color w:val="000000"/>
          <w:sz w:val="20"/>
          <w:szCs w:val="20"/>
        </w:rPr>
        <w:t>15</w:t>
      </w:r>
    </w:p>
    <w:p w:rsidR="00000000" w:rsidRDefault="00C9777F">
      <w:pPr>
        <w:rPr>
          <w:rFonts w:eastAsia="Times New Roman"/>
        </w:rPr>
      </w:pPr>
      <w:r>
        <w:rPr>
          <w:rFonts w:eastAsia="Times New Roman"/>
        </w:rPr>
        <w:pict>
          <v:rect id="_x0000_i1042" style="width:0;height:1.5pt" o:hralign="center" o:hrstd="t" o:hr="t" fillcolor="#a0a0a0" stroked="f"/>
        </w:pict>
      </w:r>
    </w:p>
    <w:p w:rsidR="00000000" w:rsidRDefault="00C9777F">
      <w:pPr>
        <w:ind w:firstLine="360"/>
        <w:divId w:val="29259917"/>
        <w:rPr>
          <w:rFonts w:eastAsia="Times New Roman"/>
        </w:rPr>
      </w:pPr>
    </w:p>
    <w:p w:rsidR="00000000" w:rsidRDefault="00C9777F">
      <w:pPr>
        <w:ind w:firstLine="360"/>
        <w:divId w:val="527107760"/>
        <w:rPr>
          <w:rFonts w:eastAsia="Times New Roman"/>
        </w:rPr>
      </w:pPr>
      <w:r>
        <w:rPr>
          <w:rFonts w:eastAsia="Times New Roman"/>
          <w:color w:val="000000"/>
          <w:sz w:val="20"/>
          <w:szCs w:val="20"/>
        </w:rPr>
        <w:t>Net EAC adjustments had the following impact to earnin</w:t>
      </w:r>
      <w:r>
        <w:rPr>
          <w:rFonts w:eastAsia="Times New Roman"/>
          <w:color w:val="000000"/>
          <w:sz w:val="20"/>
          <w:szCs w:val="20"/>
        </w:rPr>
        <w:t>gs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52"/>
        <w:gridCol w:w="4127"/>
        <w:gridCol w:w="36"/>
        <w:gridCol w:w="121"/>
        <w:gridCol w:w="784"/>
        <w:gridCol w:w="36"/>
        <w:gridCol w:w="36"/>
        <w:gridCol w:w="36"/>
        <w:gridCol w:w="36"/>
        <w:gridCol w:w="121"/>
        <w:gridCol w:w="784"/>
        <w:gridCol w:w="36"/>
        <w:gridCol w:w="36"/>
        <w:gridCol w:w="36"/>
        <w:gridCol w:w="36"/>
        <w:gridCol w:w="121"/>
        <w:gridCol w:w="785"/>
        <w:gridCol w:w="36"/>
        <w:gridCol w:w="36"/>
        <w:gridCol w:w="36"/>
        <w:gridCol w:w="36"/>
        <w:gridCol w:w="121"/>
        <w:gridCol w:w="785"/>
        <w:gridCol w:w="37"/>
      </w:tblGrid>
      <w:tr w:rsidR="00000000">
        <w:trPr>
          <w:divId w:val="1554657840"/>
        </w:trPr>
        <w:tc>
          <w:tcPr>
            <w:tcW w:w="50" w:type="pct"/>
            <w:vAlign w:val="center"/>
            <w:hideMark/>
          </w:tcPr>
          <w:p w:rsidR="00000000" w:rsidRDefault="00C9777F">
            <w:pPr>
              <w:ind w:firstLine="360"/>
              <w:rPr>
                <w:rFonts w:eastAsia="Times New Roman"/>
              </w:rPr>
            </w:pPr>
          </w:p>
        </w:tc>
        <w:tc>
          <w:tcPr>
            <w:tcW w:w="255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55465784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divId w:val="1554657840"/>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1554657840"/>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554657840"/>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EAC adjustments, before income taxes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554657840"/>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186 </w:t>
            </w:r>
          </w:p>
        </w:tc>
        <w:tc>
          <w:tcPr>
            <w:tcW w:w="0" w:type="auto"/>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554657840"/>
        </w:trPr>
        <w:tc>
          <w:tcPr>
            <w:tcW w:w="0" w:type="auto"/>
            <w:gridSpan w:val="3"/>
            <w:shd w:val="clear" w:color="auto" w:fill="CCEEFF"/>
            <w:tcMar>
              <w:top w:w="30" w:type="dxa"/>
              <w:left w:w="20" w:type="dxa"/>
              <w:bottom w:w="30" w:type="dxa"/>
              <w:right w:w="20" w:type="dxa"/>
            </w:tcMar>
            <w:hideMark/>
          </w:tcPr>
          <w:p w:rsidR="00000000" w:rsidRDefault="00C9777F">
            <w:pPr>
              <w:spacing w:after="100"/>
              <w:ind w:hanging="270"/>
              <w:divId w:val="399013651"/>
              <w:rPr>
                <w:rFonts w:eastAsia="Times New Roman"/>
              </w:rPr>
            </w:pPr>
            <w:r>
              <w:rPr>
                <w:rFonts w:eastAsia="Times New Roman"/>
                <w:color w:val="000000"/>
                <w:sz w:val="20"/>
                <w:szCs w:val="20"/>
              </w:rPr>
              <w:t>Net EAC adjustments, net of income taxes, per diluted share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0.32 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0.23 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0.91 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554657840"/>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1752308849"/>
        <w:rPr>
          <w:rFonts w:eastAsia="Times New Roman"/>
        </w:rPr>
      </w:pPr>
      <w:r>
        <w:rPr>
          <w:rFonts w:eastAsia="Times New Roman"/>
          <w:color w:val="000000"/>
          <w:sz w:val="20"/>
          <w:szCs w:val="20"/>
        </w:rPr>
        <w:t>Revenue recognized from performance obligations satisfied in prior p</w:t>
      </w:r>
      <w:r>
        <w:rPr>
          <w:rFonts w:eastAsia="Times New Roman"/>
          <w:color w:val="000000"/>
          <w:sz w:val="20"/>
          <w:szCs w:val="20"/>
        </w:rPr>
        <w:t>eriods was $23 million and $113 million for the quarter and three quarters ended September 30, 2022, respectively, and $102 million and $317 million for the quarter and three quarters ended October 1, 2021, respectively.</w:t>
      </w:r>
    </w:p>
    <w:p w:rsidR="00000000" w:rsidRDefault="00C9777F">
      <w:pPr>
        <w:divId w:val="632518992"/>
        <w:rPr>
          <w:rFonts w:eastAsia="Times New Roman"/>
        </w:rPr>
      </w:pPr>
      <w:r>
        <w:rPr>
          <w:rFonts w:eastAsia="Times New Roman"/>
          <w:b/>
          <w:bCs/>
          <w:color w:val="000000"/>
          <w:sz w:val="20"/>
          <w:szCs w:val="20"/>
        </w:rPr>
        <w:t xml:space="preserve">NOTE R— BACKLOG </w:t>
      </w:r>
    </w:p>
    <w:p w:rsidR="00000000" w:rsidRDefault="00C9777F">
      <w:pPr>
        <w:ind w:firstLine="360"/>
        <w:divId w:val="388503092"/>
        <w:rPr>
          <w:rFonts w:eastAsia="Times New Roman"/>
        </w:rPr>
      </w:pPr>
      <w:r>
        <w:rPr>
          <w:rFonts w:eastAsia="Times New Roman"/>
          <w:color w:val="000000"/>
          <w:sz w:val="20"/>
          <w:szCs w:val="20"/>
        </w:rPr>
        <w:t xml:space="preserve">Backlog, which is </w:t>
      </w:r>
      <w:r>
        <w:rPr>
          <w:rFonts w:eastAsia="Times New Roman"/>
          <w:color w:val="000000"/>
          <w:sz w:val="20"/>
          <w:szCs w:val="20"/>
        </w:rPr>
        <w:t>the equivalent of our remaining performance obligations, represents the future revenue we expect to recognize as we perform on our current contracts. Backlog comprises both funded backlog (i.e., firm orders for which funding is authorized and appropriated)</w:t>
      </w:r>
      <w:r>
        <w:rPr>
          <w:rFonts w:eastAsia="Times New Roman"/>
          <w:color w:val="000000"/>
          <w:sz w:val="20"/>
          <w:szCs w:val="20"/>
        </w:rPr>
        <w:t xml:space="preserve"> and unfunded backlog. Backlog excludes unexercised contract options and potential orders under ordering-type contracts, such as indefinite delivery, indefinite quantity contracts. </w:t>
      </w:r>
    </w:p>
    <w:p w:rsidR="00000000" w:rsidRDefault="00C9777F">
      <w:pPr>
        <w:ind w:firstLine="360"/>
        <w:divId w:val="1478380443"/>
        <w:rPr>
          <w:rFonts w:eastAsia="Times New Roman"/>
        </w:rPr>
      </w:pPr>
      <w:r>
        <w:rPr>
          <w:rFonts w:eastAsia="Times New Roman"/>
          <w:color w:val="000000"/>
          <w:sz w:val="20"/>
          <w:szCs w:val="20"/>
        </w:rPr>
        <w:t>At September </w:t>
      </w:r>
      <w:r>
        <w:rPr>
          <w:rFonts w:eastAsia="Times New Roman"/>
          <w:color w:val="000000"/>
          <w:sz w:val="20"/>
          <w:szCs w:val="20"/>
        </w:rPr>
        <w:t>30, 2022, our ending backlog was $21.4 billion. We expect to recognize approximately 59% of the revenue associated with this backlog by the end of 2023 and approximately 79% by the end of 2024, with the remainder to be recognized thereafter. At December 31</w:t>
      </w:r>
      <w:r>
        <w:rPr>
          <w:rFonts w:eastAsia="Times New Roman"/>
          <w:color w:val="000000"/>
          <w:sz w:val="20"/>
          <w:szCs w:val="20"/>
        </w:rPr>
        <w:t>, 2021, our ending backlog was $21.1 billion.</w:t>
      </w:r>
    </w:p>
    <w:p w:rsidR="00000000" w:rsidRDefault="00C9777F">
      <w:pPr>
        <w:divId w:val="490676065"/>
        <w:rPr>
          <w:rFonts w:eastAsia="Times New Roman"/>
        </w:rPr>
      </w:pPr>
      <w:r>
        <w:rPr>
          <w:rFonts w:eastAsia="Times New Roman"/>
          <w:b/>
          <w:bCs/>
          <w:color w:val="000000"/>
          <w:sz w:val="20"/>
          <w:szCs w:val="20"/>
        </w:rPr>
        <w:t xml:space="preserve">NOTE S— BUSINESS SEGMENT INFORMATION </w:t>
      </w:r>
    </w:p>
    <w:p w:rsidR="00000000" w:rsidRDefault="00C9777F">
      <w:pPr>
        <w:ind w:firstLine="360"/>
        <w:divId w:val="1654800006"/>
        <w:rPr>
          <w:rFonts w:eastAsia="Times New Roman"/>
        </w:rPr>
      </w:pPr>
      <w:r>
        <w:rPr>
          <w:rFonts w:eastAsia="Times New Roman"/>
          <w:color w:val="000000"/>
          <w:sz w:val="20"/>
          <w:szCs w:val="20"/>
        </w:rPr>
        <w:t>Effective for fiscal 2022, which began January 1, 2022, we report our financial results in the following three reportable segments:</w:t>
      </w:r>
    </w:p>
    <w:p w:rsidR="00000000" w:rsidRDefault="00C9777F">
      <w:pPr>
        <w:ind w:hanging="360"/>
        <w:divId w:val="983120149"/>
        <w:rPr>
          <w:rFonts w:eastAsia="Times New Roman"/>
        </w:rPr>
      </w:pPr>
      <w:r>
        <w:rPr>
          <w:rFonts w:eastAsia="Times New Roman"/>
          <w:color w:val="000000"/>
          <w:sz w:val="20"/>
          <w:szCs w:val="20"/>
        </w:rPr>
        <w:t>•Integrated Mission Systems, including m</w:t>
      </w:r>
      <w:r>
        <w:rPr>
          <w:rFonts w:eastAsia="Times New Roman"/>
          <w:color w:val="000000"/>
          <w:sz w:val="20"/>
          <w:szCs w:val="20"/>
        </w:rPr>
        <w:t>ulti-mission intelligence, surveillance and reconnaissance (“ISR”) systems; integrated electrical and electronic systems for maritime platforms; advanced electro-optical and infrared (“EO/IR”) solutions; fuzing and ordnance systems; commercial aviation pro</w:t>
      </w:r>
      <w:r>
        <w:rPr>
          <w:rFonts w:eastAsia="Times New Roman"/>
          <w:color w:val="000000"/>
          <w:sz w:val="20"/>
          <w:szCs w:val="20"/>
        </w:rPr>
        <w:t>ducts; and commercial pilot training operations;</w:t>
      </w:r>
    </w:p>
    <w:p w:rsidR="00000000" w:rsidRDefault="00C9777F">
      <w:pPr>
        <w:ind w:hanging="360"/>
        <w:divId w:val="1670404100"/>
        <w:rPr>
          <w:rFonts w:eastAsia="Times New Roman"/>
        </w:rPr>
      </w:pPr>
      <w:r>
        <w:rPr>
          <w:rFonts w:eastAsia="Times New Roman"/>
          <w:color w:val="000000"/>
          <w:sz w:val="20"/>
          <w:szCs w:val="20"/>
        </w:rPr>
        <w:t>•Space &amp; Airborne Systems, including space payloads, sensors and full-mission solutions; classified intelligence and cyber; avionics; electronic warfare; and mission networks for air traffic management opera</w:t>
      </w:r>
      <w:r>
        <w:rPr>
          <w:rFonts w:eastAsia="Times New Roman"/>
          <w:color w:val="000000"/>
          <w:sz w:val="20"/>
          <w:szCs w:val="20"/>
        </w:rPr>
        <w:t>tions; and</w:t>
      </w:r>
    </w:p>
    <w:p w:rsidR="00000000" w:rsidRDefault="00C9777F">
      <w:pPr>
        <w:ind w:hanging="360"/>
        <w:divId w:val="856193310"/>
        <w:rPr>
          <w:rFonts w:eastAsia="Times New Roman"/>
        </w:rPr>
      </w:pPr>
      <w:r>
        <w:rPr>
          <w:rFonts w:eastAsia="Times New Roman"/>
          <w:color w:val="000000"/>
          <w:sz w:val="20"/>
          <w:szCs w:val="20"/>
        </w:rPr>
        <w:t xml:space="preserve">•Communication Systems, including tactical communications with global communications solutions; broadband communications; integrated vision solutions; and public safety radios, system applications and equipment. </w:t>
      </w:r>
    </w:p>
    <w:p w:rsidR="00000000" w:rsidRDefault="00C9777F">
      <w:pPr>
        <w:ind w:firstLine="360"/>
        <w:divId w:val="394200439"/>
        <w:rPr>
          <w:rFonts w:eastAsia="Times New Roman"/>
        </w:rPr>
      </w:pPr>
      <w:r>
        <w:rPr>
          <w:rFonts w:eastAsia="Times New Roman"/>
          <w:color w:val="000000"/>
          <w:sz w:val="20"/>
          <w:szCs w:val="20"/>
        </w:rPr>
        <w:t>We structure our operations prim</w:t>
      </w:r>
      <w:r>
        <w:rPr>
          <w:rFonts w:eastAsia="Times New Roman"/>
          <w:color w:val="000000"/>
          <w:sz w:val="20"/>
          <w:szCs w:val="20"/>
        </w:rPr>
        <w:t>arily around the products, systems and services we sell and the markets we serve. Effective January 1, 2022, we have streamlined our business segments from four business segments to three business segments. As a result of the segment reorganization, the Av</w:t>
      </w:r>
      <w:r>
        <w:rPr>
          <w:rFonts w:eastAsia="Times New Roman"/>
          <w:color w:val="000000"/>
          <w:sz w:val="20"/>
          <w:szCs w:val="20"/>
        </w:rPr>
        <w:t>iation Systems segment was eliminated as a business segment. As part of our new business segment structure, the ongoing operations that had been part of our former Aviation Systems segment were integrated into the remaining segments. Fuzing and ordnance sy</w:t>
      </w:r>
      <w:r>
        <w:rPr>
          <w:rFonts w:eastAsia="Times New Roman"/>
          <w:color w:val="000000"/>
          <w:sz w:val="20"/>
          <w:szCs w:val="20"/>
        </w:rPr>
        <w:t>stems, commercial aviation products and commercial pilot training operations were moved into our Integrated Mission Systems segment; and mission networks for air traffic management operations was moved into our Space &amp; Airborne Systems segment.</w:t>
      </w:r>
    </w:p>
    <w:p w:rsidR="00000000" w:rsidRDefault="00C9777F">
      <w:pPr>
        <w:ind w:firstLine="360"/>
        <w:divId w:val="1052271073"/>
        <w:rPr>
          <w:rFonts w:eastAsia="Times New Roman"/>
        </w:rPr>
      </w:pPr>
      <w:r>
        <w:rPr>
          <w:rFonts w:eastAsia="Times New Roman"/>
          <w:color w:val="000000"/>
          <w:sz w:val="20"/>
          <w:szCs w:val="20"/>
        </w:rPr>
        <w:t xml:space="preserve">During the </w:t>
      </w:r>
      <w:r>
        <w:rPr>
          <w:rFonts w:eastAsia="Times New Roman"/>
          <w:color w:val="000000"/>
          <w:sz w:val="20"/>
          <w:szCs w:val="20"/>
        </w:rPr>
        <w:t>quarter ended September 30, 2022, we adjusted our reporting within our Integrated Mission Systems segment to better align our businesses and transferred our precision engagement business, which includes fuzing and ordnance systems, from our ADG reporting u</w:t>
      </w:r>
      <w:r>
        <w:rPr>
          <w:rFonts w:eastAsia="Times New Roman"/>
          <w:color w:val="000000"/>
          <w:sz w:val="20"/>
          <w:szCs w:val="20"/>
        </w:rPr>
        <w:t>nit to our Electro Optical reporting unit.</w:t>
      </w:r>
    </w:p>
    <w:p w:rsidR="00000000" w:rsidRDefault="00C9777F">
      <w:pPr>
        <w:ind w:firstLine="360"/>
        <w:divId w:val="536360670"/>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 and Asset Sales</w:t>
      </w:r>
      <w:r>
        <w:rPr>
          <w:rFonts w:eastAsia="Times New Roman"/>
          <w:color w:val="000000"/>
          <w:sz w:val="20"/>
          <w:szCs w:val="20"/>
        </w:rPr>
        <w:t xml:space="preserve"> in these Notes for information relating to businesses divested and asset sales during the quarter and three quarters ended September 30, 2022 and October 1, 2021.</w:t>
      </w:r>
    </w:p>
    <w:p w:rsidR="00000000" w:rsidRDefault="00C9777F">
      <w:pPr>
        <w:ind w:firstLine="360"/>
        <w:divId w:val="1988589913"/>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2021 Form 10-K. We evaluate each business segment’s performance b</w:t>
      </w:r>
      <w:r>
        <w:rPr>
          <w:rFonts w:eastAsia="Times New Roman"/>
          <w:color w:val="000000"/>
          <w:sz w:val="20"/>
          <w:szCs w:val="20"/>
        </w:rPr>
        <w:t>ased on its operating income or loss, which we define as profit or loss from operations before income taxes, including CAS pension cost and excluding interest income and expense, royalties and related intellectual property expenses, equity method investmen</w:t>
      </w:r>
      <w:r>
        <w:rPr>
          <w:rFonts w:eastAsia="Times New Roman"/>
          <w:color w:val="000000"/>
          <w:sz w:val="20"/>
          <w:szCs w:val="20"/>
        </w:rPr>
        <w:t xml:space="preserve">t income or loss and gains or losses from securities and other investments. Intersegment sales are generally transferred at cost to the buying segment, and the sourcing segment recognizes a profit that is eliminated. The “Corporate eliminations” line item </w:t>
      </w:r>
      <w:r>
        <w:rPr>
          <w:rFonts w:eastAsia="Times New Roman"/>
          <w:color w:val="000000"/>
          <w:sz w:val="20"/>
          <w:szCs w:val="20"/>
        </w:rPr>
        <w:t>in the table below represents the elimination of intersegment sales. Corporate expenses are primarily allocated to our business segments using an allocation methodology prescribed by U.S. Government regulations for government contractors. The unallocated i</w:t>
      </w:r>
      <w:r>
        <w:rPr>
          <w:rFonts w:eastAsia="Times New Roman"/>
          <w:color w:val="000000"/>
          <w:sz w:val="20"/>
          <w:szCs w:val="20"/>
        </w:rPr>
        <w:t>tems in the table below represent the portion of corporate expenses not allocated to our business segments and elimination of intersegment profits.</w:t>
      </w:r>
    </w:p>
    <w:p w:rsidR="00000000" w:rsidRDefault="00C9777F">
      <w:pPr>
        <w:ind w:firstLine="360"/>
        <w:divId w:val="2071228184"/>
        <w:rPr>
          <w:rFonts w:eastAsia="Times New Roman"/>
        </w:rPr>
      </w:pPr>
      <w:r>
        <w:rPr>
          <w:rFonts w:eastAsia="Times New Roman"/>
          <w:color w:val="000000"/>
          <w:sz w:val="20"/>
          <w:szCs w:val="20"/>
        </w:rPr>
        <w:t xml:space="preserve">In accordance with CAS, we allocate a portion of pension and other postretirement benefit plan costs to our </w:t>
      </w:r>
      <w:r>
        <w:rPr>
          <w:rFonts w:eastAsia="Times New Roman"/>
          <w:color w:val="000000"/>
          <w:sz w:val="20"/>
          <w:szCs w:val="20"/>
        </w:rPr>
        <w:t xml:space="preserve">U.S. Government contracts. However, our consolidated financial statements require pension and other postretirement benefit plan income or expense be calculated in accordance with FAS requirements under GAAP. The “FAS/CAS operating adjustment” line item in </w:t>
      </w:r>
      <w:r>
        <w:rPr>
          <w:rFonts w:eastAsia="Times New Roman"/>
          <w:color w:val="000000"/>
          <w:sz w:val="20"/>
          <w:szCs w:val="20"/>
        </w:rPr>
        <w:t xml:space="preserve">the table below represents the difference between the service cost component of FAS pension and OPEB expense and total CAS pension and OPEB cost. The net non-service cost components of FAS pension and OPEB income are included as an income component in the </w:t>
      </w:r>
      <w:r>
        <w:rPr>
          <w:rFonts w:eastAsia="Times New Roman"/>
          <w:color w:val="000000"/>
          <w:sz w:val="20"/>
          <w:szCs w:val="20"/>
        </w:rPr>
        <w:t xml:space="preserve">“Non-operating income, net” line item in our Condensed Consolidated Statement of Operations (Unaudited). See </w:t>
      </w:r>
      <w:r>
        <w:rPr>
          <w:rFonts w:eastAsia="Times New Roman"/>
          <w:i/>
          <w:iCs/>
          <w:color w:val="000000"/>
          <w:sz w:val="20"/>
          <w:szCs w:val="20"/>
        </w:rPr>
        <w:t>Note L — Postretirement Benefit Plans</w:t>
      </w:r>
      <w:r>
        <w:rPr>
          <w:rFonts w:eastAsia="Times New Roman"/>
          <w:color w:val="000000"/>
          <w:sz w:val="20"/>
          <w:szCs w:val="20"/>
        </w:rPr>
        <w:t xml:space="preserve"> for more information on the composition of non-service components of FAS pension and OPEB income and expense.</w:t>
      </w:r>
    </w:p>
    <w:p w:rsidR="00000000" w:rsidRDefault="00C9777F">
      <w:pPr>
        <w:ind w:firstLine="360"/>
        <w:divId w:val="1316298089"/>
        <w:rPr>
          <w:rFonts w:eastAsia="Times New Roman"/>
        </w:rPr>
      </w:pPr>
      <w:r>
        <w:rPr>
          <w:rFonts w:eastAsia="Times New Roman"/>
          <w:color w:val="000000"/>
          <w:sz w:val="20"/>
          <w:szCs w:val="20"/>
        </w:rPr>
        <w:t>Segment revenue, segment operating income and a reconciliation of segment operating income to total income from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39"/>
        <w:gridCol w:w="38"/>
        <w:gridCol w:w="121"/>
        <w:gridCol w:w="784"/>
        <w:gridCol w:w="36"/>
        <w:gridCol w:w="36"/>
        <w:gridCol w:w="36"/>
        <w:gridCol w:w="36"/>
        <w:gridCol w:w="120"/>
        <w:gridCol w:w="785"/>
        <w:gridCol w:w="36"/>
        <w:gridCol w:w="36"/>
        <w:gridCol w:w="36"/>
        <w:gridCol w:w="36"/>
        <w:gridCol w:w="121"/>
        <w:gridCol w:w="785"/>
        <w:gridCol w:w="36"/>
        <w:gridCol w:w="36"/>
        <w:gridCol w:w="36"/>
        <w:gridCol w:w="36"/>
        <w:gridCol w:w="120"/>
        <w:gridCol w:w="785"/>
        <w:gridCol w:w="36"/>
      </w:tblGrid>
      <w:tr w:rsidR="00000000">
        <w:trPr>
          <w:divId w:val="1316298089"/>
        </w:trPr>
        <w:tc>
          <w:tcPr>
            <w:tcW w:w="50" w:type="pct"/>
            <w:vAlign w:val="center"/>
            <w:hideMark/>
          </w:tcPr>
          <w:p w:rsidR="00000000" w:rsidRDefault="00C9777F">
            <w:pPr>
              <w:ind w:firstLine="360"/>
              <w:rPr>
                <w:rFonts w:eastAsia="Times New Roman"/>
              </w:rPr>
            </w:pPr>
          </w:p>
        </w:tc>
        <w:tc>
          <w:tcPr>
            <w:tcW w:w="255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316298089"/>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divId w:val="1316298089"/>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1316298089"/>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316298089"/>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316298089"/>
        </w:trPr>
        <w:tc>
          <w:tcPr>
            <w:tcW w:w="0" w:type="auto"/>
            <w:gridSpan w:val="3"/>
            <w:shd w:val="clear" w:color="auto" w:fill="FFFF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1,494 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4,450 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3,269 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Height w:val="24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316298089"/>
        </w:trPr>
        <w:tc>
          <w:tcPr>
            <w:tcW w:w="0" w:type="auto"/>
            <w:gridSpan w:val="24"/>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(Loss) Income from Continuing Operations before Income Taxes</w:t>
            </w:r>
          </w:p>
        </w:tc>
      </w:tr>
      <w:tr w:rsidR="00000000">
        <w:trPr>
          <w:divId w:val="1316298089"/>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Segment Operating (Loss) Income:</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316298089"/>
        </w:trPr>
        <w:tc>
          <w:tcPr>
            <w:tcW w:w="0" w:type="auto"/>
            <w:gridSpan w:val="3"/>
            <w:shd w:val="clear" w:color="auto" w:fill="CCEE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608 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Unallocated Items: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316298089"/>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328824302"/>
              <w:rPr>
                <w:rFonts w:eastAsia="Times New Roman"/>
              </w:rPr>
            </w:pPr>
            <w:r>
              <w:rPr>
                <w:rFonts w:eastAsia="Times New Roman"/>
                <w:color w:val="000000"/>
                <w:sz w:val="20"/>
                <w:szCs w:val="20"/>
              </w:rPr>
              <w:t>Unallocated corporate department income (expense),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 w:type="dxa"/>
              <w:bottom w:w="30" w:type="dxa"/>
              <w:right w:w="20" w:type="dxa"/>
            </w:tcMar>
            <w:hideMark/>
          </w:tcPr>
          <w:p w:rsidR="00000000" w:rsidRDefault="00C9777F">
            <w:pPr>
              <w:spacing w:after="100"/>
              <w:ind w:hanging="180"/>
              <w:divId w:val="1769346238"/>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1031031928"/>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Charges for severance and other termination costs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Charge related to an additional pre-merger legal contingency</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divId w:val="961498739"/>
              <w:rPr>
                <w:rFonts w:eastAsia="Times New Roman"/>
              </w:rPr>
            </w:pPr>
            <w:r>
              <w:rPr>
                <w:rFonts w:eastAsia="Times New Roman"/>
                <w:color w:val="00000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Acquisition and other divestiture-related expenses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 w:type="dxa"/>
              <w:bottom w:w="30" w:type="dxa"/>
              <w:right w:w="20" w:type="dxa"/>
            </w:tcMar>
            <w:hideMark/>
          </w:tcPr>
          <w:p w:rsidR="00000000" w:rsidRDefault="00C9777F">
            <w:pPr>
              <w:spacing w:after="100"/>
              <w:divId w:val="529295621"/>
              <w:rPr>
                <w:rFonts w:eastAsia="Times New Roman"/>
              </w:rPr>
            </w:pPr>
            <w:r>
              <w:rPr>
                <w:rFonts w:eastAsia="Times New Roman"/>
                <w:color w:val="000000"/>
                <w:sz w:val="20"/>
                <w:szCs w:val="20"/>
              </w:rPr>
              <w:t>FAS/CAS operating adjustmen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0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CCEEFF"/>
            <w:tcMar>
              <w:top w:w="30" w:type="dxa"/>
              <w:left w:w="20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316298089"/>
        </w:trPr>
        <w:tc>
          <w:tcPr>
            <w:tcW w:w="0" w:type="auto"/>
            <w:gridSpan w:val="3"/>
            <w:shd w:val="clear" w:color="auto" w:fill="FFFF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(Loss) 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hanging="360"/>
        <w:divId w:val="1273245610"/>
        <w:rPr>
          <w:rFonts w:eastAsia="Times New Roman"/>
        </w:rPr>
      </w:pPr>
      <w:r>
        <w:rPr>
          <w:rFonts w:eastAsia="Times New Roman"/>
          <w:color w:val="000000"/>
          <w:sz w:val="16"/>
          <w:szCs w:val="16"/>
        </w:rPr>
        <w:t>_______________</w:t>
      </w:r>
    </w:p>
    <w:p w:rsidR="00000000" w:rsidRDefault="00C9777F">
      <w:pPr>
        <w:ind w:hanging="360"/>
        <w:divId w:val="369650694"/>
        <w:rPr>
          <w:rFonts w:eastAsia="Times New Roman"/>
        </w:rPr>
      </w:pPr>
      <w:r>
        <w:rPr>
          <w:rFonts w:eastAsia="Times New Roman"/>
          <w:color w:val="000000"/>
          <w:sz w:val="16"/>
          <w:szCs w:val="16"/>
        </w:rPr>
        <w:t>(1)For the quarter ended September 30, 2022, $11 million of income from greenhouse gas (“GHG”) emission reduction projects and $10 million of income from our deferred co</w:t>
      </w:r>
      <w:r>
        <w:rPr>
          <w:rFonts w:eastAsia="Times New Roman"/>
          <w:color w:val="000000"/>
          <w:sz w:val="16"/>
          <w:szCs w:val="16"/>
        </w:rPr>
        <w:t>mpensation plans. For the three quarters ended September 30, 2022, $20 million of income from our deferred compensation plans and $11 million of income from GHG emission reduction projects. For the three quarters ended October 1, 2021, includes a $15 milli</w:t>
      </w:r>
      <w:r>
        <w:rPr>
          <w:rFonts w:eastAsia="Times New Roman"/>
          <w:color w:val="000000"/>
          <w:sz w:val="16"/>
          <w:szCs w:val="16"/>
        </w:rPr>
        <w:t>on accrual for a value added tax obligation and $9 million of loss related to our deferred compensation plans.</w:t>
      </w:r>
    </w:p>
    <w:p w:rsidR="00000000" w:rsidRDefault="00C9777F">
      <w:pPr>
        <w:ind w:hanging="360"/>
        <w:divId w:val="1059324677"/>
        <w:rPr>
          <w:rFonts w:eastAsia="Times New Roman"/>
        </w:rPr>
      </w:pPr>
      <w:r>
        <w:rPr>
          <w:rFonts w:eastAsia="Times New Roman"/>
          <w:color w:val="000000"/>
          <w:sz w:val="16"/>
          <w:szCs w:val="16"/>
        </w:rPr>
        <w:t>(2)Includes amortization of identifiable intangible assets acquired as a result of the all-stock merger between Harris Corporation and L3 Technol</w:t>
      </w:r>
      <w:r>
        <w:rPr>
          <w:rFonts w:eastAsia="Times New Roman"/>
          <w:color w:val="000000"/>
          <w:sz w:val="16"/>
          <w:szCs w:val="16"/>
        </w:rPr>
        <w:t>ogies, Inc. (the “L3Harris Merger”) and the acquisition of Exelis Inc. (“Exelis”). Because the L3Harris Merger and the acquisition of Exelis benefited the entire Company as opposed to any individual segment, the amortization of identifiable intangible asse</w:t>
      </w:r>
      <w:r>
        <w:rPr>
          <w:rFonts w:eastAsia="Times New Roman"/>
          <w:color w:val="000000"/>
          <w:sz w:val="16"/>
          <w:szCs w:val="16"/>
        </w:rPr>
        <w:t>ts acquired was not allocated to any segment.</w:t>
      </w:r>
    </w:p>
    <w:p w:rsidR="00000000" w:rsidRDefault="00C9777F">
      <w:pPr>
        <w:ind w:hanging="360"/>
        <w:divId w:val="1776440737"/>
        <w:rPr>
          <w:rFonts w:eastAsia="Times New Roman"/>
        </w:rPr>
      </w:pPr>
      <w:r>
        <w:rPr>
          <w:rFonts w:eastAsia="Times New Roman"/>
          <w:color w:val="000000"/>
          <w:sz w:val="16"/>
          <w:szCs w:val="16"/>
        </w:rPr>
        <w:t>(3)Represents the difference between the service cost component of FAS pension and OPEB income and total CAS pension and OPEB cost and replaces the “Pension adjustment” line item previously presented, which inc</w:t>
      </w:r>
      <w:r>
        <w:rPr>
          <w:rFonts w:eastAsia="Times New Roman"/>
          <w:color w:val="000000"/>
          <w:sz w:val="16"/>
          <w:szCs w:val="16"/>
        </w:rPr>
        <w:t>luded the non-service components of FAS pension and OPEB income. See Net FAS/CAS operating adjustment table below.</w:t>
      </w:r>
    </w:p>
    <w:p w:rsidR="00000000" w:rsidRDefault="00C9777F">
      <w:pPr>
        <w:ind w:firstLine="360"/>
        <w:divId w:val="812219091"/>
        <w:rPr>
          <w:rFonts w:eastAsia="Times New Roman"/>
        </w:rPr>
      </w:pPr>
      <w:r>
        <w:rPr>
          <w:rFonts w:eastAsia="Times New Roman"/>
          <w:color w:val="000000"/>
          <w:sz w:val="20"/>
          <w:szCs w:val="20"/>
        </w:rPr>
        <w:t>The table below is a reconciliation of the FAS/CAS operating adjustment: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4141"/>
        <w:gridCol w:w="37"/>
        <w:gridCol w:w="121"/>
        <w:gridCol w:w="784"/>
        <w:gridCol w:w="36"/>
        <w:gridCol w:w="36"/>
        <w:gridCol w:w="36"/>
        <w:gridCol w:w="36"/>
        <w:gridCol w:w="121"/>
        <w:gridCol w:w="784"/>
        <w:gridCol w:w="36"/>
        <w:gridCol w:w="36"/>
        <w:gridCol w:w="36"/>
        <w:gridCol w:w="36"/>
        <w:gridCol w:w="121"/>
        <w:gridCol w:w="784"/>
        <w:gridCol w:w="36"/>
        <w:gridCol w:w="36"/>
        <w:gridCol w:w="36"/>
        <w:gridCol w:w="36"/>
        <w:gridCol w:w="121"/>
        <w:gridCol w:w="785"/>
        <w:gridCol w:w="37"/>
      </w:tblGrid>
      <w:tr w:rsidR="00000000">
        <w:trPr>
          <w:divId w:val="812219091"/>
        </w:trPr>
        <w:tc>
          <w:tcPr>
            <w:tcW w:w="50" w:type="pct"/>
            <w:vAlign w:val="center"/>
            <w:hideMark/>
          </w:tcPr>
          <w:p w:rsidR="00000000" w:rsidRDefault="00C9777F">
            <w:pPr>
              <w:ind w:firstLine="360"/>
              <w:rPr>
                <w:rFonts w:eastAsia="Times New Roman"/>
              </w:rPr>
            </w:pPr>
          </w:p>
        </w:tc>
        <w:tc>
          <w:tcPr>
            <w:tcW w:w="255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812219091"/>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81221909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divId w:val="812219091"/>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812219091"/>
          <w:trHeight w:val="10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812219091"/>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FAS pension service cost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812219091"/>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Less: CAS pension cost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812219091"/>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FAS/CAS operating adjustment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812219091"/>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Non-service FAS pension income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812219091"/>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812219091"/>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812219091"/>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592250061"/>
              <w:rPr>
                <w:rFonts w:eastAsia="Times New Roman"/>
              </w:rPr>
            </w:pPr>
            <w:r>
              <w:rPr>
                <w:rFonts w:eastAsia="Times New Roman"/>
                <w:color w:val="000000"/>
                <w:sz w:val="20"/>
                <w:szCs w:val="20"/>
              </w:rPr>
              <w:t>FAS/CAS pension adjustment,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812219091"/>
        </w:trPr>
        <w:tc>
          <w:tcPr>
            <w:tcW w:w="0" w:type="auto"/>
            <w:gridSpan w:val="3"/>
            <w:vAlign w:val="center"/>
            <w:hideMark/>
          </w:tcPr>
          <w:p w:rsidR="00000000" w:rsidRDefault="00C9777F">
            <w:pPr>
              <w:spacing w:after="100"/>
              <w:jc w:val="right"/>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812219091"/>
        <w:rPr>
          <w:rFonts w:eastAsia="Times New Roman"/>
        </w:rPr>
      </w:pPr>
      <w:r>
        <w:rPr>
          <w:rFonts w:eastAsia="Times New Roman"/>
          <w:color w:val="000000"/>
          <w:sz w:val="16"/>
          <w:szCs w:val="16"/>
        </w:rPr>
        <w:t>_______________</w:t>
      </w:r>
    </w:p>
    <w:p w:rsidR="00000000" w:rsidRDefault="00C9777F">
      <w:pPr>
        <w:ind w:hanging="360"/>
        <w:divId w:val="224535198"/>
        <w:rPr>
          <w:rFonts w:eastAsia="Times New Roman"/>
        </w:rPr>
      </w:pPr>
      <w:r>
        <w:rPr>
          <w:rFonts w:eastAsia="Times New Roman"/>
          <w:color w:val="000000"/>
          <w:sz w:val="16"/>
          <w:szCs w:val="16"/>
        </w:rPr>
        <w:t>(1)</w:t>
      </w:r>
      <w:r>
        <w:rPr>
          <w:rFonts w:eastAsia="Times New Roman"/>
          <w:color w:val="000000"/>
          <w:sz w:val="16"/>
          <w:szCs w:val="16"/>
        </w:rPr>
        <w:t>FAS/CAS pension adjustment, net excludes net settlement and curtailment losses recognized in fiscal 2021.</w:t>
      </w:r>
    </w:p>
    <w:p w:rsidR="00000000" w:rsidRDefault="00C9777F">
      <w:pPr>
        <w:divId w:val="202669118"/>
        <w:rPr>
          <w:rFonts w:eastAsia="Times New Roman"/>
        </w:rPr>
      </w:pPr>
      <w:r>
        <w:rPr>
          <w:rFonts w:eastAsia="Times New Roman"/>
          <w:b/>
          <w:bCs/>
          <w:color w:val="000000"/>
          <w:sz w:val="20"/>
          <w:szCs w:val="20"/>
        </w:rPr>
        <w:t>Disaggregation of Revenue</w:t>
      </w:r>
    </w:p>
    <w:p w:rsidR="00000000" w:rsidRDefault="00C9777F">
      <w:pPr>
        <w:ind w:firstLine="360"/>
        <w:divId w:val="1248731892"/>
        <w:rPr>
          <w:rFonts w:eastAsia="Times New Roman"/>
        </w:rPr>
      </w:pPr>
      <w:r>
        <w:rPr>
          <w:rFonts w:eastAsia="Times New Roman"/>
          <w:color w:val="000000"/>
          <w:sz w:val="20"/>
          <w:szCs w:val="20"/>
        </w:rPr>
        <w:t xml:space="preserve">We disaggregate revenue for all three business segments by customer relationship, contract type and geographical region. We </w:t>
      </w:r>
      <w:r>
        <w:rPr>
          <w:rFonts w:eastAsia="Times New Roman"/>
          <w:color w:val="000000"/>
          <w:sz w:val="20"/>
          <w:szCs w:val="20"/>
        </w:rPr>
        <w:t>believe these categories best depict how the nature, amount, timing and uncertainty of revenue and cash flows are affected by economic factors.</w:t>
      </w:r>
    </w:p>
    <w:tbl>
      <w:tblPr>
        <w:tblW w:w="5000" w:type="pct"/>
        <w:tblCellMar>
          <w:top w:w="15" w:type="dxa"/>
          <w:left w:w="15" w:type="dxa"/>
          <w:bottom w:w="15" w:type="dxa"/>
          <w:right w:w="15" w:type="dxa"/>
        </w:tblCellMar>
        <w:tblLook w:val="04A0" w:firstRow="1" w:lastRow="0" w:firstColumn="1" w:lastColumn="0" w:noHBand="0" w:noVBand="1"/>
      </w:tblPr>
      <w:tblGrid>
        <w:gridCol w:w="40"/>
        <w:gridCol w:w="1829"/>
        <w:gridCol w:w="37"/>
        <w:gridCol w:w="121"/>
        <w:gridCol w:w="679"/>
        <w:gridCol w:w="36"/>
        <w:gridCol w:w="36"/>
        <w:gridCol w:w="36"/>
        <w:gridCol w:w="36"/>
        <w:gridCol w:w="121"/>
        <w:gridCol w:w="601"/>
        <w:gridCol w:w="36"/>
        <w:gridCol w:w="36"/>
        <w:gridCol w:w="36"/>
        <w:gridCol w:w="36"/>
        <w:gridCol w:w="121"/>
        <w:gridCol w:w="1035"/>
        <w:gridCol w:w="36"/>
        <w:gridCol w:w="36"/>
        <w:gridCol w:w="36"/>
        <w:gridCol w:w="36"/>
        <w:gridCol w:w="121"/>
        <w:gridCol w:w="679"/>
        <w:gridCol w:w="36"/>
        <w:gridCol w:w="36"/>
        <w:gridCol w:w="36"/>
        <w:gridCol w:w="36"/>
        <w:gridCol w:w="121"/>
        <w:gridCol w:w="601"/>
        <w:gridCol w:w="36"/>
        <w:gridCol w:w="36"/>
        <w:gridCol w:w="36"/>
        <w:gridCol w:w="36"/>
        <w:gridCol w:w="121"/>
        <w:gridCol w:w="1035"/>
        <w:gridCol w:w="36"/>
        <w:gridCol w:w="36"/>
        <w:gridCol w:w="36"/>
        <w:gridCol w:w="36"/>
        <w:gridCol w:w="36"/>
        <w:gridCol w:w="36"/>
        <w:gridCol w:w="36"/>
        <w:gridCol w:w="36"/>
        <w:gridCol w:w="36"/>
      </w:tblGrid>
      <w:tr w:rsidR="00000000">
        <w:trPr>
          <w:divId w:val="1248731892"/>
        </w:trPr>
        <w:tc>
          <w:tcPr>
            <w:tcW w:w="50" w:type="pct"/>
            <w:vAlign w:val="center"/>
            <w:hideMark/>
          </w:tcPr>
          <w:p w:rsidR="00000000" w:rsidRDefault="00C9777F">
            <w:pPr>
              <w:ind w:firstLine="360"/>
              <w:rPr>
                <w:rFonts w:eastAsia="Times New Roman"/>
              </w:rPr>
            </w:pPr>
          </w:p>
        </w:tc>
        <w:tc>
          <w:tcPr>
            <w:tcW w:w="156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2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2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xml:space="preserve">Space &amp; </w:t>
            </w:r>
            <w:r>
              <w:rPr>
                <w:rFonts w:eastAsia="Times New Roman"/>
                <w:b/>
                <w:bCs/>
                <w:color w:val="000000"/>
                <w:sz w:val="16"/>
                <w:szCs w:val="16"/>
              </w:rPr>
              <w:t>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Communication Systems</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1,138 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963 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690 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1,080 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558 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551 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2064013960"/>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1,270 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914 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899 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1,224 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871 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1,295 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1,332 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706 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1,326 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48731892"/>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1549566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117"/>
        <w:gridCol w:w="37"/>
        <w:gridCol w:w="121"/>
        <w:gridCol w:w="679"/>
        <w:gridCol w:w="36"/>
        <w:gridCol w:w="36"/>
        <w:gridCol w:w="36"/>
        <w:gridCol w:w="36"/>
        <w:gridCol w:w="121"/>
        <w:gridCol w:w="601"/>
        <w:gridCol w:w="36"/>
        <w:gridCol w:w="36"/>
        <w:gridCol w:w="36"/>
        <w:gridCol w:w="36"/>
        <w:gridCol w:w="121"/>
        <w:gridCol w:w="1035"/>
        <w:gridCol w:w="36"/>
        <w:gridCol w:w="36"/>
        <w:gridCol w:w="36"/>
        <w:gridCol w:w="36"/>
        <w:gridCol w:w="121"/>
        <w:gridCol w:w="679"/>
        <w:gridCol w:w="36"/>
        <w:gridCol w:w="36"/>
        <w:gridCol w:w="36"/>
        <w:gridCol w:w="36"/>
        <w:gridCol w:w="121"/>
        <w:gridCol w:w="601"/>
        <w:gridCol w:w="36"/>
        <w:gridCol w:w="36"/>
        <w:gridCol w:w="36"/>
        <w:gridCol w:w="36"/>
        <w:gridCol w:w="121"/>
        <w:gridCol w:w="1035"/>
        <w:gridCol w:w="36"/>
      </w:tblGrid>
      <w:tr w:rsidR="00000000">
        <w:trPr>
          <w:divId w:val="1193375532"/>
        </w:trPr>
        <w:tc>
          <w:tcPr>
            <w:tcW w:w="50" w:type="pct"/>
            <w:vAlign w:val="center"/>
            <w:hideMark/>
          </w:tcPr>
          <w:p w:rsidR="00000000" w:rsidRDefault="00C9777F">
            <w:pPr>
              <w:ind w:firstLine="360"/>
              <w:rPr>
                <w:rFonts w:eastAsia="Times New Roman"/>
              </w:rPr>
            </w:pPr>
          </w:p>
        </w:tc>
        <w:tc>
          <w:tcPr>
            <w:tcW w:w="156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2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2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193375532"/>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divId w:val="1193375532"/>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1193375532"/>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Integrated Mission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Space &amp; Airborne Systems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Communication Systems</w:t>
            </w:r>
          </w:p>
        </w:tc>
      </w:tr>
      <w:tr w:rsidR="00000000">
        <w:trPr>
          <w:divId w:val="1193375532"/>
          <w:trHeight w:val="6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19337553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Revenue By Customer Relationship</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19337553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3,351 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2,835 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2,037 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3,454 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2,736 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2,193 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Subcontractor</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1,709 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1,597 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954 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1,699 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Revenue By Contract Type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19337553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1814523243"/>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3,777 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2,675 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2,530 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3,868 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2,765 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1,283 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1,757 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1,285 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1,694 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Intersegment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Revenue By Geographical Region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19337553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3,763 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3,922 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1,962 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3,833 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3,916 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2,337 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1,297 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540 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892 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193375532"/>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hanging="360"/>
        <w:divId w:val="238832360"/>
        <w:rPr>
          <w:rFonts w:eastAsia="Times New Roman"/>
        </w:rPr>
      </w:pPr>
      <w:r>
        <w:rPr>
          <w:rFonts w:eastAsia="Times New Roman"/>
          <w:color w:val="000000"/>
          <w:sz w:val="16"/>
          <w:szCs w:val="16"/>
        </w:rPr>
        <w:t>__________</w:t>
      </w:r>
    </w:p>
    <w:p w:rsidR="00000000" w:rsidRDefault="00C9777F">
      <w:pPr>
        <w:ind w:hanging="360"/>
        <w:divId w:val="1318798817"/>
        <w:rPr>
          <w:rFonts w:eastAsia="Times New Roman"/>
        </w:rPr>
      </w:pPr>
      <w:r>
        <w:rPr>
          <w:rFonts w:eastAsia="Times New Roman"/>
          <w:color w:val="000000"/>
          <w:sz w:val="16"/>
          <w:szCs w:val="16"/>
        </w:rPr>
        <w:t>(1)Includes revenue derived from time-and-materials contracts.</w:t>
      </w:r>
    </w:p>
    <w:p w:rsidR="00000000" w:rsidRDefault="00C9777F">
      <w:pPr>
        <w:ind w:firstLine="360"/>
        <w:divId w:val="1424909888"/>
        <w:rPr>
          <w:rFonts w:eastAsia="Times New Roman"/>
        </w:rPr>
      </w:pPr>
      <w:r>
        <w:rPr>
          <w:rFonts w:eastAsia="Times New Roman"/>
          <w:color w:val="000000"/>
          <w:sz w:val="20"/>
          <w:szCs w:val="20"/>
        </w:rPr>
        <w:t>Total assets by business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15"/>
        <w:gridCol w:w="38"/>
        <w:gridCol w:w="121"/>
        <w:gridCol w:w="1046"/>
        <w:gridCol w:w="36"/>
        <w:gridCol w:w="36"/>
        <w:gridCol w:w="36"/>
        <w:gridCol w:w="36"/>
        <w:gridCol w:w="120"/>
        <w:gridCol w:w="1047"/>
        <w:gridCol w:w="36"/>
      </w:tblGrid>
      <w:tr w:rsidR="00000000">
        <w:trPr>
          <w:divId w:val="178005919"/>
        </w:trPr>
        <w:tc>
          <w:tcPr>
            <w:tcW w:w="50" w:type="pct"/>
            <w:vAlign w:val="center"/>
            <w:hideMark/>
          </w:tcPr>
          <w:p w:rsidR="00000000" w:rsidRDefault="00C9777F">
            <w:pPr>
              <w:ind w:firstLine="360"/>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78005919"/>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w:t>
            </w:r>
            <w:r>
              <w:rPr>
                <w:rFonts w:eastAsia="Times New Roman"/>
                <w:b/>
                <w:bCs/>
                <w:color w:val="000000"/>
                <w:sz w:val="16"/>
                <w:szCs w:val="16"/>
              </w:rPr>
              <w:t>ns)</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December 31, 2021</w:t>
            </w:r>
          </w:p>
        </w:tc>
      </w:tr>
      <w:tr w:rsidR="00000000">
        <w:trPr>
          <w:divId w:val="178005919"/>
          <w:trHeight w:val="60"/>
        </w:trPr>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78005919"/>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78005919"/>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11,357 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11,830 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8005919"/>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8,349 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8,151 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8005919"/>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5,844 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6,035 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8005919"/>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8005919"/>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divId w:val="1002272367"/>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7,831 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8,690 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8005919"/>
        </w:trPr>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hanging="360"/>
        <w:divId w:val="72166782"/>
        <w:rPr>
          <w:rFonts w:eastAsia="Times New Roman"/>
        </w:rPr>
      </w:pPr>
      <w:r>
        <w:rPr>
          <w:rFonts w:eastAsia="Times New Roman"/>
          <w:color w:val="000000"/>
          <w:sz w:val="16"/>
          <w:szCs w:val="16"/>
        </w:rPr>
        <w:t>_______________</w:t>
      </w:r>
    </w:p>
    <w:p w:rsidR="00000000" w:rsidRDefault="00C9777F">
      <w:pPr>
        <w:ind w:hanging="360"/>
        <w:divId w:val="1116943602"/>
        <w:rPr>
          <w:rFonts w:eastAsia="Times New Roman"/>
        </w:rPr>
      </w:pPr>
      <w:r>
        <w:rPr>
          <w:rFonts w:eastAsia="Times New Roman"/>
          <w:color w:val="000000"/>
          <w:sz w:val="16"/>
          <w:szCs w:val="16"/>
        </w:rPr>
        <w:t>(1)</w:t>
      </w:r>
      <w:r>
        <w:rPr>
          <w:rFonts w:eastAsia="Times New Roman"/>
          <w:color w:val="000000"/>
          <w:sz w:val="16"/>
          <w:szCs w:val="16"/>
        </w:rPr>
        <w:t xml:space="preserve">Identifiable intangible assets acquired in connection with the L3Harris Merger in the two quarters ended January 3, 2020 and our acquisition of Exelis in fiscal 2015 were recorded as Corporate assets because they benefited the entire Company as opposed to </w:t>
      </w:r>
      <w:r>
        <w:rPr>
          <w:rFonts w:eastAsia="Times New Roman"/>
          <w:color w:val="000000"/>
          <w:sz w:val="16"/>
          <w:szCs w:val="16"/>
        </w:rPr>
        <w:t>any individual segment. Identifiable intangible asset balances recorded as Corporate assets were $6.1 billion and $6.6 billion at September 30, 2022 and December 31, 2021, respectively. Corporate assets also consisted of cash, income taxes receivable, defe</w:t>
      </w:r>
      <w:r>
        <w:rPr>
          <w:rFonts w:eastAsia="Times New Roman"/>
          <w:color w:val="000000"/>
          <w:sz w:val="16"/>
          <w:szCs w:val="16"/>
        </w:rPr>
        <w:t xml:space="preserve">rred income taxes, deferred compensation plan investments, buildings and equipment, as well as any assets of discontinued operations and divestitures. </w:t>
      </w:r>
    </w:p>
    <w:p w:rsidR="00000000" w:rsidRDefault="00C9777F">
      <w:pPr>
        <w:divId w:val="940574807"/>
        <w:rPr>
          <w:rFonts w:eastAsia="Times New Roman"/>
        </w:rPr>
      </w:pPr>
      <w:r>
        <w:rPr>
          <w:rFonts w:eastAsia="Times New Roman"/>
          <w:b/>
          <w:bCs/>
          <w:color w:val="000000"/>
          <w:sz w:val="20"/>
          <w:szCs w:val="20"/>
        </w:rPr>
        <w:t>NOTE T— LEGAL PROCEEDINGS AND CONTINGENCIES</w:t>
      </w:r>
      <w:r>
        <w:rPr>
          <w:rFonts w:eastAsia="Times New Roman"/>
          <w:b/>
          <w:bCs/>
          <w:i/>
          <w:iCs/>
          <w:color w:val="000000"/>
          <w:sz w:val="20"/>
          <w:szCs w:val="20"/>
        </w:rPr>
        <w:t xml:space="preserve"> </w:t>
      </w:r>
    </w:p>
    <w:p w:rsidR="00000000" w:rsidRDefault="00C9777F">
      <w:pPr>
        <w:ind w:firstLine="360"/>
        <w:divId w:val="199323531"/>
        <w:rPr>
          <w:rFonts w:eastAsia="Times New Roman"/>
        </w:rPr>
      </w:pPr>
      <w:r>
        <w:rPr>
          <w:rFonts w:eastAsia="Times New Roman"/>
          <w:color w:val="000000"/>
          <w:sz w:val="20"/>
          <w:szCs w:val="20"/>
        </w:rPr>
        <w:t>From time to time, as a normal incident of the nature and k</w:t>
      </w:r>
      <w:r>
        <w:rPr>
          <w:rFonts w:eastAsia="Times New Roman"/>
          <w:color w:val="000000"/>
          <w:sz w:val="20"/>
          <w:szCs w:val="20"/>
        </w:rPr>
        <w:t>ind of businesses in which we are or were engaged, various claims or charges are asserted and litigation or arbitration is commenced by or against us arising from or related to matters, including, but not limited to: product liability; personal injury; pat</w:t>
      </w:r>
      <w:r>
        <w:rPr>
          <w:rFonts w:eastAsia="Times New Roman"/>
          <w:color w:val="000000"/>
          <w:sz w:val="20"/>
          <w:szCs w:val="20"/>
        </w:rPr>
        <w:t>ents, trademarks, trade secrets or other intellectual property; labor and employee disputes; commercial or contractual disputes; strategic acquisitions or divestitures; the prior sale or use of former products allegedly containing asbestos or other restric</w:t>
      </w:r>
      <w:r>
        <w:rPr>
          <w:rFonts w:eastAsia="Times New Roman"/>
          <w:color w:val="000000"/>
          <w:sz w:val="20"/>
          <w:szCs w:val="20"/>
        </w:rPr>
        <w:t>ted materials; breach of warranty; environmental matters; or compliance with government procurement or related legal or regulatory requirements. Claimed amounts against us may be substantial, but may not bear any reasonable relationship to the merits of th</w:t>
      </w:r>
      <w:r>
        <w:rPr>
          <w:rFonts w:eastAsia="Times New Roman"/>
          <w:color w:val="000000"/>
          <w:sz w:val="20"/>
          <w:szCs w:val="20"/>
        </w:rPr>
        <w:t>e claim or the extent of any real risk of court or arbitral awards. We record accruals for losses related to those matters against us that we consider to be probable and that can be reasonably estimated (for example, we recorded an additional $31 million c</w:t>
      </w:r>
      <w:r>
        <w:rPr>
          <w:rFonts w:eastAsia="Times New Roman"/>
          <w:color w:val="000000"/>
          <w:sz w:val="20"/>
          <w:szCs w:val="20"/>
        </w:rPr>
        <w:t>harge related to a pre-merger legal contingency during the quarter ended September 30, 2022). Gain contingencies, if any, are recognized when they are realized and legal costs generally are expensed when incurred. At September 30, 2022, our accrual for the</w:t>
      </w:r>
      <w:r>
        <w:rPr>
          <w:rFonts w:eastAsia="Times New Roman"/>
          <w:color w:val="000000"/>
          <w:sz w:val="20"/>
          <w:szCs w:val="20"/>
        </w:rPr>
        <w:t xml:space="preserve"> potential resolution of lawsuits, claims, investigations or proceedings </w:t>
      </w:r>
    </w:p>
    <w:p w:rsidR="00000000" w:rsidRDefault="00C9777F">
      <w:pPr>
        <w:ind w:firstLine="360"/>
        <w:jc w:val="center"/>
        <w:divId w:val="1597323079"/>
        <w:rPr>
          <w:rFonts w:eastAsia="Times New Roman"/>
        </w:rPr>
      </w:pPr>
      <w:r>
        <w:rPr>
          <w:rFonts w:eastAsia="Times New Roman"/>
          <w:color w:val="000000"/>
          <w:sz w:val="20"/>
          <w:szCs w:val="20"/>
        </w:rPr>
        <w:t>16</w:t>
      </w:r>
    </w:p>
    <w:p w:rsidR="00000000" w:rsidRDefault="00C9777F">
      <w:pPr>
        <w:rPr>
          <w:rFonts w:eastAsia="Times New Roman"/>
        </w:rPr>
      </w:pPr>
      <w:r>
        <w:rPr>
          <w:rFonts w:eastAsia="Times New Roman"/>
        </w:rPr>
        <w:pict>
          <v:rect id="_x0000_i1043" style="width:0;height:1.5pt" o:hralign="center" o:hrstd="t" o:hr="t" fillcolor="#a0a0a0" stroked="f"/>
        </w:pict>
      </w:r>
    </w:p>
    <w:p w:rsidR="00000000" w:rsidRDefault="00C9777F">
      <w:pPr>
        <w:ind w:firstLine="360"/>
        <w:divId w:val="112676908"/>
        <w:rPr>
          <w:rFonts w:eastAsia="Times New Roman"/>
        </w:rPr>
      </w:pPr>
    </w:p>
    <w:p w:rsidR="00000000" w:rsidRDefault="00C9777F">
      <w:pPr>
        <w:divId w:val="1857693223"/>
        <w:rPr>
          <w:rFonts w:eastAsia="Times New Roman"/>
        </w:rPr>
      </w:pPr>
      <w:r>
        <w:rPr>
          <w:rFonts w:eastAsia="Times New Roman"/>
          <w:color w:val="000000"/>
          <w:sz w:val="20"/>
          <w:szCs w:val="20"/>
        </w:rPr>
        <w:t>that we consider probable of being decided unfavorably to us was not material. Although it is not feasible to predict the outcome of these m</w:t>
      </w:r>
      <w:r>
        <w:rPr>
          <w:rFonts w:eastAsia="Times New Roman"/>
          <w:color w:val="000000"/>
          <w:sz w:val="20"/>
          <w:szCs w:val="20"/>
        </w:rPr>
        <w:t>atters with certainty, it is reasonably possible that some lawsuits, claims, investigations or proceedings may be disposed of or decided unfavorably to us and in excess of the amounts currently accrued. Based on available information, in the opinion of man</w:t>
      </w:r>
      <w:r>
        <w:rPr>
          <w:rFonts w:eastAsia="Times New Roman"/>
          <w:color w:val="000000"/>
          <w:sz w:val="20"/>
          <w:szCs w:val="20"/>
        </w:rPr>
        <w:t xml:space="preserve">agement, settlements, arbitration awards and final judgments, if any, that are considered probable of being rendered against us in litigation or arbitration or resulting from claims or investigations in existence at September 30, 2022 are reserved against </w:t>
      </w:r>
      <w:r>
        <w:rPr>
          <w:rFonts w:eastAsia="Times New Roman"/>
          <w:color w:val="000000"/>
          <w:sz w:val="20"/>
          <w:szCs w:val="20"/>
        </w:rPr>
        <w:t>or would not have a material adverse effect on our financial condition, results of operations, cash flows or equity.</w:t>
      </w:r>
    </w:p>
    <w:p w:rsidR="00000000" w:rsidRDefault="00C9777F">
      <w:pPr>
        <w:divId w:val="807674776"/>
        <w:rPr>
          <w:rFonts w:eastAsia="Times New Roman"/>
        </w:rPr>
      </w:pPr>
      <w:r>
        <w:rPr>
          <w:rFonts w:eastAsia="Times New Roman"/>
          <w:b/>
          <w:bCs/>
          <w:color w:val="000000"/>
          <w:sz w:val="20"/>
          <w:szCs w:val="20"/>
        </w:rPr>
        <w:t>Environmental Matters</w:t>
      </w:r>
    </w:p>
    <w:p w:rsidR="00000000" w:rsidRDefault="00C9777F">
      <w:pPr>
        <w:ind w:firstLine="360"/>
        <w:divId w:val="326716099"/>
        <w:rPr>
          <w:rFonts w:eastAsia="Times New Roman"/>
        </w:rPr>
      </w:pPr>
      <w:r>
        <w:rPr>
          <w:rFonts w:eastAsia="Times New Roman"/>
          <w:color w:val="000000"/>
          <w:sz w:val="20"/>
          <w:szCs w:val="20"/>
        </w:rPr>
        <w:t>We are subject to numerous U.S. Federal, state, local and international environmental laws and regulatory requirement</w:t>
      </w:r>
      <w:r>
        <w:rPr>
          <w:rFonts w:eastAsia="Times New Roman"/>
          <w:color w:val="000000"/>
          <w:sz w:val="20"/>
          <w:szCs w:val="20"/>
        </w:rPr>
        <w:t>s and are involved from time to time in investigations or litigation of various potential environmental issues. We or companies we have acquired are responsible, or alleged to be responsible, for environmental investigation and/or remediation of multiple s</w:t>
      </w:r>
      <w:r>
        <w:rPr>
          <w:rFonts w:eastAsia="Times New Roman"/>
          <w:color w:val="000000"/>
          <w:sz w:val="20"/>
          <w:szCs w:val="20"/>
        </w:rPr>
        <w:t xml:space="preserve">ites. These sites are in various stages of investigation and/or remediation and in some cases our liability is considered de minimis. Notices from the U.S. Environmental Protection Agency (“EPA”) or equivalent state or international environmental agencies </w:t>
      </w:r>
      <w:r>
        <w:rPr>
          <w:rFonts w:eastAsia="Times New Roman"/>
          <w:color w:val="000000"/>
          <w:sz w:val="20"/>
          <w:szCs w:val="20"/>
        </w:rPr>
        <w:t xml:space="preserve">allege that several sites formerly or currently owned and/or operated by us or companies we have acquired, and other properties or water supplies that may be or have been impacted from those operations, contain disposed or recycled materials or wastes and </w:t>
      </w:r>
      <w:r>
        <w:rPr>
          <w:rFonts w:eastAsia="Times New Roman"/>
          <w:color w:val="000000"/>
          <w:sz w:val="20"/>
          <w:szCs w:val="20"/>
        </w:rPr>
        <w:t>require environmental investigation and/or remediation. These sites include instances of being identified as a potentially responsible party under the Comprehensive Environmental Response, Compensation and Liability Act (commonly known as the “Superfund Ac</w:t>
      </w:r>
      <w:r>
        <w:rPr>
          <w:rFonts w:eastAsia="Times New Roman"/>
          <w:color w:val="000000"/>
          <w:sz w:val="20"/>
          <w:szCs w:val="20"/>
        </w:rPr>
        <w:t>t”) and/or equivalent state and international laws. For example, in June 2014, the U.S. Department of Justice, Environment and Natural Resources Division, notified several potentially responsible parties, including Exelis, which we acquired in 2015, of pot</w:t>
      </w:r>
      <w:r>
        <w:rPr>
          <w:rFonts w:eastAsia="Times New Roman"/>
          <w:color w:val="000000"/>
          <w:sz w:val="20"/>
          <w:szCs w:val="20"/>
        </w:rPr>
        <w:t>ential responsibility for contribution to the environmental investigation and remediation of multiple locations in Alaska. In addition, in March 2016, the EPA notified over 100 potentially responsible parties, including Exelis, of potential liability for t</w:t>
      </w:r>
      <w:r>
        <w:rPr>
          <w:rFonts w:eastAsia="Times New Roman"/>
          <w:color w:val="000000"/>
          <w:sz w:val="20"/>
          <w:szCs w:val="20"/>
        </w:rPr>
        <w:t xml:space="preserve">he cost of remediation for the 8.3-mile stretch of the Lower Passaic River in New Jersey, estimated by the EPA to be $1.38 billion. During the fourth quarter of fiscal 2021, the EPA further announced an interim plan to remediate sediment in the upper nine </w:t>
      </w:r>
      <w:r>
        <w:rPr>
          <w:rFonts w:eastAsia="Times New Roman"/>
          <w:color w:val="000000"/>
          <w:sz w:val="20"/>
          <w:szCs w:val="20"/>
        </w:rPr>
        <w:t>miles of the of the Lower Passaic River with an estimated cost of $441 million. The potential responsible parties’ respective allocations for the Lower Passaic River remediation have not been determined. Although it is not feasible to predict the outcome o</w:t>
      </w:r>
      <w:r>
        <w:rPr>
          <w:rFonts w:eastAsia="Times New Roman"/>
          <w:color w:val="000000"/>
          <w:sz w:val="20"/>
          <w:szCs w:val="20"/>
        </w:rPr>
        <w:t>f these environmental claims made against us, based on available information, in the opinion of our management, any payments we may be required to make as a result of environmental claims made against us in existence at September 30, 2022 are reserved agai</w:t>
      </w:r>
      <w:r>
        <w:rPr>
          <w:rFonts w:eastAsia="Times New Roman"/>
          <w:color w:val="000000"/>
          <w:sz w:val="20"/>
          <w:szCs w:val="20"/>
        </w:rPr>
        <w:t>nst, covered by insurance or would not have a material adverse effect on our financial condition, results of operations, cash flows or equity.</w:t>
      </w:r>
    </w:p>
    <w:p w:rsidR="00000000" w:rsidRDefault="00C9777F">
      <w:pPr>
        <w:divId w:val="1223519931"/>
        <w:rPr>
          <w:rFonts w:eastAsia="Times New Roman"/>
        </w:rPr>
      </w:pPr>
      <w:r>
        <w:rPr>
          <w:rFonts w:eastAsia="Times New Roman"/>
          <w:b/>
          <w:bCs/>
          <w:color w:val="000000"/>
          <w:sz w:val="20"/>
          <w:szCs w:val="20"/>
        </w:rPr>
        <w:t>NOTE U— SUBSEQUENT EVENTS</w:t>
      </w:r>
    </w:p>
    <w:p w:rsidR="00000000" w:rsidRDefault="00C9777F">
      <w:pPr>
        <w:divId w:val="422187891"/>
        <w:rPr>
          <w:rFonts w:eastAsia="Times New Roman"/>
        </w:rPr>
      </w:pPr>
      <w:r>
        <w:rPr>
          <w:rFonts w:eastAsia="Times New Roman"/>
          <w:b/>
          <w:bCs/>
          <w:color w:val="000000"/>
          <w:sz w:val="20"/>
          <w:szCs w:val="20"/>
        </w:rPr>
        <w:t>Pending Acquisition of TDL product line</w:t>
      </w:r>
    </w:p>
    <w:p w:rsidR="00000000" w:rsidRDefault="00C9777F">
      <w:pPr>
        <w:ind w:firstLine="360"/>
        <w:divId w:val="504246973"/>
        <w:rPr>
          <w:rFonts w:eastAsia="Times New Roman"/>
        </w:rPr>
      </w:pPr>
      <w:r>
        <w:rPr>
          <w:rFonts w:eastAsia="Times New Roman"/>
          <w:color w:val="000000"/>
          <w:sz w:val="20"/>
          <w:szCs w:val="20"/>
        </w:rPr>
        <w:t>On October 3, 2022, we entered into a definitiv</w:t>
      </w:r>
      <w:r>
        <w:rPr>
          <w:rFonts w:eastAsia="Times New Roman"/>
          <w:color w:val="000000"/>
          <w:sz w:val="20"/>
          <w:szCs w:val="20"/>
        </w:rPr>
        <w:t>e agreement to acquire Viasat, Inc.’s tactical data links (“TDL”) product line for a purchase price of approximately $1.96 billion, subject to customary adjustments.</w:t>
      </w:r>
    </w:p>
    <w:p w:rsidR="00000000" w:rsidRDefault="00C9777F">
      <w:pPr>
        <w:ind w:firstLine="360"/>
        <w:divId w:val="157699353"/>
        <w:rPr>
          <w:rFonts w:eastAsia="Times New Roman"/>
        </w:rPr>
      </w:pPr>
      <w:r>
        <w:rPr>
          <w:rFonts w:eastAsia="Times New Roman"/>
          <w:color w:val="000000"/>
          <w:sz w:val="20"/>
          <w:szCs w:val="20"/>
        </w:rPr>
        <w:t>The acquisition, which we plan to fund with debt financing, is expected to close in the fi</w:t>
      </w:r>
      <w:r>
        <w:rPr>
          <w:rFonts w:eastAsia="Times New Roman"/>
          <w:color w:val="000000"/>
          <w:sz w:val="20"/>
          <w:szCs w:val="20"/>
        </w:rPr>
        <w:t>rst half of 2023, subject to required regulatory approvals and clearances and other customary closing conditions, although we can give no assurances regarding the timing or occurrence of closing.</w:t>
      </w:r>
    </w:p>
    <w:p w:rsidR="00000000" w:rsidRDefault="00C9777F">
      <w:pPr>
        <w:divId w:val="1179386989"/>
        <w:rPr>
          <w:rFonts w:eastAsia="Times New Roman"/>
        </w:rPr>
      </w:pPr>
      <w:r>
        <w:rPr>
          <w:rFonts w:eastAsia="Times New Roman"/>
          <w:b/>
          <w:bCs/>
          <w:color w:val="000000"/>
          <w:sz w:val="20"/>
          <w:szCs w:val="20"/>
        </w:rPr>
        <w:t>Share Repurchase Authorization</w:t>
      </w:r>
    </w:p>
    <w:p w:rsidR="00000000" w:rsidRDefault="00C9777F">
      <w:pPr>
        <w:ind w:firstLine="360"/>
        <w:divId w:val="1392073228"/>
        <w:rPr>
          <w:rFonts w:eastAsia="Times New Roman"/>
        </w:rPr>
      </w:pPr>
      <w:r>
        <w:rPr>
          <w:rFonts w:eastAsia="Times New Roman"/>
          <w:color w:val="000000"/>
          <w:sz w:val="20"/>
          <w:szCs w:val="20"/>
        </w:rPr>
        <w:t>On October 21, 2022, we annou</w:t>
      </w:r>
      <w:r>
        <w:rPr>
          <w:rFonts w:eastAsia="Times New Roman"/>
          <w:color w:val="000000"/>
          <w:sz w:val="20"/>
          <w:szCs w:val="20"/>
        </w:rPr>
        <w:t>nced that our Board of Directors approved an additional $3.0 billion share repurchase authorization, bringing the total authorization to $4.5 billion.</w:t>
      </w:r>
    </w:p>
    <w:p w:rsidR="00000000" w:rsidRDefault="00C9777F">
      <w:pPr>
        <w:ind w:firstLine="360"/>
        <w:divId w:val="569654419"/>
        <w:rPr>
          <w:rFonts w:eastAsia="Times New Roman"/>
        </w:rPr>
      </w:pPr>
    </w:p>
    <w:p w:rsidR="00000000" w:rsidRDefault="00C9777F">
      <w:pPr>
        <w:ind w:firstLine="360"/>
        <w:jc w:val="center"/>
        <w:divId w:val="1751079884"/>
        <w:rPr>
          <w:rFonts w:eastAsia="Times New Roman"/>
        </w:rPr>
      </w:pPr>
      <w:r>
        <w:rPr>
          <w:rFonts w:eastAsia="Times New Roman"/>
          <w:color w:val="000000"/>
          <w:sz w:val="20"/>
          <w:szCs w:val="20"/>
        </w:rPr>
        <w:t>17</w:t>
      </w:r>
    </w:p>
    <w:p w:rsidR="00000000" w:rsidRDefault="00C9777F">
      <w:pPr>
        <w:rPr>
          <w:rFonts w:eastAsia="Times New Roman"/>
        </w:rPr>
      </w:pPr>
      <w:r>
        <w:rPr>
          <w:rFonts w:eastAsia="Times New Roman"/>
        </w:rPr>
        <w:pict>
          <v:rect id="_x0000_i1044" style="width:0;height:1.5pt" o:hralign="center" o:hrstd="t" o:hr="t" fillcolor="#a0a0a0" stroked="f"/>
        </w:pict>
      </w:r>
    </w:p>
    <w:p w:rsidR="00000000" w:rsidRDefault="00C9777F">
      <w:pPr>
        <w:ind w:firstLine="360"/>
        <w:divId w:val="957879904"/>
        <w:rPr>
          <w:rFonts w:eastAsia="Times New Roman"/>
        </w:rPr>
      </w:pPr>
    </w:p>
    <w:p w:rsidR="00000000" w:rsidRDefault="00C9777F">
      <w:pPr>
        <w:ind w:firstLine="360"/>
        <w:jc w:val="center"/>
        <w:rPr>
          <w:rFonts w:eastAsia="Times New Roman"/>
        </w:rPr>
      </w:pPr>
      <w:r>
        <w:rPr>
          <w:rFonts w:eastAsia="Times New Roman"/>
          <w:b/>
          <w:bCs/>
          <w:color w:val="000000"/>
          <w:sz w:val="20"/>
          <w:szCs w:val="20"/>
        </w:rPr>
        <w:t>REPORT OF INDEPENDENT REGISTERED PUBLIC ACCOUNTING FIRM</w:t>
      </w:r>
    </w:p>
    <w:p w:rsidR="00000000" w:rsidRDefault="00C9777F">
      <w:pPr>
        <w:ind w:firstLine="360"/>
        <w:jc w:val="center"/>
        <w:rPr>
          <w:rFonts w:eastAsia="Times New Roman"/>
        </w:rPr>
      </w:pPr>
    </w:p>
    <w:p w:rsidR="00000000" w:rsidRDefault="00C9777F">
      <w:pPr>
        <w:ind w:firstLine="360"/>
        <w:divId w:val="865677336"/>
        <w:rPr>
          <w:rFonts w:eastAsia="Times New Roman"/>
        </w:rPr>
      </w:pPr>
      <w:r>
        <w:rPr>
          <w:rFonts w:eastAsia="Times New Roman"/>
          <w:color w:val="000000"/>
          <w:sz w:val="20"/>
          <w:szCs w:val="20"/>
        </w:rPr>
        <w:t>To t</w:t>
      </w:r>
      <w:r>
        <w:rPr>
          <w:rFonts w:eastAsia="Times New Roman"/>
          <w:color w:val="000000"/>
          <w:sz w:val="20"/>
          <w:szCs w:val="20"/>
        </w:rPr>
        <w:t xml:space="preserve">he Shareholders and the Board of Directors of L3Harris Technologies, Inc. </w:t>
      </w:r>
    </w:p>
    <w:p w:rsidR="00000000" w:rsidRDefault="00C9777F">
      <w:pPr>
        <w:ind w:firstLine="360"/>
        <w:divId w:val="648634710"/>
        <w:rPr>
          <w:rFonts w:eastAsia="Times New Roman"/>
        </w:rPr>
      </w:pPr>
    </w:p>
    <w:p w:rsidR="00000000" w:rsidRDefault="00C9777F">
      <w:pPr>
        <w:jc w:val="both"/>
        <w:rPr>
          <w:rFonts w:eastAsia="Times New Roman"/>
        </w:rPr>
      </w:pPr>
      <w:r>
        <w:rPr>
          <w:rFonts w:eastAsia="Times New Roman"/>
          <w:b/>
          <w:bCs/>
          <w:color w:val="000000"/>
          <w:sz w:val="20"/>
          <w:szCs w:val="20"/>
        </w:rPr>
        <w:t xml:space="preserve">Results of Review of Interim Financial Statements </w:t>
      </w:r>
    </w:p>
    <w:p w:rsidR="00000000" w:rsidRDefault="00C9777F">
      <w:pPr>
        <w:ind w:firstLine="360"/>
        <w:jc w:val="both"/>
        <w:divId w:val="892811807"/>
        <w:rPr>
          <w:rFonts w:eastAsia="Times New Roman"/>
        </w:rPr>
      </w:pPr>
      <w:r>
        <w:rPr>
          <w:rFonts w:eastAsia="Times New Roman"/>
          <w:color w:val="000000"/>
          <w:sz w:val="20"/>
          <w:szCs w:val="20"/>
        </w:rPr>
        <w:t>We have reviewed the accompanying condensed consolidated balance sheet of L3Harris Technologies, Inc. and subsidiaries (“the Com</w:t>
      </w:r>
      <w:r>
        <w:rPr>
          <w:rFonts w:eastAsia="Times New Roman"/>
          <w:color w:val="000000"/>
          <w:sz w:val="20"/>
          <w:szCs w:val="20"/>
        </w:rPr>
        <w:t xml:space="preserve">pany”) as of September 30, 2022, the related condensed consolidated statements of operations, comprehensive income, equity for the quarter and three quarters ended September 30, 2022 and October 1, 2021, the condensed consolidated statements of cash flows </w:t>
      </w:r>
      <w:r>
        <w:rPr>
          <w:rFonts w:eastAsia="Times New Roman"/>
          <w:color w:val="000000"/>
          <w:sz w:val="20"/>
          <w:szCs w:val="20"/>
        </w:rPr>
        <w:t>for the three quarters ended September 30, 2022 and October 1, 2021, and the related notes (collectively referred to as the “condensed consolidated interim financial statements”). Based on our reviews, we are not aware of any material modifications that sh</w:t>
      </w:r>
      <w:r>
        <w:rPr>
          <w:rFonts w:eastAsia="Times New Roman"/>
          <w:color w:val="000000"/>
          <w:sz w:val="20"/>
          <w:szCs w:val="20"/>
        </w:rPr>
        <w:t>ould be made to the condensed consolidated interim financial statements for them to be in conformity with U.S. generally accepted accounting principles.</w:t>
      </w:r>
    </w:p>
    <w:p w:rsidR="00000000" w:rsidRDefault="00C9777F">
      <w:pPr>
        <w:ind w:firstLine="360"/>
        <w:jc w:val="both"/>
        <w:divId w:val="1183280630"/>
        <w:rPr>
          <w:rFonts w:eastAsia="Times New Roman"/>
        </w:rPr>
      </w:pPr>
      <w:r>
        <w:rPr>
          <w:rFonts w:eastAsia="Times New Roman"/>
          <w:color w:val="000000"/>
          <w:sz w:val="20"/>
          <w:szCs w:val="20"/>
        </w:rPr>
        <w:t>We have previously audited, in accordance with the standards of the Public Company Accounting Oversight Board (United States) (“PCAOB”), the consolidated balance sheet of the Company as of December 31, 2021, the related consolidated statements of income, c</w:t>
      </w:r>
      <w:r>
        <w:rPr>
          <w:rFonts w:eastAsia="Times New Roman"/>
          <w:color w:val="000000"/>
          <w:sz w:val="20"/>
          <w:szCs w:val="20"/>
        </w:rPr>
        <w:t>omprehensive income, cash flows and equity for the year then ended, and the related notes (not presented herein); and in our report dated February 25, 2022, we expressed an unqualified audit opinion on those consolidated financial statements. In our opinio</w:t>
      </w:r>
      <w:r>
        <w:rPr>
          <w:rFonts w:eastAsia="Times New Roman"/>
          <w:color w:val="000000"/>
          <w:sz w:val="20"/>
          <w:szCs w:val="20"/>
        </w:rPr>
        <w:t>n, the information set forth in the accompanying condensed consolidated balance sheet as of December 31, 2021, is fairly stated, in all material respects, in relation to the consolidated balance sheet from which it has been derived.</w:t>
      </w:r>
    </w:p>
    <w:p w:rsidR="00000000" w:rsidRDefault="00C9777F">
      <w:pPr>
        <w:jc w:val="both"/>
        <w:divId w:val="731122932"/>
        <w:rPr>
          <w:rFonts w:eastAsia="Times New Roman"/>
        </w:rPr>
      </w:pPr>
      <w:r>
        <w:rPr>
          <w:rFonts w:eastAsia="Times New Roman"/>
          <w:b/>
          <w:bCs/>
          <w:color w:val="000000"/>
          <w:sz w:val="20"/>
          <w:szCs w:val="20"/>
        </w:rPr>
        <w:t xml:space="preserve">Basis for Review Results </w:t>
      </w:r>
    </w:p>
    <w:p w:rsidR="00000000" w:rsidRDefault="00C9777F">
      <w:pPr>
        <w:ind w:firstLine="360"/>
        <w:jc w:val="both"/>
        <w:divId w:val="1843007163"/>
        <w:rPr>
          <w:rFonts w:eastAsia="Times New Roman"/>
        </w:rPr>
      </w:pPr>
      <w:r>
        <w:rPr>
          <w:rFonts w:eastAsia="Times New Roman"/>
          <w:color w:val="000000"/>
          <w:sz w:val="20"/>
          <w:szCs w:val="20"/>
        </w:rPr>
        <w:t>These financial statements are the responsibility of the Company's management. We are a public accounting firm registered with the PCAOB and are required to be independent with respect to the Company in accordance with the U.S. fe</w:t>
      </w:r>
      <w:r>
        <w:rPr>
          <w:rFonts w:eastAsia="Times New Roman"/>
          <w:color w:val="000000"/>
          <w:sz w:val="20"/>
          <w:szCs w:val="20"/>
        </w:rPr>
        <w:t xml:space="preserve">deral securities laws and the applicable rules and regulations of the SEC and the PCAOB. We conducted our review in accordance with the standards of the PCAOB. A review of interim financial statements consists principally of applying analytical procedures </w:t>
      </w:r>
      <w:r>
        <w:rPr>
          <w:rFonts w:eastAsia="Times New Roman"/>
          <w:color w:val="000000"/>
          <w:sz w:val="20"/>
          <w:szCs w:val="20"/>
        </w:rPr>
        <w:t xml:space="preserve">and making inquiries of persons responsible for financial and accounting matters. It is substantially less in scope than an audit conducted in accordance with the standards of the PCAOB, the objective of which is the expression of an opinion regarding the </w:t>
      </w:r>
      <w:r>
        <w:rPr>
          <w:rFonts w:eastAsia="Times New Roman"/>
          <w:color w:val="000000"/>
          <w:sz w:val="20"/>
          <w:szCs w:val="20"/>
        </w:rPr>
        <w:t>financial statements taken as a whole. Accordingly, we do not express such an opinion.</w:t>
      </w:r>
    </w:p>
    <w:p w:rsidR="00000000" w:rsidRDefault="00C9777F">
      <w:pPr>
        <w:ind w:firstLine="360"/>
        <w:divId w:val="961418715"/>
        <w:rPr>
          <w:rFonts w:eastAsia="Times New Roman"/>
        </w:rPr>
      </w:pPr>
    </w:p>
    <w:p w:rsidR="00000000" w:rsidRDefault="00C9777F">
      <w:pPr>
        <w:ind w:firstLine="360"/>
        <w:divId w:val="328560402"/>
        <w:rPr>
          <w:rFonts w:eastAsia="Times New Roman"/>
        </w:rPr>
      </w:pPr>
    </w:p>
    <w:p w:rsidR="00000000" w:rsidRDefault="00C9777F">
      <w:pPr>
        <w:divId w:val="512111612"/>
        <w:rPr>
          <w:rFonts w:eastAsia="Times New Roman"/>
        </w:rPr>
      </w:pPr>
      <w:r>
        <w:rPr>
          <w:rFonts w:eastAsia="Times New Roman"/>
          <w:color w:val="000000"/>
          <w:sz w:val="20"/>
          <w:szCs w:val="20"/>
        </w:rPr>
        <w:t>/s/ Ernst &amp; Young LLP</w:t>
      </w:r>
    </w:p>
    <w:p w:rsidR="00000000" w:rsidRDefault="00C9777F">
      <w:pPr>
        <w:divId w:val="1417170048"/>
        <w:rPr>
          <w:rFonts w:eastAsia="Times New Roman"/>
        </w:rPr>
      </w:pPr>
    </w:p>
    <w:p w:rsidR="00000000" w:rsidRDefault="00C9777F">
      <w:pPr>
        <w:divId w:val="1854421165"/>
        <w:rPr>
          <w:rFonts w:eastAsia="Times New Roman"/>
        </w:rPr>
      </w:pPr>
      <w:r>
        <w:rPr>
          <w:rFonts w:eastAsia="Times New Roman"/>
          <w:color w:val="000000"/>
          <w:sz w:val="20"/>
          <w:szCs w:val="20"/>
        </w:rPr>
        <w:t>Orlando, Florida</w:t>
      </w:r>
    </w:p>
    <w:p w:rsidR="00000000" w:rsidRDefault="00C9777F">
      <w:pPr>
        <w:divId w:val="1297029396"/>
        <w:rPr>
          <w:rFonts w:eastAsia="Times New Roman"/>
        </w:rPr>
      </w:pPr>
      <w:r>
        <w:rPr>
          <w:rFonts w:eastAsia="Times New Roman"/>
          <w:color w:val="000000"/>
          <w:sz w:val="20"/>
          <w:szCs w:val="20"/>
        </w:rPr>
        <w:t>October 31, 2022</w:t>
      </w:r>
    </w:p>
    <w:p w:rsidR="00000000" w:rsidRDefault="00C9777F">
      <w:pPr>
        <w:ind w:firstLine="360"/>
        <w:divId w:val="337081407"/>
        <w:rPr>
          <w:rFonts w:eastAsia="Times New Roman"/>
        </w:rPr>
      </w:pPr>
    </w:p>
    <w:p w:rsidR="00000000" w:rsidRDefault="00C9777F">
      <w:pPr>
        <w:ind w:firstLine="360"/>
        <w:divId w:val="1275750749"/>
        <w:rPr>
          <w:rFonts w:eastAsia="Times New Roman"/>
        </w:rPr>
      </w:pPr>
    </w:p>
    <w:p w:rsidR="00000000" w:rsidRDefault="00C9777F">
      <w:pPr>
        <w:ind w:firstLine="360"/>
        <w:divId w:val="1299798802"/>
        <w:rPr>
          <w:rFonts w:eastAsia="Times New Roman"/>
        </w:rPr>
      </w:pPr>
    </w:p>
    <w:p w:rsidR="00000000" w:rsidRDefault="00C9777F">
      <w:pPr>
        <w:ind w:firstLine="360"/>
        <w:jc w:val="center"/>
        <w:divId w:val="1678118939"/>
        <w:rPr>
          <w:rFonts w:eastAsia="Times New Roman"/>
        </w:rPr>
      </w:pPr>
      <w:r>
        <w:rPr>
          <w:rFonts w:eastAsia="Times New Roman"/>
          <w:color w:val="000000"/>
          <w:sz w:val="20"/>
          <w:szCs w:val="20"/>
        </w:rPr>
        <w:t>18</w:t>
      </w:r>
    </w:p>
    <w:p w:rsidR="00000000" w:rsidRDefault="00C9777F">
      <w:pPr>
        <w:rPr>
          <w:rFonts w:eastAsia="Times New Roman"/>
        </w:rPr>
      </w:pPr>
      <w:r>
        <w:rPr>
          <w:rFonts w:eastAsia="Times New Roman"/>
        </w:rPr>
        <w:pict>
          <v:rect id="_x0000_i1045" style="width:0;height:1.5pt" o:hralign="center" o:hrstd="t" o:hr="t" fillcolor="#a0a0a0" stroked="f"/>
        </w:pict>
      </w:r>
    </w:p>
    <w:p w:rsidR="00000000" w:rsidRDefault="00C9777F">
      <w:pPr>
        <w:ind w:firstLine="360"/>
        <w:divId w:val="1332879147"/>
        <w:rPr>
          <w:rFonts w:eastAsia="Times New Roman"/>
        </w:rPr>
      </w:pPr>
    </w:p>
    <w:tbl>
      <w:tblPr>
        <w:tblW w:w="4691" w:type="pct"/>
        <w:tblCellMar>
          <w:top w:w="15" w:type="dxa"/>
          <w:left w:w="15" w:type="dxa"/>
          <w:bottom w:w="15" w:type="dxa"/>
          <w:right w:w="15" w:type="dxa"/>
        </w:tblCellMar>
        <w:tblLook w:val="04A0" w:firstRow="1" w:lastRow="0" w:firstColumn="1" w:lastColumn="0" w:noHBand="0" w:noVBand="1"/>
      </w:tblPr>
      <w:tblGrid>
        <w:gridCol w:w="66"/>
        <w:gridCol w:w="816"/>
        <w:gridCol w:w="36"/>
        <w:gridCol w:w="64"/>
        <w:gridCol w:w="6775"/>
        <w:gridCol w:w="36"/>
      </w:tblGrid>
      <w:tr w:rsidR="00000000">
        <w:trPr>
          <w:divId w:val="1968657051"/>
        </w:trPr>
        <w:tc>
          <w:tcPr>
            <w:tcW w:w="50" w:type="pct"/>
            <w:vAlign w:val="center"/>
            <w:hideMark/>
          </w:tcPr>
          <w:p w:rsidR="00000000" w:rsidRDefault="00C9777F">
            <w:pPr>
              <w:ind w:firstLine="360"/>
              <w:rPr>
                <w:rFonts w:eastAsia="Times New Roman"/>
              </w:rPr>
            </w:pPr>
          </w:p>
        </w:tc>
        <w:tc>
          <w:tcPr>
            <w:tcW w:w="53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35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968657051"/>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MANAGEMENT’</w:t>
            </w:r>
            <w:r>
              <w:rPr>
                <w:rFonts w:eastAsia="Times New Roman"/>
                <w:b/>
                <w:bCs/>
                <w:color w:val="000000"/>
                <w:sz w:val="20"/>
                <w:szCs w:val="20"/>
              </w:rPr>
              <w:t>S DISCUSSION AND ANALYSIS OF FINANCIAL CONDITION AND RESULTS OF OPERATIONS.</w:t>
            </w:r>
          </w:p>
        </w:tc>
      </w:tr>
    </w:tbl>
    <w:p w:rsidR="00000000" w:rsidRDefault="00C9777F">
      <w:pPr>
        <w:divId w:val="478694750"/>
        <w:rPr>
          <w:rFonts w:eastAsia="Times New Roman"/>
        </w:rPr>
      </w:pPr>
      <w:r>
        <w:rPr>
          <w:rFonts w:eastAsia="Times New Roman"/>
          <w:b/>
          <w:bCs/>
          <w:color w:val="000000"/>
          <w:sz w:val="20"/>
          <w:szCs w:val="20"/>
        </w:rPr>
        <w:t>OVERVIEW</w:t>
      </w:r>
    </w:p>
    <w:p w:rsidR="00000000" w:rsidRDefault="00C9777F">
      <w:pPr>
        <w:ind w:firstLine="360"/>
        <w:divId w:val="915742822"/>
        <w:rPr>
          <w:rFonts w:eastAsia="Times New Roman"/>
        </w:rPr>
      </w:pPr>
      <w:r>
        <w:rPr>
          <w:rFonts w:eastAsia="Times New Roman"/>
          <w:color w:val="000000"/>
          <w:sz w:val="20"/>
          <w:szCs w:val="20"/>
        </w:rPr>
        <w:t>We are an agile global aerospace and defense technology innovator, delivering end-to-end solutions that meet customers’ mission-critical needs. We provide advanced def</w:t>
      </w:r>
      <w:r>
        <w:rPr>
          <w:rFonts w:eastAsia="Times New Roman"/>
          <w:color w:val="000000"/>
          <w:sz w:val="20"/>
          <w:szCs w:val="20"/>
        </w:rPr>
        <w:t>ense and commercial technologies across space, air, land, sea and cyber domains. We support government and commercial customers in more than 100 countries, with our largest customers being various departments and agencies of the U.S. Government and their p</w:t>
      </w:r>
      <w:r>
        <w:rPr>
          <w:rFonts w:eastAsia="Times New Roman"/>
          <w:color w:val="000000"/>
          <w:sz w:val="20"/>
          <w:szCs w:val="20"/>
        </w:rPr>
        <w:t>rime contractors. Our products, systems and services have defense and civil government applications, as well as commercial applications.</w:t>
      </w:r>
    </w:p>
    <w:p w:rsidR="00000000" w:rsidRDefault="00C9777F">
      <w:pPr>
        <w:ind w:firstLine="360"/>
        <w:divId w:val="2115318101"/>
        <w:rPr>
          <w:rFonts w:eastAsia="Times New Roman"/>
        </w:rPr>
      </w:pPr>
      <w:r>
        <w:rPr>
          <w:rFonts w:eastAsia="Times New Roman"/>
          <w:color w:val="000000"/>
          <w:sz w:val="20"/>
          <w:szCs w:val="20"/>
        </w:rPr>
        <w:t xml:space="preserve">The following Management’s Discussion and Analysis (“MD&amp;A”) is intended to assist in an understanding of our financial </w:t>
      </w:r>
      <w:r>
        <w:rPr>
          <w:rFonts w:eastAsia="Times New Roman"/>
          <w:color w:val="000000"/>
          <w:sz w:val="20"/>
          <w:szCs w:val="20"/>
        </w:rPr>
        <w:t>condition and results of operations. This MD&amp;A is provided as a supplement to, should be read in conjunction with, and is qualified in its entirety by reference to, our Condensed Consolidated Financial Statements (Unaudited) and accompanying Notes appearin</w:t>
      </w:r>
      <w:r>
        <w:rPr>
          <w:rFonts w:eastAsia="Times New Roman"/>
          <w:color w:val="000000"/>
          <w:sz w:val="20"/>
          <w:szCs w:val="20"/>
        </w:rPr>
        <w:t>g elsewhere in this Report (the “Notes”). In addition, reference should be made to our audited Consolidated Financial Statements and accompanying Notes to Consolidated Financial Statements and Item 7. “Management’s Discussion and Analysis of Financial Cond</w:t>
      </w:r>
      <w:r>
        <w:rPr>
          <w:rFonts w:eastAsia="Times New Roman"/>
          <w:color w:val="000000"/>
          <w:sz w:val="20"/>
          <w:szCs w:val="20"/>
        </w:rPr>
        <w:t>ition and Results of Operations” included in our Fiscal 2021 Form 10-K. Except for the historical information contained herein, the discussions in this MD&amp;A contain forward-looking statements that involve risks and uncertainties. Our future results could d</w:t>
      </w:r>
      <w:r>
        <w:rPr>
          <w:rFonts w:eastAsia="Times New Roman"/>
          <w:color w:val="000000"/>
          <w:sz w:val="20"/>
          <w:szCs w:val="20"/>
        </w:rPr>
        <w:t>iffer materially from those discussed herein. Factors that could cause or contribute to such differences include, but are not limited to, those discussed below in this MD&amp;A under “Forward-Looking Statements and Factors that May Affect Future Results.”</w:t>
      </w:r>
    </w:p>
    <w:p w:rsidR="00000000" w:rsidRDefault="00C9777F">
      <w:pPr>
        <w:divId w:val="251933747"/>
        <w:rPr>
          <w:rFonts w:eastAsia="Times New Roman"/>
        </w:rPr>
      </w:pPr>
      <w:r>
        <w:rPr>
          <w:rFonts w:eastAsia="Times New Roman"/>
          <w:b/>
          <w:bCs/>
          <w:color w:val="000000"/>
          <w:sz w:val="20"/>
          <w:szCs w:val="20"/>
        </w:rPr>
        <w:t>U.S.</w:t>
      </w:r>
      <w:r>
        <w:rPr>
          <w:rFonts w:eastAsia="Times New Roman"/>
          <w:b/>
          <w:bCs/>
          <w:color w:val="000000"/>
          <w:sz w:val="20"/>
          <w:szCs w:val="20"/>
        </w:rPr>
        <w:t xml:space="preserve"> and International Budget Environment</w:t>
      </w:r>
    </w:p>
    <w:p w:rsidR="00000000" w:rsidRDefault="00C9777F">
      <w:pPr>
        <w:ind w:firstLine="360"/>
        <w:divId w:val="516700236"/>
        <w:rPr>
          <w:rFonts w:eastAsia="Times New Roman"/>
        </w:rPr>
      </w:pPr>
      <w:r>
        <w:rPr>
          <w:rFonts w:eastAsia="Times New Roman"/>
          <w:color w:val="000000"/>
          <w:sz w:val="20"/>
          <w:szCs w:val="20"/>
        </w:rPr>
        <w:t>For the 2023 government fiscal year (“GFY”), the President’s budget request (“PBR”) proposed $773 billion of DoD funding, a 4% increase above the amount enacted for the 2022 GFY, and the Senate Appropriations Subcommit</w:t>
      </w:r>
      <w:r>
        <w:rPr>
          <w:rFonts w:eastAsia="Times New Roman"/>
          <w:color w:val="000000"/>
          <w:sz w:val="20"/>
          <w:szCs w:val="20"/>
        </w:rPr>
        <w:t>tee on Defense has supported a $37 billion plus-up to the PBR, representing a 9% increase year over year, with a currently expected range of DoD budget proposals from $773 billion to $819 billion. Additionally, at the end of the 2022 GFY, Congress passed a</w:t>
      </w:r>
      <w:r>
        <w:rPr>
          <w:rFonts w:eastAsia="Times New Roman"/>
          <w:color w:val="000000"/>
          <w:sz w:val="20"/>
          <w:szCs w:val="20"/>
        </w:rPr>
        <w:t xml:space="preserve"> Continuing Resolution (“CR”) through December 16, 2022; however based on recent trends, there is uncertainty about whether Congress will pass a budget or the government will continue to operate under the CR. When the government operates under a CR, all pr</w:t>
      </w:r>
      <w:r>
        <w:rPr>
          <w:rFonts w:eastAsia="Times New Roman"/>
          <w:color w:val="000000"/>
          <w:sz w:val="20"/>
          <w:szCs w:val="20"/>
        </w:rPr>
        <w:t>ograms of record are funded at the prior year’s appropriated levels, and the DoD is prohibited from starting new programs. As part of the CR, an additional Ukraine aid package was enacted for $12 billion, bringing supplemental funding for the country to ov</w:t>
      </w:r>
      <w:r>
        <w:rPr>
          <w:rFonts w:eastAsia="Times New Roman"/>
          <w:color w:val="000000"/>
          <w:sz w:val="20"/>
          <w:szCs w:val="20"/>
        </w:rPr>
        <w:t>er $65 billion, a portion of which we believe to be addressable by our capabilities. Notwithstanding the increased supplemental funding, a CR represents a risk that we are monitoring and could impact the availability of funding for new contracts from the U</w:t>
      </w:r>
      <w:r>
        <w:rPr>
          <w:rFonts w:eastAsia="Times New Roman"/>
          <w:color w:val="000000"/>
          <w:sz w:val="20"/>
          <w:szCs w:val="20"/>
        </w:rPr>
        <w:t xml:space="preserve">.S. Government. See also the discussion of U.S. Government funding risks within “Item 1A, Risk Factors” included in our Fiscal 2021 Form 10-K. </w:t>
      </w:r>
    </w:p>
    <w:p w:rsidR="00000000" w:rsidRDefault="00C9777F">
      <w:pPr>
        <w:ind w:firstLine="360"/>
        <w:divId w:val="1653561671"/>
        <w:rPr>
          <w:rFonts w:eastAsia="Times New Roman"/>
        </w:rPr>
      </w:pPr>
      <w:r>
        <w:rPr>
          <w:rFonts w:eastAsia="Times New Roman"/>
          <w:color w:val="000000"/>
          <w:sz w:val="20"/>
          <w:szCs w:val="20"/>
        </w:rPr>
        <w:t>In international markets, the North Atlantic Treaty Organization (“NATO”) continues to evolve its strategy on multiple levels. Several countries, including Finland and Sweden, are pursuing NATO membership, while existing NATO members such as the U.K. and F</w:t>
      </w:r>
      <w:r>
        <w:rPr>
          <w:rFonts w:eastAsia="Times New Roman"/>
          <w:color w:val="000000"/>
          <w:sz w:val="20"/>
          <w:szCs w:val="20"/>
        </w:rPr>
        <w:t>rance have in recent months committed to increased spending beyond the 2% of gross domestic product target. Recently, additional countries, such as Japan, have followed similar paths with expanded defense budgets. The expectation of increased spending in i</w:t>
      </w:r>
      <w:r>
        <w:rPr>
          <w:rFonts w:eastAsia="Times New Roman"/>
          <w:color w:val="000000"/>
          <w:sz w:val="20"/>
          <w:szCs w:val="20"/>
        </w:rPr>
        <w:t>nternational markets provides us with the opportunity to offer a range of solutions to international customers, but international sales remain dependent on economic, social and political conditions that may differ from those in the United States as well as</w:t>
      </w:r>
      <w:r>
        <w:rPr>
          <w:rFonts w:eastAsia="Times New Roman"/>
          <w:color w:val="000000"/>
          <w:sz w:val="20"/>
          <w:szCs w:val="20"/>
        </w:rPr>
        <w:t xml:space="preserve"> changes in export controls and other trade regulations in the United States. See also the discussion of our international business risks within “Item 1A, Risk Factors” included in our Fiscal 2021 Form 10-K.</w:t>
      </w:r>
    </w:p>
    <w:p w:rsidR="00000000" w:rsidRDefault="00C9777F">
      <w:pPr>
        <w:ind w:firstLine="360"/>
        <w:divId w:val="519005788"/>
        <w:rPr>
          <w:rFonts w:eastAsia="Times New Roman"/>
        </w:rPr>
      </w:pPr>
      <w:r>
        <w:rPr>
          <w:rFonts w:eastAsia="Times New Roman"/>
          <w:color w:val="000000"/>
          <w:sz w:val="20"/>
          <w:szCs w:val="20"/>
        </w:rPr>
        <w:t>Even with the increases in expected DoD budget p</w:t>
      </w:r>
      <w:r>
        <w:rPr>
          <w:rFonts w:eastAsia="Times New Roman"/>
          <w:color w:val="000000"/>
          <w:sz w:val="20"/>
          <w:szCs w:val="20"/>
        </w:rPr>
        <w:t>roposals and with the overall demand environment both in the U.S. and internationally reflecting the conflict in Ukraine and geopolitical tensions, changes to U.S. Government spending priorities have and could in the future impact our business. A decline i</w:t>
      </w:r>
      <w:r>
        <w:rPr>
          <w:rFonts w:eastAsia="Times New Roman"/>
          <w:color w:val="000000"/>
          <w:sz w:val="20"/>
          <w:szCs w:val="20"/>
        </w:rPr>
        <w:t xml:space="preserve">n demand for fuzing and ordnance systems due to reduced U.S. Government spending for precision weapons was largely responsible for charges for impairment of goodwill in our IMS segment. See </w:t>
      </w:r>
      <w:r>
        <w:rPr>
          <w:rFonts w:eastAsia="Times New Roman"/>
          <w:i/>
          <w:iCs/>
          <w:color w:val="000000"/>
          <w:sz w:val="20"/>
          <w:szCs w:val="20"/>
        </w:rPr>
        <w:t>Note I — Goodwill and Other Intangible Assets</w:t>
      </w:r>
      <w:r>
        <w:rPr>
          <w:rFonts w:eastAsia="Times New Roman"/>
          <w:color w:val="000000"/>
          <w:sz w:val="20"/>
          <w:szCs w:val="20"/>
        </w:rPr>
        <w:t xml:space="preserve"> in the Notes for fur</w:t>
      </w:r>
      <w:r>
        <w:rPr>
          <w:rFonts w:eastAsia="Times New Roman"/>
          <w:color w:val="000000"/>
          <w:sz w:val="20"/>
          <w:szCs w:val="20"/>
        </w:rPr>
        <w:t>ther information. Other changes in spending priorities in the future could adversely affect our existing programs and future contracts and impact our financial condition and results of operations.</w:t>
      </w:r>
    </w:p>
    <w:p w:rsidR="00000000" w:rsidRDefault="00C9777F">
      <w:pPr>
        <w:divId w:val="1817842381"/>
        <w:rPr>
          <w:rFonts w:eastAsia="Times New Roman"/>
        </w:rPr>
      </w:pPr>
      <w:r>
        <w:rPr>
          <w:rFonts w:eastAsia="Times New Roman"/>
          <w:b/>
          <w:bCs/>
          <w:color w:val="000000"/>
          <w:sz w:val="20"/>
          <w:szCs w:val="20"/>
        </w:rPr>
        <w:t xml:space="preserve">Economic Environment </w:t>
      </w:r>
    </w:p>
    <w:p w:rsidR="00000000" w:rsidRDefault="00C9777F">
      <w:pPr>
        <w:ind w:firstLine="360"/>
        <w:divId w:val="1189759384"/>
        <w:rPr>
          <w:rFonts w:eastAsia="Times New Roman"/>
        </w:rPr>
      </w:pPr>
      <w:r>
        <w:rPr>
          <w:rFonts w:eastAsia="Times New Roman"/>
          <w:color w:val="000000"/>
          <w:sz w:val="20"/>
          <w:szCs w:val="20"/>
        </w:rPr>
        <w:t>The macroeconomic environment continu</w:t>
      </w:r>
      <w:r>
        <w:rPr>
          <w:rFonts w:eastAsia="Times New Roman"/>
          <w:color w:val="000000"/>
          <w:sz w:val="20"/>
          <w:szCs w:val="20"/>
        </w:rPr>
        <w:t>es to present challenges, which have impacted and may continue to impact our future results. Rising inflation in the U.S. has led to higher costs. The on-going uncertainty related to the impacts of inflation, as well as increased interest rates, which rais</w:t>
      </w:r>
      <w:r>
        <w:rPr>
          <w:rFonts w:eastAsia="Times New Roman"/>
          <w:color w:val="000000"/>
          <w:sz w:val="20"/>
          <w:szCs w:val="20"/>
        </w:rPr>
        <w:t>es the cost of borrowing for the federal government, could in the future impact government spending priorities and the demand for our products. Higher interest rates have also had an impact on the fair value of our reporting units and contributed to charge</w:t>
      </w:r>
      <w:r>
        <w:rPr>
          <w:rFonts w:eastAsia="Times New Roman"/>
          <w:color w:val="000000"/>
          <w:sz w:val="20"/>
          <w:szCs w:val="20"/>
        </w:rPr>
        <w:t xml:space="preserve">s for impairment of goodwill at our IMS and CS segments. See </w:t>
      </w:r>
      <w:r>
        <w:rPr>
          <w:rFonts w:eastAsia="Times New Roman"/>
          <w:i/>
          <w:iCs/>
          <w:color w:val="000000"/>
          <w:sz w:val="20"/>
          <w:szCs w:val="20"/>
        </w:rPr>
        <w:t>Note I — Goodwill and Other Intangible Assets</w:t>
      </w:r>
      <w:r>
        <w:rPr>
          <w:rFonts w:eastAsia="Times New Roman"/>
          <w:color w:val="000000"/>
          <w:sz w:val="20"/>
          <w:szCs w:val="20"/>
        </w:rPr>
        <w:t xml:space="preserve"> in the Notes for further information.</w:t>
      </w:r>
    </w:p>
    <w:p w:rsidR="00000000" w:rsidRDefault="00C9777F">
      <w:pPr>
        <w:ind w:firstLine="360"/>
        <w:jc w:val="center"/>
        <w:divId w:val="1755124223"/>
        <w:rPr>
          <w:rFonts w:eastAsia="Times New Roman"/>
        </w:rPr>
      </w:pPr>
      <w:r>
        <w:rPr>
          <w:rFonts w:eastAsia="Times New Roman"/>
          <w:color w:val="000000"/>
          <w:sz w:val="20"/>
          <w:szCs w:val="20"/>
        </w:rPr>
        <w:t>19</w:t>
      </w:r>
    </w:p>
    <w:p w:rsidR="00000000" w:rsidRDefault="00C9777F">
      <w:pPr>
        <w:rPr>
          <w:rFonts w:eastAsia="Times New Roman"/>
        </w:rPr>
      </w:pPr>
      <w:r>
        <w:rPr>
          <w:rFonts w:eastAsia="Times New Roman"/>
        </w:rPr>
        <w:pict>
          <v:rect id="_x0000_i1046" style="width:0;height:1.5pt" o:hralign="center" o:hrstd="t" o:hr="t" fillcolor="#a0a0a0" stroked="f"/>
        </w:pict>
      </w:r>
    </w:p>
    <w:p w:rsidR="00000000" w:rsidRDefault="00C9777F">
      <w:pPr>
        <w:ind w:firstLine="360"/>
        <w:divId w:val="2043624998"/>
        <w:rPr>
          <w:rFonts w:eastAsia="Times New Roman"/>
        </w:rPr>
      </w:pPr>
    </w:p>
    <w:p w:rsidR="00000000" w:rsidRDefault="00C9777F">
      <w:pPr>
        <w:ind w:firstLine="360"/>
        <w:divId w:val="1157838243"/>
        <w:rPr>
          <w:rFonts w:eastAsia="Times New Roman"/>
        </w:rPr>
      </w:pPr>
      <w:r>
        <w:rPr>
          <w:rFonts w:eastAsia="Times New Roman"/>
          <w:color w:val="000000"/>
          <w:sz w:val="20"/>
          <w:szCs w:val="20"/>
        </w:rPr>
        <w:t>While we have consistently followed the practice of adjusting our pric</w:t>
      </w:r>
      <w:r>
        <w:rPr>
          <w:rFonts w:eastAsia="Times New Roman"/>
          <w:color w:val="000000"/>
          <w:sz w:val="20"/>
          <w:szCs w:val="20"/>
        </w:rPr>
        <w:t>es to reflect the impact of inflation on salaries and fringe benefits for employees and the cost of purchased materials and services, our fixed-price contracts could subject us to losses in the event of cost overruns or a significant increase in or a susta</w:t>
      </w:r>
      <w:r>
        <w:rPr>
          <w:rFonts w:eastAsia="Times New Roman"/>
          <w:color w:val="000000"/>
          <w:sz w:val="20"/>
          <w:szCs w:val="20"/>
        </w:rPr>
        <w:t>ined period of increased inflation. Management has worked to mitigate supply chain and labor market challenges, with modest improvements in the supply chain sequentially for Tactical Communications, the company’s largest product-based business, and a stabl</w:t>
      </w:r>
      <w:r>
        <w:rPr>
          <w:rFonts w:eastAsia="Times New Roman"/>
          <w:color w:val="000000"/>
          <w:sz w:val="20"/>
          <w:szCs w:val="20"/>
        </w:rPr>
        <w:t>e headcount within our company. However due to uncertainty in the current environment, there can be no assurances that we will not see further impacts in our financial condition and results of operations.</w:t>
      </w:r>
    </w:p>
    <w:p w:rsidR="00000000" w:rsidRDefault="00C9777F">
      <w:pPr>
        <w:divId w:val="1161002295"/>
        <w:rPr>
          <w:rFonts w:eastAsia="Times New Roman"/>
        </w:rPr>
      </w:pPr>
      <w:r>
        <w:rPr>
          <w:rFonts w:eastAsia="Times New Roman"/>
          <w:b/>
          <w:bCs/>
          <w:color w:val="000000"/>
          <w:sz w:val="20"/>
          <w:szCs w:val="20"/>
        </w:rPr>
        <w:t>KEY DEVELOPMENTS</w:t>
      </w:r>
    </w:p>
    <w:p w:rsidR="00000000" w:rsidRDefault="00C9777F">
      <w:pPr>
        <w:ind w:firstLine="435"/>
        <w:divId w:val="1664893323"/>
        <w:rPr>
          <w:rFonts w:eastAsia="Times New Roman"/>
        </w:rPr>
      </w:pPr>
      <w:r>
        <w:rPr>
          <w:rFonts w:eastAsia="Times New Roman"/>
          <w:color w:val="000000"/>
          <w:sz w:val="20"/>
          <w:szCs w:val="20"/>
        </w:rPr>
        <w:t>Effective January 1, 2022, we stre</w:t>
      </w:r>
      <w:r>
        <w:rPr>
          <w:rFonts w:eastAsia="Times New Roman"/>
          <w:color w:val="000000"/>
          <w:sz w:val="20"/>
          <w:szCs w:val="20"/>
        </w:rPr>
        <w:t>amlined our business segments from four business segments to three business segments. As a result of the segment reorganization, the Aviation Systems segment was eliminated as a business segment. Effective for fiscal 2022, which began January 1, 2022, we r</w:t>
      </w:r>
      <w:r>
        <w:rPr>
          <w:rFonts w:eastAsia="Times New Roman"/>
          <w:color w:val="000000"/>
          <w:sz w:val="20"/>
          <w:szCs w:val="20"/>
        </w:rPr>
        <w:t>eported our financial results in the following three reportable segments:</w:t>
      </w:r>
    </w:p>
    <w:p w:rsidR="00000000" w:rsidRDefault="00C9777F">
      <w:pPr>
        <w:ind w:hanging="360"/>
        <w:divId w:val="2143694845"/>
        <w:rPr>
          <w:rFonts w:eastAsia="Times New Roman"/>
        </w:rPr>
      </w:pPr>
      <w:r>
        <w:rPr>
          <w:rFonts w:eastAsia="Times New Roman"/>
          <w:color w:val="000000"/>
          <w:sz w:val="20"/>
          <w:szCs w:val="20"/>
        </w:rPr>
        <w:t>•Integrated Mission Systems, including multi-mission ISR systems; integrated electrical and electronic systems for maritime platforms; advanced EO/IR solutions; fuzing and ordnance s</w:t>
      </w:r>
      <w:r>
        <w:rPr>
          <w:rFonts w:eastAsia="Times New Roman"/>
          <w:color w:val="000000"/>
          <w:sz w:val="20"/>
          <w:szCs w:val="20"/>
        </w:rPr>
        <w:t>ystems; commercial aviation products; and commercial pilot training operations;</w:t>
      </w:r>
    </w:p>
    <w:p w:rsidR="00000000" w:rsidRDefault="00C9777F">
      <w:pPr>
        <w:ind w:hanging="360"/>
        <w:divId w:val="300817554"/>
        <w:rPr>
          <w:rFonts w:eastAsia="Times New Roman"/>
        </w:rPr>
      </w:pPr>
      <w:r>
        <w:rPr>
          <w:rFonts w:eastAsia="Times New Roman"/>
          <w:color w:val="000000"/>
          <w:sz w:val="20"/>
          <w:szCs w:val="20"/>
        </w:rPr>
        <w:t>•Space &amp; Airborne Systems, including space payloads, sensors and full-mission solutions; classified intelligence and cyber; avionics; electronic warfare; and mission networks f</w:t>
      </w:r>
      <w:r>
        <w:rPr>
          <w:rFonts w:eastAsia="Times New Roman"/>
          <w:color w:val="000000"/>
          <w:sz w:val="20"/>
          <w:szCs w:val="20"/>
        </w:rPr>
        <w:t>or air traffic management operations; and</w:t>
      </w:r>
    </w:p>
    <w:p w:rsidR="00000000" w:rsidRDefault="00C9777F">
      <w:pPr>
        <w:ind w:hanging="360"/>
        <w:divId w:val="452098244"/>
        <w:rPr>
          <w:rFonts w:eastAsia="Times New Roman"/>
        </w:rPr>
      </w:pPr>
      <w:r>
        <w:rPr>
          <w:rFonts w:eastAsia="Times New Roman"/>
          <w:color w:val="000000"/>
          <w:sz w:val="20"/>
          <w:szCs w:val="20"/>
        </w:rPr>
        <w:t xml:space="preserve">•Communication Systems, including tactical communications with global communications solutions; broadband communications; integrated vision solutions; and public safety radios, system applications and equipment. </w:t>
      </w:r>
    </w:p>
    <w:p w:rsidR="00000000" w:rsidRDefault="00C9777F">
      <w:pPr>
        <w:ind w:firstLine="360"/>
        <w:divId w:val="657882975"/>
        <w:rPr>
          <w:rFonts w:eastAsia="Times New Roman"/>
        </w:rPr>
      </w:pPr>
      <w:r>
        <w:rPr>
          <w:rFonts w:eastAsia="Times New Roman"/>
          <w:color w:val="000000"/>
          <w:sz w:val="20"/>
          <w:szCs w:val="20"/>
        </w:rPr>
        <w:t>T</w:t>
      </w:r>
      <w:r>
        <w:rPr>
          <w:rFonts w:eastAsia="Times New Roman"/>
          <w:color w:val="000000"/>
          <w:sz w:val="20"/>
          <w:szCs w:val="20"/>
        </w:rPr>
        <w:t xml:space="preserve">he following business divestitures and asset sales were completed in the three quarters ended September 30, 2022 and October 1, 2021: </w:t>
      </w:r>
    </w:p>
    <w:p w:rsidR="00000000" w:rsidRDefault="00C9777F">
      <w:pPr>
        <w:ind w:hanging="360"/>
        <w:divId w:val="315454943"/>
        <w:rPr>
          <w:rFonts w:eastAsia="Times New Roman"/>
        </w:rPr>
      </w:pPr>
      <w:r>
        <w:rPr>
          <w:rFonts w:eastAsia="Times New Roman"/>
          <w:color w:val="000000"/>
          <w:sz w:val="20"/>
          <w:szCs w:val="20"/>
        </w:rPr>
        <w:t>•On April 29, 2022, we completed one business divestiture, the results of which are reported as part of our Integrated Mi</w:t>
      </w:r>
      <w:r>
        <w:rPr>
          <w:rFonts w:eastAsia="Times New Roman"/>
          <w:color w:val="000000"/>
          <w:sz w:val="20"/>
          <w:szCs w:val="20"/>
        </w:rPr>
        <w:t>ssion Systems segment through the date of divestiture, and on May 31, 2022, and we completed the sale of certain assets from our Integrated Mission Systems segment;</w:t>
      </w:r>
    </w:p>
    <w:p w:rsidR="00000000" w:rsidRDefault="00C9777F">
      <w:pPr>
        <w:ind w:hanging="360"/>
        <w:divId w:val="338655546"/>
        <w:rPr>
          <w:rFonts w:eastAsia="Times New Roman"/>
        </w:rPr>
      </w:pPr>
      <w:r>
        <w:rPr>
          <w:rFonts w:eastAsia="Times New Roman"/>
          <w:color w:val="000000"/>
          <w:sz w:val="20"/>
          <w:szCs w:val="20"/>
        </w:rPr>
        <w:t>•Electron Devices business, definitive agreement entered into on July 2, 2021, classified a</w:t>
      </w:r>
      <w:r>
        <w:rPr>
          <w:rFonts w:eastAsia="Times New Roman"/>
          <w:color w:val="000000"/>
          <w:sz w:val="20"/>
          <w:szCs w:val="20"/>
        </w:rPr>
        <w:t>s held for sale during the quarter ended July 2, 2021 and divested on October 1, 2021, the results of which are reported as part of other non-reportable businesses through the date of divestiture;</w:t>
      </w:r>
    </w:p>
    <w:p w:rsidR="00000000" w:rsidRDefault="00C9777F">
      <w:pPr>
        <w:ind w:hanging="360"/>
        <w:divId w:val="1376155523"/>
        <w:rPr>
          <w:rFonts w:eastAsia="Times New Roman"/>
        </w:rPr>
      </w:pPr>
      <w:r>
        <w:rPr>
          <w:rFonts w:eastAsia="Times New Roman"/>
          <w:color w:val="000000"/>
          <w:sz w:val="20"/>
          <w:szCs w:val="20"/>
        </w:rPr>
        <w:t>•CPS business, definitive agreement entered into on March 1</w:t>
      </w:r>
      <w:r>
        <w:rPr>
          <w:rFonts w:eastAsia="Times New Roman"/>
          <w:color w:val="000000"/>
          <w:sz w:val="20"/>
          <w:szCs w:val="20"/>
        </w:rPr>
        <w:t>, 2021, classified as held for sale during the quarter ended April 2, 2021 and divested on July 2, 2021, the results of which are reported as part of other non-reportable businesses through the date of divestiture;</w:t>
      </w:r>
    </w:p>
    <w:p w:rsidR="00000000" w:rsidRDefault="00C9777F">
      <w:pPr>
        <w:ind w:hanging="360"/>
        <w:divId w:val="416022907"/>
        <w:rPr>
          <w:rFonts w:eastAsia="Times New Roman"/>
        </w:rPr>
      </w:pPr>
      <w:r>
        <w:rPr>
          <w:rFonts w:eastAsia="Times New Roman"/>
          <w:color w:val="000000"/>
          <w:sz w:val="20"/>
          <w:szCs w:val="20"/>
        </w:rPr>
        <w:t>•Military training business, definitive a</w:t>
      </w:r>
      <w:r>
        <w:rPr>
          <w:rFonts w:eastAsia="Times New Roman"/>
          <w:color w:val="000000"/>
          <w:sz w:val="20"/>
          <w:szCs w:val="20"/>
        </w:rPr>
        <w:t>greement entered into on February 27, 2021, classified as held for sale during the quarter ended April 2, 2021 and divested on July 2, 2021, the results of which are reported as part of other non-reportable businesses through the date of divestiture; and</w:t>
      </w:r>
    </w:p>
    <w:p w:rsidR="00000000" w:rsidRDefault="00C9777F">
      <w:pPr>
        <w:ind w:hanging="360"/>
        <w:divId w:val="1219055610"/>
        <w:rPr>
          <w:rFonts w:eastAsia="Times New Roman"/>
        </w:rPr>
      </w:pPr>
      <w:r>
        <w:rPr>
          <w:rFonts w:eastAsia="Times New Roman"/>
          <w:color w:val="000000"/>
          <w:sz w:val="16"/>
          <w:szCs w:val="16"/>
        </w:rPr>
        <w:t>•</w:t>
      </w:r>
      <w:r>
        <w:rPr>
          <w:rFonts w:eastAsia="Times New Roman"/>
          <w:color w:val="000000"/>
          <w:sz w:val="20"/>
          <w:szCs w:val="20"/>
        </w:rPr>
        <w:t>VSE disposal group, definitive agreement entered into on February 23, 2021, classified as held for sale during the quarter ended July 3, 2020 and partially divested on July 2, 2021, with the remainder divested on July 30, 2021, the results of which are rep</w:t>
      </w:r>
      <w:r>
        <w:rPr>
          <w:rFonts w:eastAsia="Times New Roman"/>
          <w:color w:val="000000"/>
          <w:sz w:val="20"/>
          <w:szCs w:val="20"/>
        </w:rPr>
        <w:t xml:space="preserve">orted as part of other non-reportable businesses through the date of divestiture. </w:t>
      </w:r>
    </w:p>
    <w:p w:rsidR="00000000" w:rsidRDefault="00C9777F">
      <w:pPr>
        <w:ind w:firstLine="360"/>
        <w:divId w:val="1211722844"/>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 and Asset Sales</w:t>
      </w:r>
      <w:r>
        <w:rPr>
          <w:rFonts w:eastAsia="Times New Roman"/>
          <w:color w:val="000000"/>
          <w:sz w:val="20"/>
          <w:szCs w:val="20"/>
        </w:rPr>
        <w:t xml:space="preserve"> in the Notes for additional information regarding asset sales and businesses divested for sale during the quarter and thre</w:t>
      </w:r>
      <w:r>
        <w:rPr>
          <w:rFonts w:eastAsia="Times New Roman"/>
          <w:color w:val="000000"/>
          <w:sz w:val="20"/>
          <w:szCs w:val="20"/>
        </w:rPr>
        <w:t>e quarters ended September 30, 2022 and October 1, 2021.</w:t>
      </w:r>
    </w:p>
    <w:p w:rsidR="00000000" w:rsidRDefault="00C9777F">
      <w:pPr>
        <w:ind w:firstLine="360"/>
        <w:jc w:val="center"/>
        <w:divId w:val="919368423"/>
        <w:rPr>
          <w:rFonts w:eastAsia="Times New Roman"/>
        </w:rPr>
      </w:pPr>
      <w:r>
        <w:rPr>
          <w:rFonts w:eastAsia="Times New Roman"/>
          <w:color w:val="000000"/>
          <w:sz w:val="20"/>
          <w:szCs w:val="20"/>
        </w:rPr>
        <w:t>20</w:t>
      </w:r>
    </w:p>
    <w:p w:rsidR="00000000" w:rsidRDefault="00C9777F">
      <w:pPr>
        <w:rPr>
          <w:rFonts w:eastAsia="Times New Roman"/>
        </w:rPr>
      </w:pPr>
      <w:r>
        <w:rPr>
          <w:rFonts w:eastAsia="Times New Roman"/>
        </w:rPr>
        <w:pict>
          <v:rect id="_x0000_i1047" style="width:0;height:1.5pt" o:hralign="center" o:hrstd="t" o:hr="t" fillcolor="#a0a0a0" stroked="f"/>
        </w:pict>
      </w:r>
    </w:p>
    <w:p w:rsidR="00000000" w:rsidRDefault="00C9777F">
      <w:pPr>
        <w:ind w:firstLine="360"/>
        <w:divId w:val="1441220801"/>
        <w:rPr>
          <w:rFonts w:eastAsia="Times New Roman"/>
        </w:rPr>
      </w:pPr>
    </w:p>
    <w:p w:rsidR="00000000" w:rsidRDefault="00C9777F">
      <w:pPr>
        <w:divId w:val="703947683"/>
        <w:rPr>
          <w:rFonts w:eastAsia="Times New Roman"/>
        </w:rPr>
      </w:pPr>
      <w:r>
        <w:rPr>
          <w:rFonts w:eastAsia="Times New Roman"/>
          <w:b/>
          <w:bCs/>
          <w:color w:val="000000"/>
          <w:sz w:val="20"/>
          <w:szCs w:val="20"/>
        </w:rPr>
        <w:t>RESULTS OF OPERATIONS</w:t>
      </w:r>
    </w:p>
    <w:p w:rsidR="00000000" w:rsidRDefault="00C9777F">
      <w:pPr>
        <w:divId w:val="1192457565"/>
        <w:rPr>
          <w:rFonts w:eastAsia="Times New Roman"/>
        </w:rPr>
      </w:pPr>
      <w:r>
        <w:rPr>
          <w:rFonts w:eastAsia="Times New Roman"/>
          <w:b/>
          <w:bCs/>
          <w:color w:val="000000"/>
          <w:sz w:val="20"/>
          <w:szCs w:val="20"/>
        </w:rPr>
        <w:t>Consolidated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1926"/>
        <w:gridCol w:w="39"/>
        <w:gridCol w:w="120"/>
        <w:gridCol w:w="500"/>
        <w:gridCol w:w="187"/>
        <w:gridCol w:w="36"/>
        <w:gridCol w:w="36"/>
        <w:gridCol w:w="36"/>
        <w:gridCol w:w="120"/>
        <w:gridCol w:w="500"/>
        <w:gridCol w:w="187"/>
        <w:gridCol w:w="36"/>
        <w:gridCol w:w="36"/>
        <w:gridCol w:w="36"/>
        <w:gridCol w:w="78"/>
        <w:gridCol w:w="586"/>
        <w:gridCol w:w="187"/>
        <w:gridCol w:w="36"/>
        <w:gridCol w:w="36"/>
        <w:gridCol w:w="36"/>
        <w:gridCol w:w="120"/>
        <w:gridCol w:w="500"/>
        <w:gridCol w:w="187"/>
        <w:gridCol w:w="36"/>
        <w:gridCol w:w="36"/>
        <w:gridCol w:w="36"/>
        <w:gridCol w:w="120"/>
        <w:gridCol w:w="500"/>
        <w:gridCol w:w="187"/>
        <w:gridCol w:w="36"/>
        <w:gridCol w:w="36"/>
        <w:gridCol w:w="36"/>
        <w:gridCol w:w="78"/>
        <w:gridCol w:w="586"/>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192457565"/>
        </w:trPr>
        <w:tc>
          <w:tcPr>
            <w:tcW w:w="50" w:type="pct"/>
            <w:vAlign w:val="center"/>
            <w:hideMark/>
          </w:tcPr>
          <w:p w:rsidR="00000000" w:rsidRDefault="00C9777F">
            <w:pPr>
              <w:rPr>
                <w:rFonts w:eastAsia="Times New Roman"/>
              </w:rPr>
            </w:pPr>
          </w:p>
        </w:tc>
        <w:tc>
          <w:tcPr>
            <w:tcW w:w="184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290"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29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Space &amp; Airborne Systems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1,494 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4,450 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29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3,269 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29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Other non-reportable businesses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29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12,484 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 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(3,052)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(2,921)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(8,819)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(9,385)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155"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155"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20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(742)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(793)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(2,231)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(2,485)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155"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 of total revenue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interest expense</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20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(Loss) 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155"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Effective tax rate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35" w:type="dxa"/>
              <w:bottom w:w="30" w:type="dxa"/>
              <w:right w:w="20" w:type="dxa"/>
            </w:tcMar>
            <w:hideMark/>
          </w:tcPr>
          <w:p w:rsidR="00000000" w:rsidRDefault="00C9777F">
            <w:pPr>
              <w:spacing w:after="100"/>
              <w:rPr>
                <w:rFonts w:eastAsia="Times New Roman"/>
              </w:rPr>
            </w:pPr>
            <w:r>
              <w:rPr>
                <w:rFonts w:eastAsia="Times New Roman"/>
                <w:color w:val="000000"/>
                <w:sz w:val="20"/>
                <w:szCs w:val="20"/>
              </w:rPr>
              <w:t>(Loss) 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20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20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(Loss) income from continuing operations attributable to L3Harris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FFFFFF"/>
            <w:tcMar>
              <w:top w:w="30" w:type="dxa"/>
              <w:left w:w="155"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shd w:val="clear" w:color="auto" w:fill="CCEEFF"/>
            <w:tcMar>
              <w:top w:w="30" w:type="dxa"/>
              <w:left w:w="200" w:type="dxa"/>
              <w:bottom w:w="30" w:type="dxa"/>
              <w:right w:w="20" w:type="dxa"/>
            </w:tcMar>
            <w:hideMark/>
          </w:tcPr>
          <w:p w:rsidR="00000000" w:rsidRDefault="00C9777F">
            <w:pPr>
              <w:spacing w:after="100"/>
              <w:ind w:hanging="180"/>
              <w:rPr>
                <w:rFonts w:eastAsia="Times New Roman"/>
              </w:rPr>
            </w:pPr>
            <w:r>
              <w:rPr>
                <w:rFonts w:eastAsia="Times New Roman"/>
                <w:color w:val="000000"/>
                <w:sz w:val="20"/>
                <w:szCs w:val="20"/>
              </w:rPr>
              <w:t>Diluted EPS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2.39 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6.64 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192457565"/>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ind w:hanging="360"/>
        <w:divId w:val="516970390"/>
        <w:rPr>
          <w:rFonts w:eastAsia="Times New Roman"/>
        </w:rPr>
      </w:pPr>
      <w:r>
        <w:rPr>
          <w:rFonts w:eastAsia="Times New Roman"/>
          <w:color w:val="000000"/>
          <w:sz w:val="16"/>
          <w:szCs w:val="16"/>
        </w:rPr>
        <w:t>_________________</w:t>
      </w:r>
    </w:p>
    <w:p w:rsidR="00000000" w:rsidRDefault="00C9777F">
      <w:pPr>
        <w:ind w:hanging="360"/>
        <w:divId w:val="923301102"/>
        <w:rPr>
          <w:rFonts w:eastAsia="Times New Roman"/>
        </w:rPr>
      </w:pPr>
      <w:r>
        <w:rPr>
          <w:rFonts w:eastAsia="Times New Roman"/>
          <w:color w:val="000000"/>
          <w:sz w:val="16"/>
          <w:szCs w:val="16"/>
        </w:rPr>
        <w:t>•Not meaningful</w:t>
      </w:r>
      <w:r>
        <w:rPr>
          <w:rFonts w:eastAsia="Times New Roman"/>
          <w:color w:val="000000"/>
          <w:sz w:val="6"/>
          <w:szCs w:val="6"/>
        </w:rPr>
        <w:t xml:space="preserve"> </w:t>
      </w:r>
    </w:p>
    <w:p w:rsidR="00000000" w:rsidRDefault="00C9777F">
      <w:pPr>
        <w:divId w:val="189806155"/>
        <w:rPr>
          <w:rFonts w:eastAsia="Times New Roman"/>
        </w:rPr>
      </w:pPr>
      <w:r>
        <w:rPr>
          <w:rFonts w:eastAsia="Times New Roman"/>
          <w:b/>
          <w:bCs/>
          <w:i/>
          <w:iCs/>
          <w:color w:val="000000"/>
          <w:sz w:val="20"/>
          <w:szCs w:val="20"/>
        </w:rPr>
        <w:t>Revenue and Gross Margin</w:t>
      </w:r>
    </w:p>
    <w:p w:rsidR="00000000" w:rsidRDefault="00C9777F">
      <w:pPr>
        <w:ind w:firstLine="360"/>
        <w:divId w:val="2015260855"/>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Revenue remained flat in the quarter ended September 30, 2022 compared to the quarter ended October </w:t>
      </w:r>
      <w:r>
        <w:rPr>
          <w:rFonts w:eastAsia="Times New Roman"/>
          <w:color w:val="000000"/>
          <w:sz w:val="20"/>
          <w:szCs w:val="20"/>
        </w:rPr>
        <w:t>1, 2021, as higher revenue across our segments was offset by $95 million of lower revenue from the impact of completed business divestitures in the quarter ended October 1, 2021. Gross margin and gross margin as a percentage of revenue (“gross margin perce</w:t>
      </w:r>
      <w:r>
        <w:rPr>
          <w:rFonts w:eastAsia="Times New Roman"/>
          <w:color w:val="000000"/>
          <w:sz w:val="20"/>
          <w:szCs w:val="20"/>
        </w:rPr>
        <w:t>ntage”) decreased in the quarter ended September 30, 2022 compared to the quarter ended October 1, 2021, largely due to higher input cost (labor, material and overhead) and supply chain disruptions that adversely impacted program performance and mix.</w:t>
      </w:r>
    </w:p>
    <w:p w:rsidR="00000000" w:rsidRDefault="00C9777F">
      <w:pPr>
        <w:ind w:firstLine="360"/>
        <w:divId w:val="996108542"/>
        <w:rPr>
          <w:rFonts w:eastAsia="Times New Roman"/>
        </w:rPr>
      </w:pPr>
      <w:r>
        <w:rPr>
          <w:rFonts w:eastAsia="Times New Roman"/>
          <w:i/>
          <w:iCs/>
          <w:color w:val="000000"/>
          <w:sz w:val="20"/>
          <w:szCs w:val="20"/>
        </w:rPr>
        <w:t>Three</w:t>
      </w:r>
      <w:r>
        <w:rPr>
          <w:rFonts w:eastAsia="Times New Roman"/>
          <w:i/>
          <w:iCs/>
          <w:color w:val="000000"/>
          <w:sz w:val="20"/>
          <w:szCs w:val="20"/>
        </w:rPr>
        <w:t xml:space="preserve"> Quarters Comparison:</w:t>
      </w:r>
      <w:r>
        <w:rPr>
          <w:rFonts w:eastAsia="Times New Roman"/>
          <w:color w:val="000000"/>
          <w:sz w:val="20"/>
          <w:szCs w:val="20"/>
        </w:rPr>
        <w:t xml:space="preserve"> Revenue decreased 7% in the three quarters ended September 30, 2022 compared to the three quarters ended October 1, 2021, from the impact of $633 million of lower revenue from completed business divestitures in the three quarters ende</w:t>
      </w:r>
      <w:r>
        <w:rPr>
          <w:rFonts w:eastAsia="Times New Roman"/>
          <w:color w:val="000000"/>
          <w:sz w:val="20"/>
          <w:szCs w:val="20"/>
        </w:rPr>
        <w:t>d October 1, 2021 and supply chain disruptions. Gross margin and gross margin percentage decreased in the three quarters ended September 30, 2022 compared to the three quarters ended October 1, 2021 primarily due to the reasons noted above in the one quart</w:t>
      </w:r>
      <w:r>
        <w:rPr>
          <w:rFonts w:eastAsia="Times New Roman"/>
          <w:color w:val="000000"/>
          <w:sz w:val="20"/>
          <w:szCs w:val="20"/>
        </w:rPr>
        <w:t xml:space="preserve">er comparison. </w:t>
      </w:r>
    </w:p>
    <w:p w:rsidR="00000000" w:rsidRDefault="00C9777F">
      <w:pPr>
        <w:ind w:firstLine="360"/>
        <w:divId w:val="212542125"/>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C9777F">
      <w:pPr>
        <w:ind w:firstLine="360"/>
        <w:jc w:val="center"/>
        <w:divId w:val="1779257496"/>
        <w:rPr>
          <w:rFonts w:eastAsia="Times New Roman"/>
        </w:rPr>
      </w:pPr>
      <w:r>
        <w:rPr>
          <w:rFonts w:eastAsia="Times New Roman"/>
          <w:color w:val="000000"/>
          <w:sz w:val="20"/>
          <w:szCs w:val="20"/>
        </w:rPr>
        <w:t>21</w:t>
      </w:r>
    </w:p>
    <w:p w:rsidR="00000000" w:rsidRDefault="00C9777F">
      <w:pPr>
        <w:rPr>
          <w:rFonts w:eastAsia="Times New Roman"/>
        </w:rPr>
      </w:pPr>
      <w:r>
        <w:rPr>
          <w:rFonts w:eastAsia="Times New Roman"/>
        </w:rPr>
        <w:pict>
          <v:rect id="_x0000_i1048" style="width:0;height:1.5pt" o:hralign="center" o:hrstd="t" o:hr="t" fillcolor="#a0a0a0" stroked="f"/>
        </w:pict>
      </w:r>
    </w:p>
    <w:p w:rsidR="00000000" w:rsidRDefault="00C9777F">
      <w:pPr>
        <w:ind w:firstLine="360"/>
        <w:divId w:val="2079665680"/>
        <w:rPr>
          <w:rFonts w:eastAsia="Times New Roman"/>
        </w:rPr>
      </w:pPr>
    </w:p>
    <w:p w:rsidR="00000000" w:rsidRDefault="00C9777F">
      <w:pPr>
        <w:divId w:val="268860257"/>
        <w:rPr>
          <w:rFonts w:eastAsia="Times New Roman"/>
        </w:rPr>
      </w:pPr>
      <w:r>
        <w:rPr>
          <w:rFonts w:eastAsia="Times New Roman"/>
          <w:b/>
          <w:bCs/>
          <w:i/>
          <w:iCs/>
          <w:color w:val="000000"/>
          <w:sz w:val="20"/>
          <w:szCs w:val="20"/>
        </w:rPr>
        <w:t>Engineering, Selling and Administrative Expenses</w:t>
      </w:r>
    </w:p>
    <w:p w:rsidR="00000000" w:rsidRDefault="00C9777F">
      <w:pPr>
        <w:ind w:firstLine="360"/>
        <w:divId w:val="1833179074"/>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Enginee</w:t>
      </w:r>
      <w:r>
        <w:rPr>
          <w:rFonts w:eastAsia="Times New Roman"/>
          <w:color w:val="000000"/>
          <w:sz w:val="20"/>
          <w:szCs w:val="20"/>
        </w:rPr>
        <w:t xml:space="preserve">ring, selling and administrative (“ESA”) expenses and ESA expense as a percentage of revenue (“ESA percentage”) decreased in the quarter ended September 30, 2022 compared with the quarter ended October 1, 2021, primarily from $44 million of lower expenses </w:t>
      </w:r>
      <w:r>
        <w:rPr>
          <w:rFonts w:eastAsia="Times New Roman"/>
          <w:color w:val="000000"/>
          <w:sz w:val="20"/>
          <w:szCs w:val="20"/>
        </w:rPr>
        <w:t>related to compensation, $19 million of lower R&amp;D expenses and $15 million of lower costs from the impact of completed business divestitures, partially offset by a $31 million charge related to an additional pre-merger legal contingency and a $29 million c</w:t>
      </w:r>
      <w:r>
        <w:rPr>
          <w:rFonts w:eastAsia="Times New Roman"/>
          <w:color w:val="000000"/>
          <w:sz w:val="20"/>
          <w:szCs w:val="20"/>
        </w:rPr>
        <w:t>harge in the quarter for severance and other benefit payments related to employees that accepted a voluntary retirement plan with an effective retirement date of September 30, 2022.</w:t>
      </w:r>
    </w:p>
    <w:p w:rsidR="00000000" w:rsidRDefault="00C9777F">
      <w:pPr>
        <w:ind w:firstLine="360"/>
        <w:divId w:val="110632658"/>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w:t>
      </w:r>
      <w:r>
        <w:rPr>
          <w:rFonts w:eastAsia="Times New Roman"/>
          <w:color w:val="000000"/>
          <w:sz w:val="20"/>
          <w:szCs w:val="20"/>
        </w:rPr>
        <w:t>ESA expenses decreased in the three quarters ended September 30, 2022 compared with the three quarters ended October 1, 2021, primarily from $94 million of lower expenses related to compensation, $80 million of lower costs from the impact of completed busi</w:t>
      </w:r>
      <w:r>
        <w:rPr>
          <w:rFonts w:eastAsia="Times New Roman"/>
          <w:color w:val="000000"/>
          <w:sz w:val="20"/>
          <w:szCs w:val="20"/>
        </w:rPr>
        <w:t>ness divestitures, $62 million of lower R&amp;D expenses and $15 million of lower divestiture-related expenses, partially offset by a $31 million charge related to an additional pre-merger legal contingency and a $29 million charge in the quarter for severance</w:t>
      </w:r>
      <w:r>
        <w:rPr>
          <w:rFonts w:eastAsia="Times New Roman"/>
          <w:color w:val="000000"/>
          <w:sz w:val="20"/>
          <w:szCs w:val="20"/>
        </w:rPr>
        <w:t xml:space="preserve"> and other benefit payments related to employees that accepted a voluntary retirement plan with an effective retirement date of September 30, 2022. ESA percentage was flat in the three quarters ended September 30, 2022 compared with the three quarters ende</w:t>
      </w:r>
      <w:r>
        <w:rPr>
          <w:rFonts w:eastAsia="Times New Roman"/>
          <w:color w:val="000000"/>
          <w:sz w:val="20"/>
          <w:szCs w:val="20"/>
        </w:rPr>
        <w:t>d October 1, 2021.</w:t>
      </w:r>
    </w:p>
    <w:p w:rsidR="00000000" w:rsidRDefault="00C9777F">
      <w:pPr>
        <w:ind w:firstLine="360"/>
        <w:divId w:val="1923642245"/>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C9777F">
      <w:pPr>
        <w:divId w:val="1410543482"/>
        <w:rPr>
          <w:rFonts w:eastAsia="Times New Roman"/>
        </w:rPr>
      </w:pPr>
      <w:r>
        <w:rPr>
          <w:rFonts w:eastAsia="Times New Roman"/>
          <w:b/>
          <w:bCs/>
          <w:i/>
          <w:iCs/>
          <w:color w:val="000000"/>
          <w:sz w:val="20"/>
          <w:szCs w:val="20"/>
        </w:rPr>
        <w:t>Business Divestiture-Related Gains</w:t>
      </w:r>
    </w:p>
    <w:p w:rsidR="00000000" w:rsidRDefault="00C9777F">
      <w:pPr>
        <w:ind w:firstLine="360"/>
        <w:divId w:val="1773550931"/>
        <w:rPr>
          <w:rFonts w:eastAsia="Times New Roman"/>
        </w:rPr>
      </w:pPr>
      <w:r>
        <w:rPr>
          <w:rFonts w:eastAsia="Times New Roman"/>
          <w:color w:val="000000"/>
          <w:sz w:val="20"/>
          <w:szCs w:val="20"/>
        </w:rPr>
        <w:t>The “Business divestiture-related gains, net” line item in our Condensed Consolidate</w:t>
      </w:r>
      <w:r>
        <w:rPr>
          <w:rFonts w:eastAsia="Times New Roman"/>
          <w:color w:val="000000"/>
          <w:sz w:val="20"/>
          <w:szCs w:val="20"/>
        </w:rPr>
        <w:t>d Statement of Operations (Unaudited) is comprised of the following pre-tax gains associated with businesses divested. There were no significant gains or losses during the quarter or three quarters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5307"/>
        <w:gridCol w:w="38"/>
        <w:gridCol w:w="36"/>
        <w:gridCol w:w="36"/>
        <w:gridCol w:w="121"/>
        <w:gridCol w:w="1178"/>
        <w:gridCol w:w="36"/>
        <w:gridCol w:w="36"/>
        <w:gridCol w:w="36"/>
        <w:gridCol w:w="36"/>
        <w:gridCol w:w="36"/>
        <w:gridCol w:w="36"/>
        <w:gridCol w:w="121"/>
        <w:gridCol w:w="1178"/>
        <w:gridCol w:w="36"/>
      </w:tblGrid>
      <w:tr w:rsidR="00000000">
        <w:trPr>
          <w:divId w:val="1773550931"/>
        </w:trPr>
        <w:tc>
          <w:tcPr>
            <w:tcW w:w="50" w:type="pct"/>
            <w:vAlign w:val="center"/>
            <w:hideMark/>
          </w:tcPr>
          <w:p w:rsidR="00000000" w:rsidRDefault="00C9777F">
            <w:pPr>
              <w:ind w:firstLine="360"/>
              <w:rPr>
                <w:rFonts w:eastAsia="Times New Roman"/>
              </w:rPr>
            </w:pPr>
          </w:p>
        </w:tc>
        <w:tc>
          <w:tcPr>
            <w:tcW w:w="329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5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75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r>
      <w:tr w:rsidR="00000000">
        <w:trPr>
          <w:divId w:val="1773550931"/>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r>
      <w:tr w:rsidR="00000000">
        <w:trPr>
          <w:divId w:val="1773550931"/>
          <w:trHeight w:val="6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Electron Devices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73550931"/>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VSE disposal group</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73550931"/>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divId w:val="2079551574"/>
              <w:rPr>
                <w:rFonts w:eastAsia="Times New Roman"/>
              </w:rPr>
            </w:pPr>
            <w:r>
              <w:rPr>
                <w:rFonts w:eastAsia="Times New Roman"/>
                <w:color w:val="000000"/>
                <w:sz w:val="20"/>
                <w:szCs w:val="20"/>
              </w:rPr>
              <w:t>CPS busines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73550931"/>
        </w:trPr>
        <w:tc>
          <w:tcPr>
            <w:tcW w:w="0" w:type="auto"/>
            <w:gridSpan w:val="3"/>
            <w:shd w:val="clear" w:color="auto" w:fill="FFFF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Military training business</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73550931"/>
        </w:trPr>
        <w:tc>
          <w:tcPr>
            <w:tcW w:w="0" w:type="auto"/>
            <w:gridSpan w:val="3"/>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shd w:val="clear" w:color="auto" w:fill="CCEEFF"/>
            <w:tcMar>
              <w:top w:w="30" w:type="dxa"/>
              <w:left w:w="14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Other</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773550931"/>
        </w:trPr>
        <w:tc>
          <w:tcPr>
            <w:tcW w:w="0" w:type="auto"/>
            <w:gridSpan w:val="3"/>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773550931"/>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 xml:space="preserve">Total business divestiture-related gains, net </w:t>
            </w:r>
          </w:p>
        </w:tc>
        <w:tc>
          <w:tcPr>
            <w:tcW w:w="0" w:type="auto"/>
            <w:vAlign w:val="center"/>
            <w:hideMark/>
          </w:tcPr>
          <w:p w:rsidR="00000000" w:rsidRDefault="00C9777F">
            <w:pPr>
              <w:spacing w:after="100"/>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firstLine="360"/>
        <w:divId w:val="1773550931"/>
        <w:rPr>
          <w:rFonts w:eastAsia="Times New Roman"/>
        </w:rPr>
      </w:pPr>
      <w:r>
        <w:rPr>
          <w:rFonts w:eastAsia="Times New Roman"/>
          <w:color w:val="000000"/>
          <w:sz w:val="16"/>
          <w:szCs w:val="16"/>
        </w:rPr>
        <w:t>_______________</w:t>
      </w:r>
    </w:p>
    <w:p w:rsidR="00000000" w:rsidRDefault="00C9777F">
      <w:pPr>
        <w:ind w:hanging="360"/>
        <w:divId w:val="751395303"/>
        <w:rPr>
          <w:rFonts w:eastAsia="Times New Roman"/>
        </w:rPr>
      </w:pPr>
      <w:r>
        <w:rPr>
          <w:rFonts w:eastAsia="Times New Roman"/>
          <w:color w:val="000000"/>
          <w:sz w:val="16"/>
          <w:szCs w:val="16"/>
        </w:rPr>
        <w:t>(1)During the quarter ended April 2, 2021, upon classifying the CPS business as held for sale, we recorded a non-cash impairment charge of $62 million, which is included in the “Impairment of goodwill and other assets” line item</w:t>
      </w:r>
      <w:r>
        <w:rPr>
          <w:rFonts w:eastAsia="Times New Roman"/>
          <w:color w:val="000000"/>
          <w:sz w:val="16"/>
          <w:szCs w:val="16"/>
        </w:rPr>
        <w:t xml:space="preserve"> in our Condensed Consolidated Statement of Operations (Unaudited) for the three quarters ended October 1, 2021. See </w:t>
      </w:r>
      <w:r>
        <w:rPr>
          <w:rFonts w:eastAsia="Times New Roman"/>
          <w:i/>
          <w:iCs/>
          <w:color w:val="000000"/>
          <w:sz w:val="16"/>
          <w:szCs w:val="16"/>
        </w:rPr>
        <w:t>Note I — Goodwill and Other Intangible Assets</w:t>
      </w:r>
      <w:r>
        <w:rPr>
          <w:rFonts w:eastAsia="Times New Roman"/>
          <w:color w:val="000000"/>
          <w:sz w:val="16"/>
          <w:szCs w:val="16"/>
        </w:rPr>
        <w:t xml:space="preserve"> in the Notes for additional information.</w:t>
      </w:r>
    </w:p>
    <w:p w:rsidR="00000000" w:rsidRDefault="00C9777F">
      <w:pPr>
        <w:ind w:firstLine="360"/>
        <w:divId w:val="2095517219"/>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B — Business Divestitures and Asset Sales </w:t>
      </w:r>
      <w:r>
        <w:rPr>
          <w:rFonts w:eastAsia="Times New Roman"/>
          <w:color w:val="000000"/>
          <w:sz w:val="20"/>
          <w:szCs w:val="20"/>
        </w:rPr>
        <w:t>i</w:t>
      </w:r>
      <w:r>
        <w:rPr>
          <w:rFonts w:eastAsia="Times New Roman"/>
          <w:color w:val="000000"/>
          <w:sz w:val="20"/>
          <w:szCs w:val="20"/>
        </w:rPr>
        <w:t>n the Notes for further information.</w:t>
      </w:r>
    </w:p>
    <w:p w:rsidR="00000000" w:rsidRDefault="00C9777F">
      <w:pPr>
        <w:divId w:val="1427382166"/>
        <w:rPr>
          <w:rFonts w:eastAsia="Times New Roman"/>
        </w:rPr>
      </w:pPr>
      <w:r>
        <w:rPr>
          <w:rFonts w:eastAsia="Times New Roman"/>
          <w:b/>
          <w:bCs/>
          <w:i/>
          <w:iCs/>
          <w:color w:val="000000"/>
          <w:sz w:val="20"/>
          <w:szCs w:val="20"/>
        </w:rPr>
        <w:t>Impairment of Goodwill and Other Assets</w:t>
      </w:r>
    </w:p>
    <w:p w:rsidR="00000000" w:rsidRDefault="00C9777F">
      <w:pPr>
        <w:ind w:firstLine="360"/>
        <w:divId w:val="1634170463"/>
        <w:rPr>
          <w:rFonts w:eastAsia="Times New Roman"/>
        </w:rPr>
      </w:pPr>
      <w:r>
        <w:rPr>
          <w:rFonts w:eastAsia="Times New Roman"/>
          <w:i/>
          <w:iCs/>
          <w:color w:val="000000"/>
          <w:sz w:val="20"/>
          <w:szCs w:val="20"/>
        </w:rPr>
        <w:t>One Quarter Comparison:</w:t>
      </w:r>
      <w:r>
        <w:rPr>
          <w:rFonts w:eastAsia="Times New Roman"/>
          <w:color w:val="000000"/>
          <w:sz w:val="20"/>
          <w:szCs w:val="20"/>
        </w:rPr>
        <w:t xml:space="preserve"> Impairment of goodwill and other assets in the quarter ended September 30, 2022 reflected non-cash impairment charges for goodwill of $355 million, $313 mi</w:t>
      </w:r>
      <w:r>
        <w:rPr>
          <w:rFonts w:eastAsia="Times New Roman"/>
          <w:color w:val="000000"/>
          <w:sz w:val="20"/>
          <w:szCs w:val="20"/>
        </w:rPr>
        <w:t>llion and $134 million associated with our Broadband, ADG and Electro Optical reporting units, respectively. No impairment charges were recorded in the quarter ended October 1, 2021.</w:t>
      </w:r>
    </w:p>
    <w:p w:rsidR="00000000" w:rsidRDefault="00C9777F">
      <w:pPr>
        <w:ind w:firstLine="360"/>
        <w:divId w:val="863372042"/>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Impairment of goodwill and other assets in the</w:t>
      </w:r>
      <w:r>
        <w:rPr>
          <w:rFonts w:eastAsia="Times New Roman"/>
          <w:color w:val="000000"/>
          <w:sz w:val="20"/>
          <w:szCs w:val="20"/>
        </w:rPr>
        <w:t xml:space="preserve"> three quarters ended September 30, 2022 reflected non-cash impairment charges for goodwill of $355 million, $313 million and $134 million associated with our Broadband, ADG and Electro Optical reporting units, respectively. Impairment of goodwill and othe</w:t>
      </w:r>
      <w:r>
        <w:rPr>
          <w:rFonts w:eastAsia="Times New Roman"/>
          <w:color w:val="000000"/>
          <w:sz w:val="20"/>
          <w:szCs w:val="20"/>
        </w:rPr>
        <w:t>r assets in the three quarters ended October 1, 2021 reflected a $62 million non-cash impairment charge for goodwill associated with the divestiture of the CPS business and $145 million of non-cash impairment charges for identifiable intangible and other l</w:t>
      </w:r>
      <w:r>
        <w:rPr>
          <w:rFonts w:eastAsia="Times New Roman"/>
          <w:color w:val="000000"/>
          <w:sz w:val="20"/>
          <w:szCs w:val="20"/>
        </w:rPr>
        <w:t>ong-lived assets related to the CTS business.</w:t>
      </w:r>
    </w:p>
    <w:p w:rsidR="00000000" w:rsidRDefault="00C9777F">
      <w:pPr>
        <w:ind w:firstLine="360"/>
        <w:divId w:val="636379766"/>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B — Business Divestitures and Asset Sales </w:t>
      </w:r>
      <w:r>
        <w:rPr>
          <w:rFonts w:eastAsia="Times New Roman"/>
          <w:color w:val="000000"/>
          <w:sz w:val="20"/>
          <w:szCs w:val="20"/>
        </w:rPr>
        <w:t xml:space="preserve">and </w:t>
      </w:r>
      <w:r>
        <w:rPr>
          <w:rFonts w:eastAsia="Times New Roman"/>
          <w:i/>
          <w:iCs/>
          <w:color w:val="000000"/>
          <w:sz w:val="20"/>
          <w:szCs w:val="20"/>
        </w:rPr>
        <w:t>Note I — Goodwill and Other Intangible Assets</w:t>
      </w:r>
      <w:r>
        <w:rPr>
          <w:rFonts w:eastAsia="Times New Roman"/>
          <w:color w:val="000000"/>
          <w:sz w:val="20"/>
          <w:szCs w:val="20"/>
        </w:rPr>
        <w:t xml:space="preserve"> in the Notes for further information.</w:t>
      </w:r>
    </w:p>
    <w:p w:rsidR="00000000" w:rsidRDefault="00C9777F">
      <w:pPr>
        <w:divId w:val="1695885910"/>
        <w:rPr>
          <w:rFonts w:eastAsia="Times New Roman"/>
        </w:rPr>
      </w:pPr>
      <w:r>
        <w:rPr>
          <w:rFonts w:eastAsia="Times New Roman"/>
          <w:b/>
          <w:bCs/>
          <w:i/>
          <w:iCs/>
          <w:color w:val="000000"/>
          <w:sz w:val="20"/>
          <w:szCs w:val="20"/>
        </w:rPr>
        <w:t>Non-Operating Income, Net</w:t>
      </w:r>
    </w:p>
    <w:p w:rsidR="00000000" w:rsidRDefault="00C9777F">
      <w:pPr>
        <w:ind w:firstLine="360"/>
        <w:divId w:val="1057583742"/>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Non-operating income, net decreased in the quarter ended September 30, 2022 compared with the quarter ended October 1, 2021, primarily from an $11 million increase in losses recorded for our equity investments in nonconsolidated aff</w:t>
      </w:r>
      <w:r>
        <w:rPr>
          <w:rFonts w:eastAsia="Times New Roman"/>
          <w:color w:val="000000"/>
          <w:sz w:val="20"/>
          <w:szCs w:val="20"/>
        </w:rPr>
        <w:t xml:space="preserve">iliates. </w:t>
      </w:r>
    </w:p>
    <w:p w:rsidR="00000000" w:rsidRDefault="00C9777F">
      <w:pPr>
        <w:ind w:firstLine="360"/>
        <w:jc w:val="center"/>
        <w:divId w:val="1828588356"/>
        <w:rPr>
          <w:rFonts w:eastAsia="Times New Roman"/>
        </w:rPr>
      </w:pPr>
      <w:r>
        <w:rPr>
          <w:rFonts w:eastAsia="Times New Roman"/>
          <w:color w:val="000000"/>
          <w:sz w:val="20"/>
          <w:szCs w:val="20"/>
        </w:rPr>
        <w:t>22</w:t>
      </w:r>
    </w:p>
    <w:p w:rsidR="00000000" w:rsidRDefault="00C9777F">
      <w:pPr>
        <w:rPr>
          <w:rFonts w:eastAsia="Times New Roman"/>
        </w:rPr>
      </w:pPr>
      <w:r>
        <w:rPr>
          <w:rFonts w:eastAsia="Times New Roman"/>
        </w:rPr>
        <w:pict>
          <v:rect id="_x0000_i1049" style="width:0;height:1.5pt" o:hralign="center" o:hrstd="t" o:hr="t" fillcolor="#a0a0a0" stroked="f"/>
        </w:pict>
      </w:r>
    </w:p>
    <w:p w:rsidR="00000000" w:rsidRDefault="00C9777F">
      <w:pPr>
        <w:ind w:firstLine="360"/>
        <w:divId w:val="1230994076"/>
        <w:rPr>
          <w:rFonts w:eastAsia="Times New Roman"/>
        </w:rPr>
      </w:pPr>
    </w:p>
    <w:p w:rsidR="00000000" w:rsidRDefault="00C9777F">
      <w:pPr>
        <w:ind w:firstLine="360"/>
        <w:divId w:val="1266033831"/>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Non-operating income, net remained flat in the three quarters ended September 30, 2022 compared with the three quarters ended October 1, 2021, as a $30 million increase in marke</w:t>
      </w:r>
      <w:r>
        <w:rPr>
          <w:rFonts w:eastAsia="Times New Roman"/>
          <w:color w:val="000000"/>
          <w:sz w:val="20"/>
          <w:szCs w:val="20"/>
        </w:rPr>
        <w:t>t value related to our rabbi trust assets and $12 million increase in losses recorded for our equity investments in unconsolidated affiliates were offset by a $35 million charge for impairment of our equity investment in a nonconsolidated affiliate and a $</w:t>
      </w:r>
      <w:r>
        <w:rPr>
          <w:rFonts w:eastAsia="Times New Roman"/>
          <w:color w:val="000000"/>
          <w:sz w:val="20"/>
          <w:szCs w:val="20"/>
        </w:rPr>
        <w:t>7 million FAS pension settlement charge during the quarter ended July 2, 2021.</w:t>
      </w:r>
    </w:p>
    <w:p w:rsidR="00000000" w:rsidRDefault="00C9777F">
      <w:pPr>
        <w:divId w:val="604733160"/>
        <w:rPr>
          <w:rFonts w:eastAsia="Times New Roman"/>
        </w:rPr>
      </w:pPr>
      <w:r>
        <w:rPr>
          <w:rFonts w:eastAsia="Times New Roman"/>
          <w:b/>
          <w:bCs/>
          <w:i/>
          <w:iCs/>
          <w:color w:val="000000"/>
          <w:sz w:val="20"/>
          <w:szCs w:val="20"/>
        </w:rPr>
        <w:t>Net Interest Expense</w:t>
      </w:r>
    </w:p>
    <w:p w:rsidR="00000000" w:rsidRDefault="00C9777F">
      <w:pPr>
        <w:ind w:firstLine="360"/>
        <w:divId w:val="1098284345"/>
        <w:rPr>
          <w:rFonts w:eastAsia="Times New Roman"/>
        </w:rPr>
      </w:pPr>
      <w:r>
        <w:rPr>
          <w:rFonts w:eastAsia="Times New Roman"/>
          <w:i/>
          <w:iCs/>
          <w:color w:val="000000"/>
          <w:sz w:val="20"/>
          <w:szCs w:val="20"/>
        </w:rPr>
        <w:t xml:space="preserve">One Quarter Comparison and Three Quarters Comparison: </w:t>
      </w:r>
      <w:r>
        <w:rPr>
          <w:rFonts w:eastAsia="Times New Roman"/>
          <w:color w:val="000000"/>
          <w:sz w:val="20"/>
          <w:szCs w:val="20"/>
        </w:rPr>
        <w:t>Net interest expense increased in the quarter and three quarters ended September 30, 2022 compared wit</w:t>
      </w:r>
      <w:r>
        <w:rPr>
          <w:rFonts w:eastAsia="Times New Roman"/>
          <w:color w:val="000000"/>
          <w:sz w:val="20"/>
          <w:szCs w:val="20"/>
        </w:rPr>
        <w:t xml:space="preserve">h the quarter and three quarters ended October 1, 2021 primarily due to lower interest income in the quarter and three quarters ended September 30, 2022. </w:t>
      </w:r>
    </w:p>
    <w:p w:rsidR="00000000" w:rsidRDefault="00C9777F">
      <w:pPr>
        <w:ind w:firstLine="360"/>
        <w:divId w:val="468061019"/>
        <w:rPr>
          <w:rFonts w:eastAsia="Times New Roman"/>
        </w:rPr>
      </w:pPr>
      <w:r>
        <w:rPr>
          <w:rFonts w:eastAsia="Times New Roman"/>
          <w:color w:val="000000"/>
          <w:sz w:val="20"/>
          <w:szCs w:val="20"/>
        </w:rPr>
        <w:t xml:space="preserve">See </w:t>
      </w:r>
      <w:r>
        <w:rPr>
          <w:rFonts w:eastAsia="Times New Roman"/>
          <w:i/>
          <w:iCs/>
          <w:color w:val="000000"/>
          <w:sz w:val="20"/>
          <w:szCs w:val="20"/>
        </w:rPr>
        <w:t>Note 13: Debt</w:t>
      </w:r>
      <w:r>
        <w:rPr>
          <w:rFonts w:eastAsia="Times New Roman"/>
          <w:color w:val="000000"/>
          <w:sz w:val="20"/>
          <w:szCs w:val="20"/>
        </w:rPr>
        <w:t xml:space="preserve"> in the Notes to Consolidated Financial Statements in our Fiscal 2021 Form 10-K for </w:t>
      </w:r>
      <w:r>
        <w:rPr>
          <w:rFonts w:eastAsia="Times New Roman"/>
          <w:color w:val="000000"/>
          <w:sz w:val="20"/>
          <w:szCs w:val="20"/>
        </w:rPr>
        <w:t>further information.</w:t>
      </w:r>
    </w:p>
    <w:p w:rsidR="00000000" w:rsidRDefault="00C9777F">
      <w:pPr>
        <w:divId w:val="775443917"/>
        <w:rPr>
          <w:rFonts w:eastAsia="Times New Roman"/>
        </w:rPr>
      </w:pPr>
      <w:r>
        <w:rPr>
          <w:rFonts w:eastAsia="Times New Roman"/>
          <w:b/>
          <w:bCs/>
          <w:i/>
          <w:iCs/>
          <w:color w:val="000000"/>
          <w:sz w:val="20"/>
          <w:szCs w:val="20"/>
        </w:rPr>
        <w:t>Income Taxes</w:t>
      </w:r>
    </w:p>
    <w:p w:rsidR="00000000" w:rsidRDefault="00C9777F">
      <w:pPr>
        <w:ind w:firstLine="360"/>
        <w:divId w:val="1057511572"/>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Our effective tax rate (income taxes as a percentage of (loss) income from continuing operations before income taxes) was 6.2% on the loss from continuing operations for the quarter ended September 30, 2022 compared with 18.3% on the income from continuing</w:t>
      </w:r>
      <w:r>
        <w:rPr>
          <w:rFonts w:eastAsia="Times New Roman"/>
          <w:color w:val="000000"/>
          <w:sz w:val="20"/>
          <w:szCs w:val="20"/>
        </w:rPr>
        <w:t xml:space="preserve"> operations for the quarter ended October 1, 2021. For the quarter ended September 30, 2022, our effective tax rate benefited from the favorable impacts of R&amp;D credits, incremental foreign-derived intangible income (“FDII”) and the release of a valuation a</w:t>
      </w:r>
      <w:r>
        <w:rPr>
          <w:rFonts w:eastAsia="Times New Roman"/>
          <w:color w:val="000000"/>
          <w:sz w:val="20"/>
          <w:szCs w:val="20"/>
        </w:rPr>
        <w:t>llowance in a foreign jurisdiction resulting from an internal restructuring, partially offset by the unfavorable impact of non-deductible goodwill impairments. For the quarter ended October 1, 2021, our effective tax rate was unfavorably impacted by non-de</w:t>
      </w:r>
      <w:r>
        <w:rPr>
          <w:rFonts w:eastAsia="Times New Roman"/>
          <w:color w:val="000000"/>
          <w:sz w:val="20"/>
          <w:szCs w:val="20"/>
        </w:rPr>
        <w:t>ductible goodwill from completed business divestitures and the unfavorable impact of valuation allowances in certain foreign jurisdictions, partially offset by the favorable impacts of R&amp;D credits, favorable adjustments upon finalization of our Federal tax</w:t>
      </w:r>
      <w:r>
        <w:rPr>
          <w:rFonts w:eastAsia="Times New Roman"/>
          <w:color w:val="000000"/>
          <w:sz w:val="20"/>
          <w:szCs w:val="20"/>
        </w:rPr>
        <w:t xml:space="preserve"> return, the favorable impact of excess tax benefits related to equity-based compensation and the favorable resolution of specific audit uncertainties.</w:t>
      </w:r>
    </w:p>
    <w:p w:rsidR="00000000" w:rsidRDefault="00C9777F">
      <w:pPr>
        <w:ind w:firstLine="360"/>
        <w:divId w:val="1266228508"/>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Our effective tax rate was 13.0% for the three quarters ended September 30, 2</w:t>
      </w:r>
      <w:r>
        <w:rPr>
          <w:rFonts w:eastAsia="Times New Roman"/>
          <w:color w:val="000000"/>
          <w:sz w:val="20"/>
          <w:szCs w:val="20"/>
        </w:rPr>
        <w:t>022 compared with 19.8% for the three quarters ended October 1, 2021. Our effective tax rate for the three quarters ended September 30, 2022 was favorably impacted by a reduction in the deferred tax liabilities on the outside basis of certain foreign subsi</w:t>
      </w:r>
      <w:r>
        <w:rPr>
          <w:rFonts w:eastAsia="Times New Roman"/>
          <w:color w:val="000000"/>
          <w:sz w:val="20"/>
          <w:szCs w:val="20"/>
        </w:rPr>
        <w:t>diaries due to an internal restructuring, the favorable impact of excess tax benefits related to equity-based compensation and the items described above in the one quarter comparison of income taxes. Our effective tax rate for the three quarters ended Octo</w:t>
      </w:r>
      <w:r>
        <w:rPr>
          <w:rFonts w:eastAsia="Times New Roman"/>
          <w:color w:val="000000"/>
          <w:sz w:val="20"/>
          <w:szCs w:val="20"/>
        </w:rPr>
        <w:t>ber 1, 2021 was impacted by the items described above in the one quarter comparison of income taxes.</w:t>
      </w:r>
    </w:p>
    <w:p w:rsidR="00000000" w:rsidRDefault="00C9777F">
      <w:pPr>
        <w:ind w:firstLine="360"/>
        <w:divId w:val="1274943960"/>
        <w:rPr>
          <w:rFonts w:eastAsia="Times New Roman"/>
        </w:rPr>
      </w:pPr>
      <w:r>
        <w:rPr>
          <w:rFonts w:eastAsia="Times New Roman"/>
          <w:color w:val="000000"/>
          <w:sz w:val="20"/>
          <w:szCs w:val="20"/>
        </w:rPr>
        <w:t>On August 16, 2022, President Biden signed into law the Inflation Reduction Act of 2022 (“IRA”) which includes implementation of a new 15% corporate altern</w:t>
      </w:r>
      <w:r>
        <w:rPr>
          <w:rFonts w:eastAsia="Times New Roman"/>
          <w:color w:val="000000"/>
          <w:sz w:val="20"/>
          <w:szCs w:val="20"/>
        </w:rPr>
        <w:t>ative minimum tax, a 1% excise tax on stock buybacks and tax incentives for energy and climate initiatives. These provisions are effective beginning January 1, 2023 and we expect them to be immaterial to our financial results, financial position and cash f</w:t>
      </w:r>
      <w:r>
        <w:rPr>
          <w:rFonts w:eastAsia="Times New Roman"/>
          <w:color w:val="000000"/>
          <w:sz w:val="20"/>
          <w:szCs w:val="20"/>
        </w:rPr>
        <w:t>lows.</w:t>
      </w:r>
    </w:p>
    <w:p w:rsidR="00000000" w:rsidRDefault="00C9777F">
      <w:pPr>
        <w:divId w:val="70929735"/>
        <w:rPr>
          <w:rFonts w:eastAsia="Times New Roman"/>
        </w:rPr>
      </w:pPr>
      <w:r>
        <w:rPr>
          <w:rFonts w:eastAsia="Times New Roman"/>
          <w:b/>
          <w:bCs/>
          <w:i/>
          <w:iCs/>
          <w:color w:val="000000"/>
          <w:sz w:val="20"/>
          <w:szCs w:val="20"/>
        </w:rPr>
        <w:t>(Loss) Income From Continuing Operations</w:t>
      </w:r>
    </w:p>
    <w:p w:rsidR="00000000" w:rsidRDefault="00C9777F">
      <w:pPr>
        <w:ind w:firstLine="360"/>
        <w:divId w:val="707531958"/>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The loss from continuing operations in the quarter ended September 30, 2022 compared with the income from continuing operations for the quarter ended October 1, 2021 was primarily due t</w:t>
      </w:r>
      <w:r>
        <w:rPr>
          <w:rFonts w:eastAsia="Times New Roman"/>
          <w:color w:val="000000"/>
          <w:sz w:val="20"/>
          <w:szCs w:val="20"/>
        </w:rPr>
        <w:t>o a net loss from continuing operations in the quarter ended September 30, 2022 from the impact of non-cash impairment charges for goodwill recorded within our Broadband, ADG and Electro Optical reporting units, as noted in the impairment of goodwill and o</w:t>
      </w:r>
      <w:r>
        <w:rPr>
          <w:rFonts w:eastAsia="Times New Roman"/>
          <w:color w:val="000000"/>
          <w:sz w:val="20"/>
          <w:szCs w:val="20"/>
        </w:rPr>
        <w:t>ther assets section above.</w:t>
      </w:r>
    </w:p>
    <w:p w:rsidR="00000000" w:rsidRDefault="00C9777F">
      <w:pPr>
        <w:ind w:firstLine="360"/>
        <w:divId w:val="331644910"/>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 xml:space="preserve">Income from continuing operations decreased in the three quarters ended September 30, 2022 compared with the three quarters ended October 1, 2021 primarily due to the loss from continuing operations in </w:t>
      </w:r>
      <w:r>
        <w:rPr>
          <w:rFonts w:eastAsia="Times New Roman"/>
          <w:color w:val="000000"/>
          <w:sz w:val="20"/>
          <w:szCs w:val="20"/>
        </w:rPr>
        <w:t>the quarter ended September 30, 2022, as discussed in the one quarter comparison above, in addition to the combined effects of the reasons noted in the sections above regarding the three quarters ended September 30, 2022 and three quarters ended October 1,</w:t>
      </w:r>
      <w:r>
        <w:rPr>
          <w:rFonts w:eastAsia="Times New Roman"/>
          <w:color w:val="000000"/>
          <w:sz w:val="20"/>
          <w:szCs w:val="20"/>
        </w:rPr>
        <w:t xml:space="preserve"> 2021.</w:t>
      </w:r>
    </w:p>
    <w:p w:rsidR="00000000" w:rsidRDefault="00C9777F">
      <w:pPr>
        <w:divId w:val="35084664"/>
        <w:rPr>
          <w:rFonts w:eastAsia="Times New Roman"/>
        </w:rPr>
      </w:pPr>
      <w:r>
        <w:rPr>
          <w:rFonts w:eastAsia="Times New Roman"/>
          <w:b/>
          <w:bCs/>
          <w:i/>
          <w:iCs/>
          <w:color w:val="000000"/>
          <w:sz w:val="20"/>
          <w:szCs w:val="20"/>
        </w:rPr>
        <w:t>Diluted EPS</w:t>
      </w:r>
    </w:p>
    <w:p w:rsidR="00000000" w:rsidRDefault="00C9777F">
      <w:pPr>
        <w:ind w:firstLine="360"/>
        <w:divId w:val="1714495919"/>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Diluted EPS attributable to L3Harris common shareholders in the quarter ended September 30, 2022 decreased compared with the quarter ended October 1, 2021 due to a net loss from continuing operations in the quarte</w:t>
      </w:r>
      <w:r>
        <w:rPr>
          <w:rFonts w:eastAsia="Times New Roman"/>
          <w:color w:val="000000"/>
          <w:sz w:val="20"/>
          <w:szCs w:val="20"/>
        </w:rPr>
        <w:t>r ended September 30, 2022 primarily from the impact of non-cash impairment charges for goodwill recorded within our Broadband, ADG and Electro Optical reporting units, as noted in the impairment of goodwill and other assets section above.</w:t>
      </w:r>
    </w:p>
    <w:p w:rsidR="00000000" w:rsidRDefault="00C9777F">
      <w:pPr>
        <w:ind w:firstLine="360"/>
        <w:divId w:val="944731477"/>
        <w:rPr>
          <w:rFonts w:eastAsia="Times New Roman"/>
        </w:rPr>
      </w:pPr>
      <w:r>
        <w:rPr>
          <w:rFonts w:eastAsia="Times New Roman"/>
          <w:i/>
          <w:iCs/>
          <w:color w:val="000000"/>
          <w:sz w:val="20"/>
          <w:szCs w:val="20"/>
        </w:rPr>
        <w:t>Three Quarters C</w:t>
      </w:r>
      <w:r>
        <w:rPr>
          <w:rFonts w:eastAsia="Times New Roman"/>
          <w:i/>
          <w:iCs/>
          <w:color w:val="000000"/>
          <w:sz w:val="20"/>
          <w:szCs w:val="20"/>
        </w:rPr>
        <w:t xml:space="preserve">omparison: </w:t>
      </w:r>
      <w:r>
        <w:rPr>
          <w:rFonts w:eastAsia="Times New Roman"/>
          <w:color w:val="000000"/>
          <w:sz w:val="20"/>
          <w:szCs w:val="20"/>
        </w:rPr>
        <w:t xml:space="preserve">Diluted EPS attributable to L3Harris common shareholders in the three quarters ended September 30, 2022 decreased compared with the three quarters ended October 1, 2021, due to lower net income resulting from the combined effects of the reasons </w:t>
      </w:r>
      <w:r>
        <w:rPr>
          <w:rFonts w:eastAsia="Times New Roman"/>
          <w:color w:val="000000"/>
          <w:sz w:val="20"/>
          <w:szCs w:val="20"/>
        </w:rPr>
        <w:t>noted in the sections above in this MD&amp;A, partially offset by lower diluted weighted average of common shares outstanding, reflecting the repurchases of shares of our common stock under our repurchase program in the quarter and three quarters ended Septemb</w:t>
      </w:r>
      <w:r>
        <w:rPr>
          <w:rFonts w:eastAsia="Times New Roman"/>
          <w:color w:val="000000"/>
          <w:sz w:val="20"/>
          <w:szCs w:val="20"/>
        </w:rPr>
        <w:t>er 30, 2022.</w:t>
      </w:r>
    </w:p>
    <w:p w:rsidR="00000000" w:rsidRDefault="00C9777F">
      <w:pPr>
        <w:ind w:firstLine="360"/>
        <w:divId w:val="1702822876"/>
        <w:rPr>
          <w:rFonts w:eastAsia="Times New Roman"/>
        </w:rPr>
      </w:pPr>
      <w:r>
        <w:rPr>
          <w:rFonts w:eastAsia="Times New Roman"/>
          <w:color w:val="000000"/>
          <w:sz w:val="20"/>
          <w:szCs w:val="20"/>
        </w:rPr>
        <w:t>See the “Common Stock Repurchases” discussion below in this MD&amp;A for further information.</w:t>
      </w:r>
    </w:p>
    <w:p w:rsidR="00000000" w:rsidRDefault="00C9777F">
      <w:pPr>
        <w:ind w:firstLine="360"/>
        <w:jc w:val="center"/>
        <w:divId w:val="183832409"/>
        <w:rPr>
          <w:rFonts w:eastAsia="Times New Roman"/>
        </w:rPr>
      </w:pPr>
      <w:r>
        <w:rPr>
          <w:rFonts w:eastAsia="Times New Roman"/>
          <w:color w:val="000000"/>
          <w:sz w:val="20"/>
          <w:szCs w:val="20"/>
        </w:rPr>
        <w:t>23</w:t>
      </w:r>
    </w:p>
    <w:p w:rsidR="00000000" w:rsidRDefault="00C9777F">
      <w:pPr>
        <w:rPr>
          <w:rFonts w:eastAsia="Times New Roman"/>
        </w:rPr>
      </w:pPr>
      <w:r>
        <w:rPr>
          <w:rFonts w:eastAsia="Times New Roman"/>
        </w:rPr>
        <w:pict>
          <v:rect id="_x0000_i1050" style="width:0;height:1.5pt" o:hralign="center" o:hrstd="t" o:hr="t" fillcolor="#a0a0a0" stroked="f"/>
        </w:pict>
      </w:r>
    </w:p>
    <w:p w:rsidR="00000000" w:rsidRDefault="00C9777F">
      <w:pPr>
        <w:ind w:firstLine="360"/>
        <w:divId w:val="4593870"/>
        <w:rPr>
          <w:rFonts w:eastAsia="Times New Roman"/>
        </w:rPr>
      </w:pPr>
    </w:p>
    <w:p w:rsidR="00000000" w:rsidRDefault="00C9777F">
      <w:pPr>
        <w:divId w:val="1932815078"/>
        <w:rPr>
          <w:rFonts w:eastAsia="Times New Roman"/>
        </w:rPr>
      </w:pPr>
      <w:r>
        <w:rPr>
          <w:rFonts w:eastAsia="Times New Roman"/>
          <w:b/>
          <w:bCs/>
          <w:color w:val="000000"/>
          <w:sz w:val="20"/>
          <w:szCs w:val="20"/>
        </w:rPr>
        <w:t>Discussion of Business Segment Results of Operations</w:t>
      </w:r>
    </w:p>
    <w:p w:rsidR="00000000" w:rsidRDefault="00C9777F">
      <w:pPr>
        <w:divId w:val="465200745"/>
        <w:rPr>
          <w:rFonts w:eastAsia="Times New Roman"/>
        </w:rPr>
      </w:pPr>
      <w:r>
        <w:rPr>
          <w:rFonts w:eastAsia="Times New Roman"/>
          <w:b/>
          <w:bCs/>
          <w:i/>
          <w:iCs/>
          <w:color w:val="000000"/>
          <w:sz w:val="20"/>
          <w:szCs w:val="20"/>
        </w:rPr>
        <w:t>Integrated Mission Systems Segment (“IMS”)</w:t>
      </w:r>
    </w:p>
    <w:tbl>
      <w:tblPr>
        <w:tblW w:w="5000" w:type="pct"/>
        <w:tblCellMar>
          <w:top w:w="15" w:type="dxa"/>
          <w:left w:w="15" w:type="dxa"/>
          <w:bottom w:w="15" w:type="dxa"/>
          <w:right w:w="15" w:type="dxa"/>
        </w:tblCellMar>
        <w:tblLook w:val="04A0" w:firstRow="1" w:lastRow="0" w:firstColumn="1" w:lastColumn="0" w:noHBand="0" w:noVBand="1"/>
      </w:tblPr>
      <w:tblGrid>
        <w:gridCol w:w="40"/>
        <w:gridCol w:w="2037"/>
        <w:gridCol w:w="39"/>
        <w:gridCol w:w="120"/>
        <w:gridCol w:w="500"/>
        <w:gridCol w:w="187"/>
        <w:gridCol w:w="36"/>
        <w:gridCol w:w="36"/>
        <w:gridCol w:w="36"/>
        <w:gridCol w:w="120"/>
        <w:gridCol w:w="500"/>
        <w:gridCol w:w="187"/>
        <w:gridCol w:w="36"/>
        <w:gridCol w:w="36"/>
        <w:gridCol w:w="36"/>
        <w:gridCol w:w="78"/>
        <w:gridCol w:w="586"/>
        <w:gridCol w:w="187"/>
        <w:gridCol w:w="36"/>
        <w:gridCol w:w="36"/>
        <w:gridCol w:w="36"/>
        <w:gridCol w:w="120"/>
        <w:gridCol w:w="500"/>
        <w:gridCol w:w="187"/>
        <w:gridCol w:w="36"/>
        <w:gridCol w:w="36"/>
        <w:gridCol w:w="36"/>
        <w:gridCol w:w="120"/>
        <w:gridCol w:w="500"/>
        <w:gridCol w:w="187"/>
        <w:gridCol w:w="36"/>
        <w:gridCol w:w="36"/>
        <w:gridCol w:w="36"/>
        <w:gridCol w:w="78"/>
        <w:gridCol w:w="586"/>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465200745"/>
        </w:trPr>
        <w:tc>
          <w:tcPr>
            <w:tcW w:w="50" w:type="pct"/>
            <w:vAlign w:val="center"/>
            <w:hideMark/>
          </w:tcPr>
          <w:p w:rsidR="00000000" w:rsidRDefault="00C9777F">
            <w:pPr>
              <w:rPr>
                <w:rFonts w:eastAsia="Times New Roman"/>
              </w:rPr>
            </w:pPr>
          </w:p>
        </w:tc>
        <w:tc>
          <w:tcPr>
            <w:tcW w:w="184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465200745"/>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465200745"/>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465200745"/>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465200745"/>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1,649 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5,104 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5,192 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465200745"/>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Operating (loss) income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608 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465200745"/>
        </w:trPr>
        <w:tc>
          <w:tcPr>
            <w:tcW w:w="0" w:type="auto"/>
            <w:gridSpan w:val="3"/>
            <w:shd w:val="clear" w:color="auto" w:fill="CCEEFF"/>
            <w:tcMar>
              <w:top w:w="30" w:type="dxa"/>
              <w:left w:w="20" w:type="dxa"/>
              <w:bottom w:w="30" w:type="dxa"/>
              <w:right w:w="20" w:type="dxa"/>
            </w:tcMar>
            <w:vAlign w:val="center"/>
            <w:hideMark/>
          </w:tcPr>
          <w:p w:rsidR="00000000" w:rsidRDefault="00C9777F">
            <w:pPr>
              <w:spacing w:after="100"/>
              <w:ind w:hanging="225"/>
              <w:divId w:val="676418436"/>
              <w:rPr>
                <w:rFonts w:eastAsia="Times New Roman"/>
              </w:rPr>
            </w:pPr>
            <w:r>
              <w:rPr>
                <w:rFonts w:eastAsia="Times New Roman"/>
                <w:i/>
                <w:iCs/>
                <w:color w:val="000000"/>
                <w:sz w:val="20"/>
                <w:szCs w:val="20"/>
              </w:rPr>
              <w:t>Operating (loss) income as a percentage of revenue (“operating margin”)</w:t>
            </w:r>
          </w:p>
        </w:tc>
        <w:tc>
          <w:tcPr>
            <w:tcW w:w="0" w:type="auto"/>
            <w:gridSpan w:val="2"/>
            <w:shd w:val="clear" w:color="auto" w:fill="CCEEFF"/>
            <w:tcMar>
              <w:top w:w="30" w:type="dxa"/>
              <w:left w:w="20" w:type="dxa"/>
              <w:bottom w:w="30" w:type="dxa"/>
              <w:right w:w="0" w:type="dxa"/>
            </w:tcMar>
            <w:vAlign w:val="center"/>
            <w:hideMark/>
          </w:tcPr>
          <w:p w:rsidR="00000000" w:rsidRDefault="00C9777F">
            <w:pPr>
              <w:spacing w:after="100"/>
              <w:jc w:val="right"/>
              <w:rPr>
                <w:rFonts w:eastAsia="Times New Roman"/>
              </w:rPr>
            </w:pPr>
            <w:r>
              <w:rPr>
                <w:rFonts w:eastAsia="Times New Roman"/>
                <w:i/>
                <w:iCs/>
                <w:color w:val="000000"/>
                <w:sz w:val="20"/>
                <w:szCs w:val="20"/>
              </w:rPr>
              <w:t>(13.2)</w:t>
            </w:r>
          </w:p>
        </w:tc>
        <w:tc>
          <w:tcPr>
            <w:tcW w:w="0" w:type="auto"/>
            <w:shd w:val="clear" w:color="auto" w:fill="CCEEFF"/>
            <w:tcMar>
              <w:top w:w="30" w:type="dxa"/>
              <w:left w:w="0" w:type="dxa"/>
              <w:bottom w:w="30" w:type="dxa"/>
              <w:right w:w="20" w:type="dxa"/>
            </w:tcMar>
            <w:vAlign w:val="center"/>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C9777F">
            <w:pPr>
              <w:spacing w:after="100"/>
              <w:jc w:val="right"/>
              <w:rPr>
                <w:rFonts w:eastAsia="Times New Roman"/>
              </w:rPr>
            </w:pPr>
            <w:r>
              <w:rPr>
                <w:rFonts w:eastAsia="Times New Roman"/>
                <w:i/>
                <w:iCs/>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C9777F">
            <w:pPr>
              <w:spacing w:after="100"/>
              <w:jc w:val="right"/>
              <w:rPr>
                <w:rFonts w:eastAsia="Times New Roman"/>
              </w:rPr>
            </w:pPr>
            <w:r>
              <w:rPr>
                <w:rFonts w:eastAsia="Times New Roman"/>
                <w:i/>
                <w:iCs/>
                <w:color w:val="000000"/>
                <w:sz w:val="20"/>
                <w:szCs w:val="20"/>
              </w:rPr>
              <w:t>4.8 </w:t>
            </w:r>
          </w:p>
        </w:tc>
        <w:tc>
          <w:tcPr>
            <w:tcW w:w="0" w:type="auto"/>
            <w:shd w:val="clear" w:color="auto" w:fill="CCEEFF"/>
            <w:tcMar>
              <w:top w:w="30" w:type="dxa"/>
              <w:left w:w="0" w:type="dxa"/>
              <w:bottom w:w="30" w:type="dxa"/>
              <w:right w:w="20" w:type="dxa"/>
            </w:tcMar>
            <w:vAlign w:val="center"/>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C9777F">
            <w:pPr>
              <w:spacing w:after="100"/>
              <w:jc w:val="right"/>
              <w:rPr>
                <w:rFonts w:eastAsia="Times New Roman"/>
              </w:rPr>
            </w:pPr>
            <w:r>
              <w:rPr>
                <w:rFonts w:eastAsia="Times New Roman"/>
                <w:i/>
                <w:iCs/>
                <w:color w:val="000000"/>
                <w:sz w:val="20"/>
                <w:szCs w:val="20"/>
              </w:rPr>
              <w:t>11.7 </w:t>
            </w:r>
          </w:p>
        </w:tc>
        <w:tc>
          <w:tcPr>
            <w:tcW w:w="0" w:type="auto"/>
            <w:shd w:val="clear" w:color="auto" w:fill="CCEEFF"/>
            <w:tcMar>
              <w:top w:w="30" w:type="dxa"/>
              <w:left w:w="0" w:type="dxa"/>
              <w:bottom w:w="30" w:type="dxa"/>
              <w:right w:w="20" w:type="dxa"/>
            </w:tcMar>
            <w:vAlign w:val="center"/>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465200745"/>
          <w:trHeight w:val="60"/>
        </w:trPr>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1749376056"/>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IMS revenue for the quarter ended September 30, 2022 compared with the quarter ended October 1, 2021 increased 4%, reflecting an increase of $73 million in ISR, largely from $59 million of revenue for newly-awarded Armed Overwatch program and an increase o</w:t>
      </w:r>
      <w:r>
        <w:rPr>
          <w:rFonts w:eastAsia="Times New Roman"/>
          <w:color w:val="000000"/>
          <w:sz w:val="20"/>
          <w:szCs w:val="20"/>
        </w:rPr>
        <w:t>f $15 million in Commercial Aviation Solutions primarily due to $18 million of higher revenue related to the sale of end-of-life inventory, partially offset by a decrease of $13 million in Maritime primarily due to material delays as well as program timing</w:t>
      </w:r>
      <w:r>
        <w:rPr>
          <w:rFonts w:eastAsia="Times New Roman"/>
          <w:color w:val="000000"/>
          <w:sz w:val="20"/>
          <w:szCs w:val="20"/>
        </w:rPr>
        <w:t>.</w:t>
      </w:r>
    </w:p>
    <w:p w:rsidR="00000000" w:rsidRDefault="00C9777F">
      <w:pPr>
        <w:ind w:firstLine="360"/>
        <w:divId w:val="2023899142"/>
        <w:rPr>
          <w:rFonts w:eastAsia="Times New Roman"/>
        </w:rPr>
      </w:pPr>
      <w:r>
        <w:rPr>
          <w:rFonts w:eastAsia="Times New Roman"/>
          <w:color w:val="000000"/>
          <w:sz w:val="20"/>
          <w:szCs w:val="20"/>
        </w:rPr>
        <w:t>IMS operating margin for the quarter ended September 30, 2022 compared with the quarter ended October 1, 2021 contracted to (13.2)%, primarily due to non-cash impairment charges for goodwill totaling $447 million, in addition to higher input costs, mater</w:t>
      </w:r>
      <w:r>
        <w:rPr>
          <w:rFonts w:eastAsia="Times New Roman"/>
          <w:color w:val="000000"/>
          <w:sz w:val="20"/>
          <w:szCs w:val="20"/>
        </w:rPr>
        <w:t xml:space="preserve">ial delays and mix, partially offset by the sale of end-of-life inventory and higher volumes in Commercial Aviation during the quarter ended September 30, 2022. </w:t>
      </w:r>
    </w:p>
    <w:p w:rsidR="00000000" w:rsidRDefault="00C9777F">
      <w:pPr>
        <w:ind w:firstLine="360"/>
        <w:divId w:val="1374231002"/>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IMS revenue for three quarters ended September 30, 2022 compared wi</w:t>
      </w:r>
      <w:r>
        <w:rPr>
          <w:rFonts w:eastAsia="Times New Roman"/>
          <w:color w:val="000000"/>
          <w:sz w:val="20"/>
          <w:szCs w:val="20"/>
        </w:rPr>
        <w:t>th three quarters ended October 1, 2021 decreased 2%, reflecting a decrease of $91 million in Electro Optical, primarily from lower volume on fuzing and ordnance systems and other related programs, as well as a decline in WESCAM airborne turret delivery vo</w:t>
      </w:r>
      <w:r>
        <w:rPr>
          <w:rFonts w:eastAsia="Times New Roman"/>
          <w:color w:val="000000"/>
          <w:sz w:val="20"/>
          <w:szCs w:val="20"/>
        </w:rPr>
        <w:t>lumes resulting from supply chain disruptions and a decrease of $21 million in Maritime due to material delays as well as program timing. These decreases were partially offset by an increase of $53 million in Commercial Aviation Solutions, largely due to $</w:t>
      </w:r>
      <w:r>
        <w:rPr>
          <w:rFonts w:eastAsia="Times New Roman"/>
          <w:color w:val="000000"/>
          <w:sz w:val="20"/>
          <w:szCs w:val="20"/>
        </w:rPr>
        <w:t>33 million of higher revenue related to the sale of end-of-life inventory as well as an increase in pilot training center volume.</w:t>
      </w:r>
    </w:p>
    <w:p w:rsidR="00000000" w:rsidRDefault="00C9777F">
      <w:pPr>
        <w:ind w:firstLine="360"/>
        <w:divId w:val="1435053746"/>
        <w:rPr>
          <w:rFonts w:eastAsia="Times New Roman"/>
        </w:rPr>
      </w:pPr>
      <w:r>
        <w:rPr>
          <w:rFonts w:eastAsia="Times New Roman"/>
          <w:color w:val="000000"/>
          <w:sz w:val="20"/>
          <w:szCs w:val="20"/>
        </w:rPr>
        <w:t>IMS operating margin for three quarters ended September 30, 2022 compared with three quarters ended October 1, 2021 contracted</w:t>
      </w:r>
      <w:r>
        <w:rPr>
          <w:rFonts w:eastAsia="Times New Roman"/>
          <w:color w:val="000000"/>
          <w:sz w:val="20"/>
          <w:szCs w:val="20"/>
        </w:rPr>
        <w:t xml:space="preserve"> 690 basis points to 4.8%, primarily due to non-cash charges for goodwill impairment totaling $447 million during the quarter ended September 30, 2022 compared with a non-cash charge for goodwill impairment of $62 million associated with the divestiture of</w:t>
      </w:r>
      <w:r>
        <w:rPr>
          <w:rFonts w:eastAsia="Times New Roman"/>
          <w:color w:val="000000"/>
          <w:sz w:val="20"/>
          <w:szCs w:val="20"/>
        </w:rPr>
        <w:t xml:space="preserve"> the CPS business and a non-cash charge for identifiable intangible and other long-lived assets of $145 million related to our CTS business recorded during the three quarters ended October 1, 2021. In addition, IMS operating margin declined from higher inp</w:t>
      </w:r>
      <w:r>
        <w:rPr>
          <w:rFonts w:eastAsia="Times New Roman"/>
          <w:color w:val="000000"/>
          <w:sz w:val="20"/>
          <w:szCs w:val="20"/>
        </w:rPr>
        <w:t xml:space="preserve">ut costs, material delays and mix, partially offset by the sale of end-of-life inventory and higher volumes in Commercial Aviation Solutions during the three quarters ended September 30, 2022. </w:t>
      </w:r>
    </w:p>
    <w:p w:rsidR="00000000" w:rsidRDefault="00C9777F">
      <w:pPr>
        <w:ind w:firstLine="360"/>
        <w:divId w:val="2005475485"/>
        <w:rPr>
          <w:rFonts w:eastAsia="Times New Roman"/>
        </w:rPr>
      </w:pPr>
      <w:r>
        <w:rPr>
          <w:rFonts w:eastAsia="Times New Roman"/>
          <w:color w:val="000000"/>
          <w:sz w:val="20"/>
          <w:szCs w:val="20"/>
        </w:rPr>
        <w:t xml:space="preserve">See </w:t>
      </w:r>
      <w:r>
        <w:rPr>
          <w:rFonts w:eastAsia="Times New Roman"/>
          <w:i/>
          <w:iCs/>
          <w:color w:val="000000"/>
          <w:sz w:val="20"/>
          <w:szCs w:val="20"/>
        </w:rPr>
        <w:t>Note I — Goodwill and Other Intangible Assets</w:t>
      </w:r>
      <w:r>
        <w:rPr>
          <w:rFonts w:eastAsia="Times New Roman"/>
          <w:color w:val="000000"/>
          <w:sz w:val="20"/>
          <w:szCs w:val="20"/>
        </w:rPr>
        <w:t xml:space="preserve"> in the Notes</w:t>
      </w:r>
      <w:r>
        <w:rPr>
          <w:rFonts w:eastAsia="Times New Roman"/>
          <w:color w:val="000000"/>
          <w:sz w:val="20"/>
          <w:szCs w:val="20"/>
        </w:rPr>
        <w:t xml:space="preserve"> for further information related to the charges for goodwill impairment.</w:t>
      </w:r>
    </w:p>
    <w:p w:rsidR="00000000" w:rsidRDefault="00C9777F">
      <w:pPr>
        <w:divId w:val="1985498897"/>
        <w:rPr>
          <w:rFonts w:eastAsia="Times New Roman"/>
        </w:rPr>
      </w:pPr>
      <w:r>
        <w:rPr>
          <w:rFonts w:eastAsia="Times New Roman"/>
          <w:b/>
          <w:bCs/>
          <w:i/>
          <w:iCs/>
          <w:color w:val="000000"/>
          <w:sz w:val="20"/>
          <w:szCs w:val="20"/>
        </w:rPr>
        <w:t>Space &amp; Airborne Systems Segment (“SAS”)</w:t>
      </w:r>
    </w:p>
    <w:tbl>
      <w:tblPr>
        <w:tblW w:w="5000" w:type="pct"/>
        <w:tblCellMar>
          <w:top w:w="15" w:type="dxa"/>
          <w:left w:w="15" w:type="dxa"/>
          <w:bottom w:w="15" w:type="dxa"/>
          <w:right w:w="15" w:type="dxa"/>
        </w:tblCellMar>
        <w:tblLook w:val="04A0" w:firstRow="1" w:lastRow="0" w:firstColumn="1" w:lastColumn="0" w:noHBand="0" w:noVBand="1"/>
      </w:tblPr>
      <w:tblGrid>
        <w:gridCol w:w="40"/>
        <w:gridCol w:w="1893"/>
        <w:gridCol w:w="39"/>
        <w:gridCol w:w="120"/>
        <w:gridCol w:w="500"/>
        <w:gridCol w:w="187"/>
        <w:gridCol w:w="36"/>
        <w:gridCol w:w="36"/>
        <w:gridCol w:w="36"/>
        <w:gridCol w:w="120"/>
        <w:gridCol w:w="500"/>
        <w:gridCol w:w="187"/>
        <w:gridCol w:w="36"/>
        <w:gridCol w:w="36"/>
        <w:gridCol w:w="36"/>
        <w:gridCol w:w="78"/>
        <w:gridCol w:w="586"/>
        <w:gridCol w:w="187"/>
        <w:gridCol w:w="36"/>
        <w:gridCol w:w="36"/>
        <w:gridCol w:w="36"/>
        <w:gridCol w:w="120"/>
        <w:gridCol w:w="500"/>
        <w:gridCol w:w="187"/>
        <w:gridCol w:w="36"/>
        <w:gridCol w:w="36"/>
        <w:gridCol w:w="36"/>
        <w:gridCol w:w="120"/>
        <w:gridCol w:w="500"/>
        <w:gridCol w:w="187"/>
        <w:gridCol w:w="36"/>
        <w:gridCol w:w="36"/>
        <w:gridCol w:w="36"/>
        <w:gridCol w:w="78"/>
        <w:gridCol w:w="586"/>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985498897"/>
        </w:trPr>
        <w:tc>
          <w:tcPr>
            <w:tcW w:w="50" w:type="pct"/>
            <w:vAlign w:val="center"/>
            <w:hideMark/>
          </w:tcPr>
          <w:p w:rsidR="00000000" w:rsidRDefault="00C9777F">
            <w:pPr>
              <w:rPr>
                <w:rFonts w:eastAsia="Times New Roman"/>
              </w:rPr>
            </w:pPr>
          </w:p>
        </w:tc>
        <w:tc>
          <w:tcPr>
            <w:tcW w:w="184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gridSpan w:val="3"/>
            <w:vAlign w:val="center"/>
            <w:hideMark/>
          </w:tcPr>
          <w:p w:rsidR="00000000" w:rsidRDefault="00C9777F">
            <w:pPr>
              <w:spacing w:after="100"/>
              <w:jc w:val="center"/>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vAlign w:val="center"/>
            <w:hideMark/>
          </w:tcPr>
          <w:p w:rsidR="00000000" w:rsidRDefault="00C9777F">
            <w:pPr>
              <w:spacing w:after="100"/>
              <w:jc w:val="center"/>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1,494 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4,450 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4,464 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9777F">
            <w:pPr>
              <w:spacing w:after="100"/>
              <w:jc w:val="right"/>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9777F">
            <w:pPr>
              <w:spacing w:after="100"/>
              <w:jc w:val="right"/>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shd w:val="clear" w:color="auto" w:fill="CCEEFF"/>
            <w:tcMar>
              <w:top w:w="30" w:type="dxa"/>
              <w:left w:w="245" w:type="dxa"/>
              <w:bottom w:w="30" w:type="dxa"/>
              <w:right w:w="20" w:type="dxa"/>
            </w:tcMar>
            <w:hideMark/>
          </w:tcPr>
          <w:p w:rsidR="00000000" w:rsidRDefault="00C9777F">
            <w:pPr>
              <w:spacing w:after="100"/>
              <w:rPr>
                <w:rFonts w:eastAsia="Times New Roman"/>
              </w:rPr>
            </w:pPr>
            <w:r>
              <w:rPr>
                <w:rFonts w:eastAsia="Times New Roman"/>
                <w:i/>
                <w:iCs/>
                <w:color w:val="000000"/>
                <w:sz w:val="20"/>
                <w:szCs w:val="20"/>
              </w:rPr>
              <w:t>Operating margin</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1985498897"/>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ind w:firstLine="360"/>
        <w:divId w:val="1746953496"/>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SAS revenue for the quarter ended September 30, 2022 compared with the quarter ended October 1, 2021 increased 1%, primarily driven by an increase of $68 million in Space, reflecting growth in responsive satellite programs, that more than offset a $40 mill</w:t>
      </w:r>
      <w:r>
        <w:rPr>
          <w:rFonts w:eastAsia="Times New Roman"/>
          <w:color w:val="000000"/>
          <w:sz w:val="20"/>
          <w:szCs w:val="20"/>
        </w:rPr>
        <w:t>ion decline in our airborne businesses, reflecting transitions from development to production on the F-35 and F-18 programs.</w:t>
      </w:r>
    </w:p>
    <w:p w:rsidR="00000000" w:rsidRDefault="00C9777F">
      <w:pPr>
        <w:ind w:firstLine="360"/>
        <w:divId w:val="2059435006"/>
        <w:rPr>
          <w:rFonts w:eastAsia="Times New Roman"/>
        </w:rPr>
      </w:pPr>
      <w:r>
        <w:rPr>
          <w:rFonts w:eastAsia="Times New Roman"/>
          <w:color w:val="000000"/>
          <w:sz w:val="20"/>
          <w:szCs w:val="20"/>
        </w:rPr>
        <w:t xml:space="preserve">SAS operating margin for the quarter ended September 30, 2022 compared with the quarter ended October 1, 2021 contracted 100 basis </w:t>
      </w:r>
      <w:r>
        <w:rPr>
          <w:rFonts w:eastAsia="Times New Roman"/>
          <w:color w:val="000000"/>
          <w:sz w:val="20"/>
          <w:szCs w:val="20"/>
        </w:rPr>
        <w:t>points to 11.5% primarily from a $22 million increase in unfavorable EAC adjustments, due to higher input costs and program performance, mainly in Electronic Warfare and Space businesses, and new program ramps, partially offset by a decrease in R&amp;D expense</w:t>
      </w:r>
      <w:r>
        <w:rPr>
          <w:rFonts w:eastAsia="Times New Roman"/>
          <w:color w:val="000000"/>
          <w:sz w:val="20"/>
          <w:szCs w:val="20"/>
        </w:rPr>
        <w:t>s.</w:t>
      </w:r>
    </w:p>
    <w:p w:rsidR="00000000" w:rsidRDefault="00C9777F">
      <w:pPr>
        <w:ind w:firstLine="360"/>
        <w:divId w:val="1769108845"/>
        <w:rPr>
          <w:rFonts w:eastAsia="Times New Roman"/>
        </w:rPr>
      </w:pPr>
    </w:p>
    <w:p w:rsidR="00000000" w:rsidRDefault="00C9777F">
      <w:pPr>
        <w:ind w:firstLine="360"/>
        <w:jc w:val="center"/>
        <w:divId w:val="304507960"/>
        <w:rPr>
          <w:rFonts w:eastAsia="Times New Roman"/>
        </w:rPr>
      </w:pPr>
      <w:r>
        <w:rPr>
          <w:rFonts w:eastAsia="Times New Roman"/>
          <w:color w:val="000000"/>
          <w:sz w:val="20"/>
          <w:szCs w:val="20"/>
        </w:rPr>
        <w:t>24</w:t>
      </w:r>
    </w:p>
    <w:p w:rsidR="00000000" w:rsidRDefault="00C9777F">
      <w:pPr>
        <w:rPr>
          <w:rFonts w:eastAsia="Times New Roman"/>
        </w:rPr>
      </w:pPr>
      <w:r>
        <w:rPr>
          <w:rFonts w:eastAsia="Times New Roman"/>
        </w:rPr>
        <w:pict>
          <v:rect id="_x0000_i1051" style="width:0;height:1.5pt" o:hralign="center" o:hrstd="t" o:hr="t" fillcolor="#a0a0a0" stroked="f"/>
        </w:pict>
      </w:r>
    </w:p>
    <w:p w:rsidR="00000000" w:rsidRDefault="00C9777F">
      <w:pPr>
        <w:ind w:firstLine="360"/>
        <w:divId w:val="1065378731"/>
        <w:rPr>
          <w:rFonts w:eastAsia="Times New Roman"/>
        </w:rPr>
      </w:pPr>
    </w:p>
    <w:p w:rsidR="00000000" w:rsidRDefault="00C9777F">
      <w:pPr>
        <w:ind w:firstLine="360"/>
        <w:divId w:val="551422860"/>
        <w:rPr>
          <w:rFonts w:eastAsia="Times New Roman"/>
        </w:rPr>
      </w:pPr>
      <w:r>
        <w:rPr>
          <w:rFonts w:eastAsia="Times New Roman"/>
          <w:i/>
          <w:iCs/>
          <w:color w:val="000000"/>
          <w:sz w:val="20"/>
          <w:szCs w:val="20"/>
        </w:rPr>
        <w:t>Three Quarters Comparison:</w:t>
      </w:r>
      <w:r>
        <w:rPr>
          <w:rFonts w:eastAsia="Times New Roman"/>
          <w:color w:val="000000"/>
          <w:sz w:val="20"/>
          <w:szCs w:val="20"/>
        </w:rPr>
        <w:t xml:space="preserve"> </w:t>
      </w:r>
      <w:r>
        <w:rPr>
          <w:rFonts w:eastAsia="Times New Roman"/>
          <w:color w:val="000000"/>
          <w:sz w:val="20"/>
          <w:szCs w:val="20"/>
        </w:rPr>
        <w:t>SAS revenue for three quarters ended September 30, 2022 compared with three quarters ended October 1, 2021 remained flat, primarily driven by an increase of $181 million in Space, reflecting growth in responsive satellite programs, partially offset by a $1</w:t>
      </w:r>
      <w:r>
        <w:rPr>
          <w:rFonts w:eastAsia="Times New Roman"/>
          <w:color w:val="000000"/>
          <w:sz w:val="20"/>
          <w:szCs w:val="20"/>
        </w:rPr>
        <w:t>45 million decline in our airborne businesses, reflecting transitions from development to production on the F-35 and F-18 programs and $42 million decline in Intel &amp; Cyber primarily due to classified program transitions.</w:t>
      </w:r>
    </w:p>
    <w:p w:rsidR="00000000" w:rsidRDefault="00C9777F">
      <w:pPr>
        <w:ind w:firstLine="360"/>
        <w:divId w:val="33509292"/>
        <w:rPr>
          <w:rFonts w:eastAsia="Times New Roman"/>
        </w:rPr>
      </w:pPr>
      <w:r>
        <w:rPr>
          <w:rFonts w:eastAsia="Times New Roman"/>
          <w:color w:val="000000"/>
          <w:sz w:val="20"/>
          <w:szCs w:val="20"/>
        </w:rPr>
        <w:t>SAS operating margin for three quar</w:t>
      </w:r>
      <w:r>
        <w:rPr>
          <w:rFonts w:eastAsia="Times New Roman"/>
          <w:color w:val="000000"/>
          <w:sz w:val="20"/>
          <w:szCs w:val="20"/>
        </w:rPr>
        <w:t>ters ended September 30, 2022 compared with three quarters ended October 1, 2021 contracted 100 basis points to 12.1% primarily from a $62 million decrease in net favorable EAC adjustments, due to higher input costs and program performance, mainly in Elect</w:t>
      </w:r>
      <w:r>
        <w:rPr>
          <w:rFonts w:eastAsia="Times New Roman"/>
          <w:color w:val="000000"/>
          <w:sz w:val="20"/>
          <w:szCs w:val="20"/>
        </w:rPr>
        <w:t>ronic Warfare and Space businesses, and new program ramps, partially offset by a decrease in R&amp;D expenses.</w:t>
      </w:r>
    </w:p>
    <w:p w:rsidR="00000000" w:rsidRDefault="00C9777F">
      <w:pPr>
        <w:divId w:val="278995688"/>
        <w:rPr>
          <w:rFonts w:eastAsia="Times New Roman"/>
        </w:rPr>
      </w:pPr>
      <w:r>
        <w:rPr>
          <w:rFonts w:eastAsia="Times New Roman"/>
          <w:b/>
          <w:bCs/>
          <w:i/>
          <w:iCs/>
          <w:color w:val="000000"/>
          <w:sz w:val="20"/>
          <w:szCs w:val="20"/>
        </w:rPr>
        <w:t>Communication Systems Segment (“CS”)</w:t>
      </w:r>
    </w:p>
    <w:tbl>
      <w:tblPr>
        <w:tblW w:w="5000" w:type="pct"/>
        <w:tblCellMar>
          <w:top w:w="15" w:type="dxa"/>
          <w:left w:w="15" w:type="dxa"/>
          <w:bottom w:w="15" w:type="dxa"/>
          <w:right w:w="15" w:type="dxa"/>
        </w:tblCellMar>
        <w:tblLook w:val="04A0" w:firstRow="1" w:lastRow="0" w:firstColumn="1" w:lastColumn="0" w:noHBand="0" w:noVBand="1"/>
      </w:tblPr>
      <w:tblGrid>
        <w:gridCol w:w="39"/>
        <w:gridCol w:w="1895"/>
        <w:gridCol w:w="38"/>
        <w:gridCol w:w="120"/>
        <w:gridCol w:w="500"/>
        <w:gridCol w:w="187"/>
        <w:gridCol w:w="36"/>
        <w:gridCol w:w="36"/>
        <w:gridCol w:w="36"/>
        <w:gridCol w:w="120"/>
        <w:gridCol w:w="500"/>
        <w:gridCol w:w="187"/>
        <w:gridCol w:w="36"/>
        <w:gridCol w:w="36"/>
        <w:gridCol w:w="36"/>
        <w:gridCol w:w="78"/>
        <w:gridCol w:w="586"/>
        <w:gridCol w:w="187"/>
        <w:gridCol w:w="36"/>
        <w:gridCol w:w="36"/>
        <w:gridCol w:w="36"/>
        <w:gridCol w:w="120"/>
        <w:gridCol w:w="500"/>
        <w:gridCol w:w="187"/>
        <w:gridCol w:w="36"/>
        <w:gridCol w:w="36"/>
        <w:gridCol w:w="36"/>
        <w:gridCol w:w="120"/>
        <w:gridCol w:w="500"/>
        <w:gridCol w:w="187"/>
        <w:gridCol w:w="36"/>
        <w:gridCol w:w="36"/>
        <w:gridCol w:w="36"/>
        <w:gridCol w:w="78"/>
        <w:gridCol w:w="586"/>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62332843"/>
        </w:trPr>
        <w:tc>
          <w:tcPr>
            <w:tcW w:w="50" w:type="pct"/>
            <w:vAlign w:val="center"/>
            <w:hideMark/>
          </w:tcPr>
          <w:p w:rsidR="00000000" w:rsidRDefault="00C9777F">
            <w:pPr>
              <w:rPr>
                <w:rFonts w:eastAsia="Times New Roman"/>
              </w:rPr>
            </w:pPr>
          </w:p>
        </w:tc>
        <w:tc>
          <w:tcPr>
            <w:tcW w:w="184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gridSpan w:val="3"/>
            <w:vAlign w:val="center"/>
            <w:hideMark/>
          </w:tcPr>
          <w:p w:rsidR="00000000" w:rsidRDefault="00C9777F">
            <w:pPr>
              <w:spacing w:after="100"/>
              <w:jc w:val="center"/>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vAlign w:val="center"/>
            <w:hideMark/>
          </w:tcPr>
          <w:p w:rsidR="00000000" w:rsidRDefault="00C9777F">
            <w:pPr>
              <w:spacing w:after="100"/>
              <w:jc w:val="center"/>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1,068 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1,030 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3,024 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3,269 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9777F">
            <w:pPr>
              <w:spacing w:after="100"/>
              <w:jc w:val="right"/>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Operating (loss) income</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C9777F">
            <w:pPr>
              <w:spacing w:after="100"/>
              <w:jc w:val="right"/>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shd w:val="clear" w:color="auto" w:fill="CCEEFF"/>
            <w:tcMar>
              <w:top w:w="30" w:type="dxa"/>
              <w:left w:w="20" w:type="dxa"/>
              <w:bottom w:w="30" w:type="dxa"/>
              <w:right w:w="20" w:type="dxa"/>
            </w:tcMar>
            <w:hideMark/>
          </w:tcPr>
          <w:p w:rsidR="00000000" w:rsidRDefault="00C9777F">
            <w:pPr>
              <w:spacing w:after="100"/>
              <w:divId w:val="895362921"/>
              <w:rPr>
                <w:rFonts w:eastAsia="Times New Roman"/>
              </w:rPr>
            </w:pPr>
            <w:r>
              <w:rPr>
                <w:rFonts w:eastAsia="Times New Roman"/>
                <w:i/>
                <w:iCs/>
                <w:color w:val="000000"/>
                <w:sz w:val="20"/>
                <w:szCs w:val="20"/>
              </w:rPr>
              <w:t>Operating margin</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i/>
                <w:iCs/>
                <w:color w:val="000000"/>
                <w:sz w:val="20"/>
                <w:szCs w:val="20"/>
              </w:rPr>
              <w:t>24.6 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6233284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ind w:firstLine="360"/>
        <w:divId w:val="1946646743"/>
        <w:rPr>
          <w:rFonts w:eastAsia="Times New Roman"/>
        </w:rPr>
      </w:pPr>
      <w:r>
        <w:rPr>
          <w:rFonts w:eastAsia="Times New Roman"/>
          <w:i/>
          <w:iCs/>
          <w:color w:val="000000"/>
          <w:sz w:val="20"/>
          <w:szCs w:val="20"/>
        </w:rPr>
        <w:t xml:space="preserve">One Quarter Comparison: </w:t>
      </w:r>
      <w:r>
        <w:rPr>
          <w:rFonts w:eastAsia="Times New Roman"/>
          <w:color w:val="000000"/>
          <w:sz w:val="20"/>
          <w:szCs w:val="20"/>
        </w:rPr>
        <w:t>CS revenue for the quarter ended September 30, 2022 compared with the quarter ended October 1, 2021 increased 4%, reflecting an increase of $94 million in Tactical Communications, primarily due to an increase in volume, partially offset by a decrease of $3</w:t>
      </w:r>
      <w:r>
        <w:rPr>
          <w:rFonts w:eastAsia="Times New Roman"/>
          <w:color w:val="000000"/>
          <w:sz w:val="20"/>
          <w:szCs w:val="20"/>
        </w:rPr>
        <w:t>7 million in Broadband Communications due to lower volume on legacy platforms and a decrease of $27 million in Integrated Vision Solutions (“IVS”) primarily from program timing and lower sales volume.</w:t>
      </w:r>
    </w:p>
    <w:p w:rsidR="00000000" w:rsidRDefault="00C9777F">
      <w:pPr>
        <w:ind w:firstLine="360"/>
        <w:divId w:val="2111123565"/>
        <w:rPr>
          <w:rFonts w:eastAsia="Times New Roman"/>
        </w:rPr>
      </w:pPr>
      <w:r>
        <w:rPr>
          <w:rFonts w:eastAsia="Times New Roman"/>
          <w:color w:val="000000"/>
          <w:sz w:val="20"/>
          <w:szCs w:val="20"/>
        </w:rPr>
        <w:t>CS operating margin for the quarter ended September 30,</w:t>
      </w:r>
      <w:r>
        <w:rPr>
          <w:rFonts w:eastAsia="Times New Roman"/>
          <w:color w:val="000000"/>
          <w:sz w:val="20"/>
          <w:szCs w:val="20"/>
        </w:rPr>
        <w:t xml:space="preserve"> 2022 compared with the quarter ended October 1, 2021 contracted to (9.1)%, primarily due to a non-cash charge for impairment of goodwill of $355 million recorded in our Broadband reporting unit, in addition to higher input costs and lower margin on new pr</w:t>
      </w:r>
      <w:r>
        <w:rPr>
          <w:rFonts w:eastAsia="Times New Roman"/>
          <w:color w:val="000000"/>
          <w:sz w:val="20"/>
          <w:szCs w:val="20"/>
        </w:rPr>
        <w:t>ogram ramp.</w:t>
      </w:r>
    </w:p>
    <w:p w:rsidR="00000000" w:rsidRDefault="00C9777F">
      <w:pPr>
        <w:ind w:firstLine="360"/>
        <w:divId w:val="1431849512"/>
        <w:rPr>
          <w:rFonts w:eastAsia="Times New Roman"/>
        </w:rPr>
      </w:pPr>
      <w:r>
        <w:rPr>
          <w:rFonts w:eastAsia="Times New Roman"/>
          <w:i/>
          <w:iCs/>
          <w:color w:val="000000"/>
          <w:sz w:val="20"/>
          <w:szCs w:val="20"/>
        </w:rPr>
        <w:t xml:space="preserve">Three Quarters Comparison: </w:t>
      </w:r>
      <w:r>
        <w:rPr>
          <w:rFonts w:eastAsia="Times New Roman"/>
          <w:color w:val="000000"/>
          <w:sz w:val="20"/>
          <w:szCs w:val="20"/>
        </w:rPr>
        <w:t>CS revenue for three quarters ended September 30, 2022 compared with three quarters ended October 1, 2021 decreased 7%, reflecting a decrease of $178 million in Broadband Communications from lower volume on legacy pla</w:t>
      </w:r>
      <w:r>
        <w:rPr>
          <w:rFonts w:eastAsia="Times New Roman"/>
          <w:color w:val="000000"/>
          <w:sz w:val="20"/>
          <w:szCs w:val="20"/>
        </w:rPr>
        <w:t>tforms, a decrease of $31 million in Tactical Communications due to supply chain disruptions and a decrease of $44 million in IVS primarily from program timing and lower sales volume.</w:t>
      </w:r>
    </w:p>
    <w:p w:rsidR="00000000" w:rsidRDefault="00C9777F">
      <w:pPr>
        <w:ind w:firstLine="360"/>
        <w:divId w:val="110828993"/>
        <w:rPr>
          <w:rFonts w:eastAsia="Times New Roman"/>
        </w:rPr>
      </w:pPr>
      <w:r>
        <w:rPr>
          <w:rFonts w:eastAsia="Times New Roman"/>
          <w:color w:val="000000"/>
          <w:sz w:val="20"/>
          <w:szCs w:val="20"/>
        </w:rPr>
        <w:t>CS operating margin for three quarters ended September 30, 2022 compared</w:t>
      </w:r>
      <w:r>
        <w:rPr>
          <w:rFonts w:eastAsia="Times New Roman"/>
          <w:color w:val="000000"/>
          <w:sz w:val="20"/>
          <w:szCs w:val="20"/>
        </w:rPr>
        <w:t xml:space="preserve"> with three quarters ended October 1, 2021 contracted to 12.2%, primarily due to the non-cash charge for impairment of goodwill of $355 million recorded in our Broadband reporting unit during the quarter ended September 30, 2022, in addition to supply chai</w:t>
      </w:r>
      <w:r>
        <w:rPr>
          <w:rFonts w:eastAsia="Times New Roman"/>
          <w:color w:val="000000"/>
          <w:sz w:val="20"/>
          <w:szCs w:val="20"/>
        </w:rPr>
        <w:t>n disruptions, higher input costs and lower margin on new program ramp.</w:t>
      </w:r>
    </w:p>
    <w:p w:rsidR="00000000" w:rsidRDefault="00C9777F">
      <w:pPr>
        <w:ind w:firstLine="360"/>
        <w:divId w:val="2043166750"/>
        <w:rPr>
          <w:rFonts w:eastAsia="Times New Roman"/>
        </w:rPr>
      </w:pPr>
      <w:r>
        <w:rPr>
          <w:rFonts w:eastAsia="Times New Roman"/>
          <w:color w:val="000000"/>
          <w:sz w:val="20"/>
          <w:szCs w:val="20"/>
        </w:rPr>
        <w:t xml:space="preserve">See </w:t>
      </w:r>
      <w:r>
        <w:rPr>
          <w:rFonts w:eastAsia="Times New Roman"/>
          <w:i/>
          <w:iCs/>
          <w:color w:val="000000"/>
          <w:sz w:val="20"/>
          <w:szCs w:val="20"/>
        </w:rPr>
        <w:t>Note I — Goodwill and Other Intangible Assets</w:t>
      </w:r>
      <w:r>
        <w:rPr>
          <w:rFonts w:eastAsia="Times New Roman"/>
          <w:color w:val="000000"/>
          <w:sz w:val="20"/>
          <w:szCs w:val="20"/>
        </w:rPr>
        <w:t xml:space="preserve"> in the Notes for further information on the impairment charge for goodwill.</w:t>
      </w:r>
    </w:p>
    <w:p w:rsidR="00000000" w:rsidRDefault="00C9777F">
      <w:pPr>
        <w:ind w:firstLine="360"/>
        <w:jc w:val="center"/>
        <w:divId w:val="1234317399"/>
        <w:rPr>
          <w:rFonts w:eastAsia="Times New Roman"/>
        </w:rPr>
      </w:pPr>
      <w:r>
        <w:rPr>
          <w:rFonts w:eastAsia="Times New Roman"/>
          <w:color w:val="000000"/>
          <w:sz w:val="20"/>
          <w:szCs w:val="20"/>
        </w:rPr>
        <w:t>25</w:t>
      </w:r>
    </w:p>
    <w:p w:rsidR="00000000" w:rsidRDefault="00C9777F">
      <w:pPr>
        <w:rPr>
          <w:rFonts w:eastAsia="Times New Roman"/>
        </w:rPr>
      </w:pPr>
      <w:r>
        <w:rPr>
          <w:rFonts w:eastAsia="Times New Roman"/>
        </w:rPr>
        <w:pict>
          <v:rect id="_x0000_i1052" style="width:0;height:1.5pt" o:hralign="center" o:hrstd="t" o:hr="t" fillcolor="#a0a0a0" stroked="f"/>
        </w:pict>
      </w:r>
    </w:p>
    <w:p w:rsidR="00000000" w:rsidRDefault="00C9777F">
      <w:pPr>
        <w:ind w:firstLine="360"/>
        <w:divId w:val="220943552"/>
        <w:rPr>
          <w:rFonts w:eastAsia="Times New Roman"/>
        </w:rPr>
      </w:pPr>
    </w:p>
    <w:p w:rsidR="00000000" w:rsidRDefault="00C9777F">
      <w:pPr>
        <w:divId w:val="1872066511"/>
        <w:rPr>
          <w:rFonts w:eastAsia="Times New Roman"/>
        </w:rPr>
      </w:pPr>
      <w:r>
        <w:rPr>
          <w:rFonts w:eastAsia="Times New Roman"/>
          <w:b/>
          <w:bCs/>
          <w:i/>
          <w:iCs/>
          <w:color w:val="000000"/>
          <w:sz w:val="20"/>
          <w:szCs w:val="20"/>
        </w:rPr>
        <w:t>Unallocated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40"/>
        <w:gridCol w:w="2423"/>
        <w:gridCol w:w="39"/>
        <w:gridCol w:w="121"/>
        <w:gridCol w:w="696"/>
        <w:gridCol w:w="36"/>
        <w:gridCol w:w="36"/>
        <w:gridCol w:w="36"/>
        <w:gridCol w:w="36"/>
        <w:gridCol w:w="121"/>
        <w:gridCol w:w="537"/>
        <w:gridCol w:w="36"/>
        <w:gridCol w:w="36"/>
        <w:gridCol w:w="36"/>
        <w:gridCol w:w="36"/>
        <w:gridCol w:w="78"/>
        <w:gridCol w:w="586"/>
        <w:gridCol w:w="187"/>
        <w:gridCol w:w="36"/>
        <w:gridCol w:w="36"/>
        <w:gridCol w:w="36"/>
        <w:gridCol w:w="121"/>
        <w:gridCol w:w="696"/>
        <w:gridCol w:w="36"/>
        <w:gridCol w:w="36"/>
        <w:gridCol w:w="36"/>
        <w:gridCol w:w="36"/>
        <w:gridCol w:w="121"/>
        <w:gridCol w:w="537"/>
        <w:gridCol w:w="36"/>
        <w:gridCol w:w="36"/>
        <w:gridCol w:w="36"/>
        <w:gridCol w:w="36"/>
        <w:gridCol w:w="78"/>
        <w:gridCol w:w="586"/>
        <w:gridCol w:w="187"/>
        <w:gridCol w:w="36"/>
        <w:gridCol w:w="36"/>
        <w:gridCol w:w="36"/>
        <w:gridCol w:w="36"/>
        <w:gridCol w:w="36"/>
        <w:gridCol w:w="36"/>
        <w:gridCol w:w="36"/>
        <w:gridCol w:w="36"/>
        <w:gridCol w:w="36"/>
        <w:gridCol w:w="36"/>
        <w:gridCol w:w="36"/>
        <w:gridCol w:w="36"/>
        <w:gridCol w:w="36"/>
      </w:tblGrid>
      <w:tr w:rsidR="00000000">
        <w:trPr>
          <w:divId w:val="952785858"/>
        </w:trPr>
        <w:tc>
          <w:tcPr>
            <w:tcW w:w="50" w:type="pct"/>
            <w:vAlign w:val="center"/>
            <w:hideMark/>
          </w:tcPr>
          <w:p w:rsidR="00000000" w:rsidRDefault="00C9777F">
            <w:pPr>
              <w:rPr>
                <w:rFonts w:eastAsia="Times New Roman"/>
              </w:rPr>
            </w:pPr>
          </w:p>
        </w:tc>
        <w:tc>
          <w:tcPr>
            <w:tcW w:w="184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6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7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 Inc/(Dec)</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CCEEFF"/>
            <w:tcMar>
              <w:top w:w="30" w:type="dxa"/>
              <w:left w:w="20" w:type="dxa"/>
              <w:bottom w:w="30" w:type="dxa"/>
              <w:right w:w="20" w:type="dxa"/>
            </w:tcMar>
            <w:hideMark/>
          </w:tcPr>
          <w:p w:rsidR="00000000" w:rsidRDefault="00C9777F">
            <w:pPr>
              <w:spacing w:after="100"/>
              <w:ind w:hanging="270"/>
              <w:divId w:val="1711608241"/>
              <w:rPr>
                <w:rFonts w:eastAsia="Times New Roman"/>
              </w:rPr>
            </w:pPr>
            <w:r>
              <w:rPr>
                <w:rFonts w:eastAsia="Times New Roman"/>
                <w:color w:val="000000"/>
                <w:sz w:val="20"/>
                <w:szCs w:val="20"/>
              </w:rPr>
              <w:t>Unallocated corporate department income (expense),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FFFF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L3Harris Merger-related transaction, integration and other expenses and losses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CCEE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(475)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FFFF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Charges for severance and other termination costs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CCEE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Charge related to an additional pre-merger legal contingency</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Business divestiture-related gains, net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CCEE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Acquisition and other divestiture-related expenses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divId w:val="804396110"/>
              <w:rPr>
                <w:rFonts w:eastAsia="Times New Roman"/>
              </w:rPr>
            </w:pPr>
            <w:r>
              <w:rPr>
                <w:rFonts w:eastAsia="Times New Roman"/>
                <w:color w:val="000000"/>
                <w:sz w:val="20"/>
                <w:szCs w:val="20"/>
              </w:rPr>
              <w:t>FAS/CAS operating adjustmen</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C9777F">
            <w:pPr>
              <w:spacing w:after="100"/>
              <w:jc w:val="right"/>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952785858"/>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2"/>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divId w:val="952785858"/>
        <w:rPr>
          <w:rFonts w:eastAsia="Times New Roman"/>
        </w:rPr>
      </w:pPr>
      <w:r>
        <w:rPr>
          <w:rFonts w:eastAsia="Times New Roman"/>
          <w:color w:val="000000"/>
          <w:sz w:val="16"/>
          <w:szCs w:val="16"/>
        </w:rPr>
        <w:t>______________</w:t>
      </w:r>
    </w:p>
    <w:p w:rsidR="00000000" w:rsidRDefault="00C9777F">
      <w:pPr>
        <w:ind w:hanging="360"/>
        <w:divId w:val="907807710"/>
        <w:rPr>
          <w:rFonts w:eastAsia="Times New Roman"/>
        </w:rPr>
      </w:pPr>
      <w:r>
        <w:rPr>
          <w:rFonts w:eastAsia="Times New Roman"/>
          <w:color w:val="000000"/>
          <w:sz w:val="16"/>
          <w:szCs w:val="16"/>
        </w:rPr>
        <w:t>•Not meaningful</w:t>
      </w:r>
    </w:p>
    <w:p w:rsidR="00000000" w:rsidRDefault="00C9777F">
      <w:pPr>
        <w:ind w:hanging="360"/>
        <w:divId w:val="1076822442"/>
        <w:rPr>
          <w:rFonts w:eastAsia="Times New Roman"/>
        </w:rPr>
      </w:pPr>
      <w:r>
        <w:rPr>
          <w:rFonts w:eastAsia="Times New Roman"/>
          <w:color w:val="000000"/>
          <w:sz w:val="16"/>
          <w:szCs w:val="16"/>
        </w:rPr>
        <w:t>(1) For the quarter ended September 30, 2022, includes $11 million of income from greenhouse gas (“GHG”) emission reduction projects and $10 million of i</w:t>
      </w:r>
      <w:r>
        <w:rPr>
          <w:rFonts w:eastAsia="Times New Roman"/>
          <w:color w:val="000000"/>
          <w:sz w:val="16"/>
          <w:szCs w:val="16"/>
        </w:rPr>
        <w:t>ncome from our deferred compensation plans. For the three quarters ended September 30, 2022, includes $20 million of income from our deferred compensation plans and $11 million of income from GHG emission reduction projects. For the three quarters ended Oc</w:t>
      </w:r>
      <w:r>
        <w:rPr>
          <w:rFonts w:eastAsia="Times New Roman"/>
          <w:color w:val="000000"/>
          <w:sz w:val="16"/>
          <w:szCs w:val="16"/>
        </w:rPr>
        <w:t>tober 1, 2021, includes a $15 million accrual for a value added tax obligation and $9 million of loss related to our deferred compensation plans.</w:t>
      </w:r>
    </w:p>
    <w:p w:rsidR="00000000" w:rsidRDefault="00C9777F">
      <w:pPr>
        <w:ind w:hanging="360"/>
        <w:divId w:val="1812360308"/>
        <w:rPr>
          <w:rFonts w:eastAsia="Times New Roman"/>
        </w:rPr>
      </w:pPr>
      <w:r>
        <w:rPr>
          <w:rFonts w:eastAsia="Times New Roman"/>
          <w:color w:val="000000"/>
          <w:sz w:val="16"/>
          <w:szCs w:val="16"/>
        </w:rPr>
        <w:t xml:space="preserve">(2)     Represents the difference between the service cost component of FAS pension and OPEB income and total </w:t>
      </w:r>
      <w:r>
        <w:rPr>
          <w:rFonts w:eastAsia="Times New Roman"/>
          <w:color w:val="000000"/>
          <w:sz w:val="16"/>
          <w:szCs w:val="16"/>
        </w:rPr>
        <w:t>CAS pension and OPEB cost and replaces the “Pension adjustment” line item previously presented, which included the non-service components of FAS pension and OPEB income. See Net FAS/CAS operating adjustment table below.</w:t>
      </w:r>
    </w:p>
    <w:p w:rsidR="00000000" w:rsidRDefault="00C9777F">
      <w:pPr>
        <w:divId w:val="1240940399"/>
        <w:rPr>
          <w:rFonts w:eastAsia="Times New Roman"/>
        </w:rPr>
      </w:pPr>
      <w:r>
        <w:rPr>
          <w:rFonts w:eastAsia="Times New Roman"/>
          <w:b/>
          <w:bCs/>
          <w:color w:val="000000"/>
          <w:sz w:val="20"/>
          <w:szCs w:val="20"/>
        </w:rPr>
        <w:t>LIQUIDITY, CAPITAL RESOURCES AND FIN</w:t>
      </w:r>
      <w:r>
        <w:rPr>
          <w:rFonts w:eastAsia="Times New Roman"/>
          <w:b/>
          <w:bCs/>
          <w:color w:val="000000"/>
          <w:sz w:val="20"/>
          <w:szCs w:val="20"/>
        </w:rPr>
        <w:t>ANCIAL STRATEGIES</w:t>
      </w:r>
    </w:p>
    <w:p w:rsidR="00000000" w:rsidRDefault="00C9777F">
      <w:pPr>
        <w:divId w:val="574320918"/>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60"/>
        <w:gridCol w:w="39"/>
        <w:gridCol w:w="121"/>
        <w:gridCol w:w="1037"/>
        <w:gridCol w:w="36"/>
        <w:gridCol w:w="36"/>
        <w:gridCol w:w="36"/>
        <w:gridCol w:w="36"/>
        <w:gridCol w:w="120"/>
        <w:gridCol w:w="1037"/>
        <w:gridCol w:w="36"/>
        <w:gridCol w:w="36"/>
        <w:gridCol w:w="36"/>
      </w:tblGrid>
      <w:tr w:rsidR="00000000">
        <w:trPr>
          <w:divId w:val="574320918"/>
        </w:trPr>
        <w:tc>
          <w:tcPr>
            <w:tcW w:w="50" w:type="pct"/>
            <w:vAlign w:val="center"/>
            <w:hideMark/>
          </w:tcPr>
          <w:p w:rsidR="00000000" w:rsidRDefault="00C9777F">
            <w:pPr>
              <w:rPr>
                <w:rFonts w:eastAsia="Times New Roman"/>
              </w:rPr>
            </w:pPr>
          </w:p>
        </w:tc>
        <w:tc>
          <w:tcPr>
            <w:tcW w:w="34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r>
      <w:tr w:rsidR="00000000">
        <w:trPr>
          <w:divId w:val="574320918"/>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1,376 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1,865 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Net cash (used in) provided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(188)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1,400 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(1,566)</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(3,413)</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CCEE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Net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FFFFFF"/>
            <w:tcMar>
              <w:top w:w="30" w:type="dxa"/>
              <w:left w:w="290" w:type="dxa"/>
              <w:bottom w:w="30" w:type="dxa"/>
              <w:right w:w="20" w:type="dxa"/>
            </w:tcMar>
            <w:hideMark/>
          </w:tcPr>
          <w:p w:rsidR="00000000" w:rsidRDefault="00C9777F">
            <w:pPr>
              <w:spacing w:after="100"/>
              <w:ind w:hanging="270"/>
              <w:rPr>
                <w:rFonts w:eastAsia="Times New Roman"/>
              </w:rPr>
            </w:pPr>
            <w:r>
              <w:rPr>
                <w:rFonts w:eastAsia="Times New Roman"/>
                <w:color w:val="000000"/>
                <w:sz w:val="20"/>
                <w:szCs w:val="20"/>
              </w:rPr>
              <w:t>Cash and cash equivalents, beginning of period</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574320918"/>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1,126 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bl>
    <w:p w:rsidR="00000000" w:rsidRDefault="00C9777F">
      <w:pPr>
        <w:ind w:firstLine="360"/>
        <w:divId w:val="2117171777"/>
        <w:rPr>
          <w:rFonts w:eastAsia="Times New Roman"/>
        </w:rPr>
      </w:pPr>
      <w:r>
        <w:rPr>
          <w:rFonts w:eastAsia="Times New Roman"/>
          <w:b/>
          <w:bCs/>
          <w:i/>
          <w:iCs/>
          <w:color w:val="000000"/>
          <w:sz w:val="20"/>
          <w:szCs w:val="20"/>
        </w:rPr>
        <w:t xml:space="preserve">Cash and cash equivalents: </w:t>
      </w:r>
      <w:r>
        <w:rPr>
          <w:rFonts w:eastAsia="Times New Roman"/>
          <w:color w:val="000000"/>
          <w:sz w:val="20"/>
          <w:szCs w:val="20"/>
        </w:rPr>
        <w:t>At September </w:t>
      </w:r>
      <w:r>
        <w:rPr>
          <w:rFonts w:eastAsia="Times New Roman"/>
          <w:color w:val="000000"/>
          <w:sz w:val="20"/>
          <w:szCs w:val="20"/>
        </w:rPr>
        <w:t xml:space="preserve">30, 2022 we had cash and cash equivalents of $529 million and a senior unsecured $2 billion revolving credit facility that matures in July 2027 (all of which was available to us as of September 30, 2022). Additionally, we had $7.0 billion of net long-term </w:t>
      </w:r>
      <w:r>
        <w:rPr>
          <w:rFonts w:eastAsia="Times New Roman"/>
          <w:color w:val="000000"/>
          <w:sz w:val="20"/>
          <w:szCs w:val="20"/>
        </w:rPr>
        <w:t>debt outstanding at September 30, 2022. Our $529 million of cash and cash equivalents at September 30, 2022 included $208 million held by our foreign subsidiaries, a significant portion of which we believe can be repatriated to the U.S. with minimal tax co</w:t>
      </w:r>
      <w:r>
        <w:rPr>
          <w:rFonts w:eastAsia="Times New Roman"/>
          <w:color w:val="000000"/>
          <w:sz w:val="20"/>
          <w:szCs w:val="20"/>
        </w:rPr>
        <w:t>st.</w:t>
      </w:r>
    </w:p>
    <w:p w:rsidR="00000000" w:rsidRDefault="00C9777F">
      <w:pPr>
        <w:ind w:firstLine="360"/>
        <w:divId w:val="1220819949"/>
        <w:rPr>
          <w:rFonts w:eastAsia="Times New Roman"/>
        </w:rPr>
      </w:pPr>
      <w:r>
        <w:rPr>
          <w:rFonts w:eastAsia="Times New Roman"/>
          <w:color w:val="000000"/>
          <w:sz w:val="20"/>
          <w:szCs w:val="20"/>
        </w:rPr>
        <w:t>Given our current cash position, outlook for funds generated from operations, credit ratings, available credit facility, cash needs and debt structure, we have not experienced to date, and do not expect to experience, any material issues with liquidity, al</w:t>
      </w:r>
      <w:r>
        <w:rPr>
          <w:rFonts w:eastAsia="Times New Roman"/>
          <w:color w:val="000000"/>
          <w:sz w:val="20"/>
          <w:szCs w:val="20"/>
        </w:rPr>
        <w:t xml:space="preserve">though, we can give no assurances concerning our future liquidity, particularly in light of our overall level of debt, U.S. Government budget uncertainties and the state of global commerce and general political and financial uncertainty. Additionally, the </w:t>
      </w:r>
      <w:r>
        <w:rPr>
          <w:rFonts w:eastAsia="Times New Roman"/>
          <w:color w:val="000000"/>
          <w:sz w:val="20"/>
          <w:szCs w:val="20"/>
        </w:rPr>
        <w:t>provisions in the Tax Cuts and Jobs Act of 2017 require that, beginning in fiscal 2022, research and experimental expenditures be capitalized and amortized over five years, which we estimate will have up to a $600 million impact to cash from operating acti</w:t>
      </w:r>
      <w:r>
        <w:rPr>
          <w:rFonts w:eastAsia="Times New Roman"/>
          <w:color w:val="000000"/>
          <w:sz w:val="20"/>
          <w:szCs w:val="20"/>
        </w:rPr>
        <w:t>vities in fiscal 2022 based on the provisions currently in effect. During the quarter ended September 30, 2022, we made a tax payment of $205 million related to our research and experimental expenditures, which had an impact to cash from operating activiti</w:t>
      </w:r>
      <w:r>
        <w:rPr>
          <w:rFonts w:eastAsia="Times New Roman"/>
          <w:color w:val="000000"/>
          <w:sz w:val="20"/>
          <w:szCs w:val="20"/>
        </w:rPr>
        <w:t>es. See Item 1A. “Risk Factors” of our Fiscal 2021 Form 10-K and Part II, Item 1A. “Risk Factors” in this Report.</w:t>
      </w:r>
    </w:p>
    <w:p w:rsidR="00000000" w:rsidRDefault="00C9777F">
      <w:pPr>
        <w:ind w:firstLine="360"/>
        <w:jc w:val="center"/>
        <w:divId w:val="358510788"/>
        <w:rPr>
          <w:rFonts w:eastAsia="Times New Roman"/>
        </w:rPr>
      </w:pPr>
      <w:r>
        <w:rPr>
          <w:rFonts w:eastAsia="Times New Roman"/>
          <w:color w:val="000000"/>
          <w:sz w:val="20"/>
          <w:szCs w:val="20"/>
        </w:rPr>
        <w:t>26</w:t>
      </w:r>
    </w:p>
    <w:p w:rsidR="00000000" w:rsidRDefault="00C9777F">
      <w:pPr>
        <w:rPr>
          <w:rFonts w:eastAsia="Times New Roman"/>
        </w:rPr>
      </w:pPr>
      <w:r>
        <w:rPr>
          <w:rFonts w:eastAsia="Times New Roman"/>
        </w:rPr>
        <w:pict>
          <v:rect id="_x0000_i1053" style="width:0;height:1.5pt" o:hralign="center" o:hrstd="t" o:hr="t" fillcolor="#a0a0a0" stroked="f"/>
        </w:pict>
      </w:r>
    </w:p>
    <w:p w:rsidR="00000000" w:rsidRDefault="00C9777F">
      <w:pPr>
        <w:ind w:firstLine="360"/>
        <w:divId w:val="2063407984"/>
        <w:rPr>
          <w:rFonts w:eastAsia="Times New Roman"/>
        </w:rPr>
      </w:pPr>
    </w:p>
    <w:p w:rsidR="00000000" w:rsidRDefault="00C9777F">
      <w:pPr>
        <w:ind w:firstLine="360"/>
        <w:divId w:val="838539037"/>
        <w:rPr>
          <w:rFonts w:eastAsia="Times New Roman"/>
        </w:rPr>
      </w:pPr>
      <w:r>
        <w:rPr>
          <w:rFonts w:eastAsia="Times New Roman"/>
          <w:color w:val="000000"/>
          <w:sz w:val="20"/>
          <w:szCs w:val="20"/>
        </w:rPr>
        <w:t>Based on our current business plan and revenue prospects, we believe that our existing cash, funds g</w:t>
      </w:r>
      <w:r>
        <w:rPr>
          <w:rFonts w:eastAsia="Times New Roman"/>
          <w:color w:val="000000"/>
          <w:sz w:val="20"/>
          <w:szCs w:val="20"/>
        </w:rPr>
        <w:t>enerated from operations, the 2022 Credit Facility and access to the public and private debt and equity markets will be sufficient to provide for our anticipated working capital requirements, capital expenditures, dividend payments, repurchases under our s</w:t>
      </w:r>
      <w:r>
        <w:rPr>
          <w:rFonts w:eastAsia="Times New Roman"/>
          <w:color w:val="000000"/>
          <w:sz w:val="20"/>
          <w:szCs w:val="20"/>
        </w:rPr>
        <w:t>hare repurchase program and repayments of our debt securities at maturity for the next twelve months and reasonably foreseeable future thereafter. Our total capital expenditures for fiscal 2022 are expected to be approximately $300 million. We anticipate t</w:t>
      </w:r>
      <w:r>
        <w:rPr>
          <w:rFonts w:eastAsia="Times New Roman"/>
          <w:color w:val="000000"/>
          <w:sz w:val="20"/>
          <w:szCs w:val="20"/>
        </w:rPr>
        <w:t>ax payments in fiscal 2022 to be approximately equal to or marginally less than our tax expense for the same period, absent R&amp;D capitalization and subject to adjustment for timing differences. Other than those cash outlays noted in “Material Cash Requireme</w:t>
      </w:r>
      <w:r>
        <w:rPr>
          <w:rFonts w:eastAsia="Times New Roman"/>
          <w:color w:val="000000"/>
          <w:sz w:val="20"/>
          <w:szCs w:val="20"/>
        </w:rPr>
        <w:t>nts” in Item 7. Management’s Discussion and Analysis of Financial Condition and Results of Operations” in our Fiscal 2021 Form 10-K and in the “Material Cash Requirements and Commercial Commitments” section below in this MD&amp;A, capital expenditures, dividen</w:t>
      </w:r>
      <w:r>
        <w:rPr>
          <w:rFonts w:eastAsia="Times New Roman"/>
          <w:color w:val="000000"/>
          <w:sz w:val="20"/>
          <w:szCs w:val="20"/>
        </w:rPr>
        <w:t xml:space="preserve">d payments and repurchases under our share repurchase program, we do not anticipate any significant cash outlays during the remainder of fiscal 2022. </w:t>
      </w:r>
    </w:p>
    <w:p w:rsidR="00000000" w:rsidRDefault="00C9777F">
      <w:pPr>
        <w:ind w:firstLine="360"/>
        <w:divId w:val="1278413356"/>
        <w:rPr>
          <w:rFonts w:eastAsia="Times New Roman"/>
        </w:rPr>
      </w:pPr>
      <w:r>
        <w:rPr>
          <w:rFonts w:eastAsia="Times New Roman"/>
          <w:color w:val="000000"/>
          <w:sz w:val="20"/>
          <w:szCs w:val="20"/>
        </w:rPr>
        <w:t>There can be no assurance that our business will continue to generate cash flows at current levels or tha</w:t>
      </w:r>
      <w:r>
        <w:rPr>
          <w:rFonts w:eastAsia="Times New Roman"/>
          <w:color w:val="000000"/>
          <w:sz w:val="20"/>
          <w:szCs w:val="20"/>
        </w:rPr>
        <w:t>t the cost or availability of future borrowings, if any, under our commercial paper program, or our credit facility or in the debt markets will not be impacted by any potential future credit or capital markets disruptions. If we are unable to maintain cash</w:t>
      </w:r>
      <w:r>
        <w:rPr>
          <w:rFonts w:eastAsia="Times New Roman"/>
          <w:color w:val="000000"/>
          <w:sz w:val="20"/>
          <w:szCs w:val="20"/>
        </w:rPr>
        <w:t xml:space="preserve"> balances, generate cash flow from operations or borrow under our commercial paper program or our credit facility sufficient to service our obligations, we may be required to reduce capital expenditures, reduce or eliminate strategic acquisitions, reduce o</w:t>
      </w:r>
      <w:r>
        <w:rPr>
          <w:rFonts w:eastAsia="Times New Roman"/>
          <w:color w:val="000000"/>
          <w:sz w:val="20"/>
          <w:szCs w:val="20"/>
        </w:rPr>
        <w:t xml:space="preserve">r terminate our share repurchases, reduce or eliminate dividends, refinance all or a portion of our existing debt, obtain additional financing, or sell assets. Our ability to make principal payments or pay interest on or refinance our indebtedness depends </w:t>
      </w:r>
      <w:r>
        <w:rPr>
          <w:rFonts w:eastAsia="Times New Roman"/>
          <w:color w:val="000000"/>
          <w:sz w:val="20"/>
          <w:szCs w:val="20"/>
        </w:rPr>
        <w:t>on our future performance and financial results, which, to a certain extent, are subject to general conditions affecting the defense, government and other markets we serve and to general economic, political, financial, competitive, legislative and regulato</w:t>
      </w:r>
      <w:r>
        <w:rPr>
          <w:rFonts w:eastAsia="Times New Roman"/>
          <w:color w:val="000000"/>
          <w:sz w:val="20"/>
          <w:szCs w:val="20"/>
        </w:rPr>
        <w:t>ry factors beyond our control.</w:t>
      </w:r>
    </w:p>
    <w:p w:rsidR="00000000" w:rsidRDefault="00C9777F">
      <w:pPr>
        <w:ind w:firstLine="360"/>
        <w:divId w:val="1169054792"/>
        <w:rPr>
          <w:rFonts w:eastAsia="Times New Roman"/>
        </w:rPr>
      </w:pPr>
      <w:r>
        <w:rPr>
          <w:rFonts w:eastAsia="Times New Roman"/>
          <w:b/>
          <w:bCs/>
          <w:i/>
          <w:iCs/>
          <w:color w:val="000000"/>
          <w:sz w:val="20"/>
          <w:szCs w:val="20"/>
        </w:rPr>
        <w:t>Net cash provided by operating activities:</w:t>
      </w:r>
      <w:r>
        <w:rPr>
          <w:rFonts w:eastAsia="Times New Roman"/>
          <w:color w:val="000000"/>
          <w:sz w:val="20"/>
          <w:szCs w:val="20"/>
        </w:rPr>
        <w:t> The $489 million decrease in net cash provided by operating activities in the three quarters ended September 30, 2022 compared with the three quarters ended October 1, 2021 was prima</w:t>
      </w:r>
      <w:r>
        <w:rPr>
          <w:rFonts w:eastAsia="Times New Roman"/>
          <w:color w:val="000000"/>
          <w:sz w:val="20"/>
          <w:szCs w:val="20"/>
        </w:rPr>
        <w:t>rily due to a $240 million increase in cash used to pay income taxes, primarily from the impact of R&amp;D related tax policy, a $218 million increase in cash used to fund working capital (i.e., accounts receivable, contract assets, inventories, accounts payab</w:t>
      </w:r>
      <w:r>
        <w:rPr>
          <w:rFonts w:eastAsia="Times New Roman"/>
          <w:color w:val="000000"/>
          <w:sz w:val="20"/>
          <w:szCs w:val="20"/>
        </w:rPr>
        <w:t>le and contract liabilities), a $70 million increase in cash used to fund other accrued items (i.e. other expenses and accruals, payroll related taxes and warranty reserve), partially offset by the impact of $47 million of higher net income (excludes the i</w:t>
      </w:r>
      <w:r>
        <w:rPr>
          <w:rFonts w:eastAsia="Times New Roman"/>
          <w:color w:val="000000"/>
          <w:sz w:val="20"/>
          <w:szCs w:val="20"/>
        </w:rPr>
        <w:t>mpact of non-cash items such as depreciation and amortization, impairment of goodwill and other assets and gains related to business divestitures).</w:t>
      </w:r>
    </w:p>
    <w:p w:rsidR="00000000" w:rsidRDefault="00C9777F">
      <w:pPr>
        <w:ind w:firstLine="360"/>
        <w:divId w:val="1648629674"/>
        <w:rPr>
          <w:rFonts w:eastAsia="Times New Roman"/>
        </w:rPr>
      </w:pPr>
      <w:r>
        <w:rPr>
          <w:rFonts w:eastAsia="Times New Roman"/>
          <w:b/>
          <w:bCs/>
          <w:i/>
          <w:iCs/>
          <w:color w:val="000000"/>
          <w:sz w:val="20"/>
          <w:szCs w:val="20"/>
        </w:rPr>
        <w:t>Net cash (used in) provided by investing activities:</w:t>
      </w:r>
      <w:r>
        <w:rPr>
          <w:rFonts w:eastAsia="Times New Roman"/>
          <w:color w:val="000000"/>
          <w:sz w:val="20"/>
          <w:szCs w:val="20"/>
        </w:rPr>
        <w:t> </w:t>
      </w:r>
      <w:r>
        <w:rPr>
          <w:rFonts w:eastAsia="Times New Roman"/>
          <w:color w:val="000000"/>
          <w:sz w:val="20"/>
          <w:szCs w:val="20"/>
        </w:rPr>
        <w:t>The $1,588 million increase in net cash used in investing activities in the three quarters ended September 30, 2022 compared with the three quarters ended October 1, 2021 was primarily due to a $1,593 million decrease in net cash proceeds from sales of bus</w:t>
      </w:r>
      <w:r>
        <w:rPr>
          <w:rFonts w:eastAsia="Times New Roman"/>
          <w:color w:val="000000"/>
          <w:sz w:val="20"/>
          <w:szCs w:val="20"/>
        </w:rPr>
        <w:t>inesses and a $47 million increase in cash used for equity investments, partially offset by a $18 million increase in proceeds from sale of asset group and a $26 million decrease of net cash used for additions of property, plant and equipment in fiscal 202</w:t>
      </w:r>
      <w:r>
        <w:rPr>
          <w:rFonts w:eastAsia="Times New Roman"/>
          <w:color w:val="000000"/>
          <w:sz w:val="20"/>
          <w:szCs w:val="20"/>
        </w:rPr>
        <w:t>2.</w:t>
      </w:r>
    </w:p>
    <w:p w:rsidR="00000000" w:rsidRDefault="00C9777F">
      <w:pPr>
        <w:ind w:firstLine="360"/>
        <w:divId w:val="1840923924"/>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The $1,847 million decrease in net cash used in financing activities in the three quarters ended September 30, 2022 compared with the three quarters ended October 1, 2021 was primarily due to a $1,975 million decre</w:t>
      </w:r>
      <w:r>
        <w:rPr>
          <w:rFonts w:eastAsia="Times New Roman"/>
          <w:color w:val="000000"/>
          <w:sz w:val="20"/>
          <w:szCs w:val="20"/>
        </w:rPr>
        <w:t>ase in cash used to repurchase our common stock under our share repurchase program, partially offset by a $54 million decrease in proceeds from exercises of employee stock options, a $40 million increase in tax withholding payments associated with vested s</w:t>
      </w:r>
      <w:r>
        <w:rPr>
          <w:rFonts w:eastAsia="Times New Roman"/>
          <w:color w:val="000000"/>
          <w:sz w:val="20"/>
          <w:szCs w:val="20"/>
        </w:rPr>
        <w:t>hare-based awards and a $32 million increase in cash used to pay dividends.</w:t>
      </w:r>
    </w:p>
    <w:p w:rsidR="00000000" w:rsidRDefault="00C9777F">
      <w:pPr>
        <w:divId w:val="786702912"/>
        <w:rPr>
          <w:rFonts w:eastAsia="Times New Roman"/>
        </w:rPr>
      </w:pPr>
      <w:r>
        <w:rPr>
          <w:rFonts w:eastAsia="Times New Roman"/>
          <w:b/>
          <w:bCs/>
          <w:color w:val="000000"/>
          <w:sz w:val="20"/>
          <w:szCs w:val="20"/>
        </w:rPr>
        <w:t>Funding of Pension Plans</w:t>
      </w:r>
    </w:p>
    <w:p w:rsidR="00000000" w:rsidRDefault="00C9777F">
      <w:pPr>
        <w:ind w:firstLine="360"/>
        <w:divId w:val="271212791"/>
        <w:rPr>
          <w:rFonts w:eastAsia="Times New Roman"/>
        </w:rPr>
      </w:pPr>
      <w:r>
        <w:rPr>
          <w:rFonts w:eastAsia="Times New Roman"/>
          <w:color w:val="000000"/>
          <w:sz w:val="20"/>
          <w:szCs w:val="20"/>
        </w:rPr>
        <w:t>Funding requirements under applicable laws and regulations are a major consideration in making contributions to our U.S. pension plans. Although we have si</w:t>
      </w:r>
      <w:r>
        <w:rPr>
          <w:rFonts w:eastAsia="Times New Roman"/>
          <w:color w:val="000000"/>
          <w:sz w:val="20"/>
          <w:szCs w:val="20"/>
        </w:rPr>
        <w:t>gnificant discretion in making voluntary contributions, the Employee Retirement Income Security Act of 1974, as amended by the Pension Protection Act of 2006 and further amended by the Worker, Retiree, and Employer Recovery Act of 2008, the Moving Ahead fo</w:t>
      </w:r>
      <w:r>
        <w:rPr>
          <w:rFonts w:eastAsia="Times New Roman"/>
          <w:color w:val="000000"/>
          <w:sz w:val="20"/>
          <w:szCs w:val="20"/>
        </w:rPr>
        <w:t>r Progress in the 21st Century Act (“MAP-21”), and applicable Internal Revenue Code regulations, mandate minimum funding thresholds. The Highway and Transportation Funding Act of 2014, the Bipartisan Budget Act of 2015, the American Rescue Plan Act of 2021</w:t>
      </w:r>
      <w:r>
        <w:rPr>
          <w:rFonts w:eastAsia="Times New Roman"/>
          <w:color w:val="000000"/>
          <w:sz w:val="20"/>
          <w:szCs w:val="20"/>
        </w:rPr>
        <w:t xml:space="preserve"> and the Infrastructure Investment and Jobs Act further extended the interest rate stabilization provision of MAP-21. Failure to satisfy the minimum funding thresholds could result in restrictions on our ability to amend the plans or make benefit payments.</w:t>
      </w:r>
      <w:r>
        <w:rPr>
          <w:rFonts w:eastAsia="Times New Roman"/>
          <w:color w:val="000000"/>
          <w:sz w:val="20"/>
          <w:szCs w:val="20"/>
        </w:rPr>
        <w:t xml:space="preserve"> With respect to our U.S. qualified defined benefit pension plans, we intend to contribute annually no less than the required minimum funding thresholds. As a result of prior voluntary contributions and plan performance, we are not required to make any con</w:t>
      </w:r>
      <w:r>
        <w:rPr>
          <w:rFonts w:eastAsia="Times New Roman"/>
          <w:color w:val="000000"/>
          <w:sz w:val="20"/>
          <w:szCs w:val="20"/>
        </w:rPr>
        <w:t>tributions to our U.S. qualified defined benefit pension plans in fiscal 2022 and for several years thereafter.</w:t>
      </w:r>
    </w:p>
    <w:p w:rsidR="00000000" w:rsidRDefault="00C9777F">
      <w:pPr>
        <w:ind w:firstLine="360"/>
        <w:divId w:val="2084719996"/>
        <w:rPr>
          <w:rFonts w:eastAsia="Times New Roman"/>
        </w:rPr>
      </w:pPr>
      <w:r>
        <w:rPr>
          <w:rFonts w:eastAsia="Times New Roman"/>
          <w:color w:val="000000"/>
          <w:sz w:val="20"/>
          <w:szCs w:val="20"/>
        </w:rPr>
        <w:t>Future required contributions primarily will depend on the actual annual return on assets and the discount rate used to measure the benefit obli</w:t>
      </w:r>
      <w:r>
        <w:rPr>
          <w:rFonts w:eastAsia="Times New Roman"/>
          <w:color w:val="000000"/>
          <w:sz w:val="20"/>
          <w:szCs w:val="20"/>
        </w:rPr>
        <w:t>gation at the end of each year. Depending on these factors, and the resulting funded status of our pension plans, the level of future statutory required minimum contributions could be material. We had net unfunded defined benefit plan obligations of $346 m</w:t>
      </w:r>
      <w:r>
        <w:rPr>
          <w:rFonts w:eastAsia="Times New Roman"/>
          <w:color w:val="000000"/>
          <w:sz w:val="20"/>
          <w:szCs w:val="20"/>
        </w:rPr>
        <w:t xml:space="preserve">illion as of September 30, 2022. See </w:t>
      </w:r>
      <w:r>
        <w:rPr>
          <w:rFonts w:eastAsia="Times New Roman"/>
          <w:i/>
          <w:iCs/>
          <w:color w:val="000000"/>
          <w:sz w:val="20"/>
          <w:szCs w:val="20"/>
        </w:rPr>
        <w:t>Note 14: “Pension and Other Postretirement Benefits”</w:t>
      </w:r>
      <w:r>
        <w:rPr>
          <w:rFonts w:eastAsia="Times New Roman"/>
          <w:color w:val="000000"/>
          <w:sz w:val="20"/>
          <w:szCs w:val="20"/>
        </w:rPr>
        <w:t xml:space="preserve"> in the Notes to Consolidated Financial Statements in our Fiscal 2021 Form 10-K and </w:t>
      </w:r>
      <w:r>
        <w:rPr>
          <w:rFonts w:eastAsia="Times New Roman"/>
          <w:i/>
          <w:iCs/>
          <w:color w:val="000000"/>
          <w:sz w:val="20"/>
          <w:szCs w:val="20"/>
        </w:rPr>
        <w:t>Note L — Postretirement Benefit Plans</w:t>
      </w:r>
      <w:r>
        <w:rPr>
          <w:rFonts w:eastAsia="Times New Roman"/>
          <w:color w:val="000000"/>
          <w:sz w:val="20"/>
          <w:szCs w:val="20"/>
        </w:rPr>
        <w:t xml:space="preserve"> in the Notes for further information regardin</w:t>
      </w:r>
      <w:r>
        <w:rPr>
          <w:rFonts w:eastAsia="Times New Roman"/>
          <w:color w:val="000000"/>
          <w:sz w:val="20"/>
          <w:szCs w:val="20"/>
        </w:rPr>
        <w:t>g our pension plans.</w:t>
      </w:r>
    </w:p>
    <w:p w:rsidR="00000000" w:rsidRDefault="00C9777F">
      <w:pPr>
        <w:ind w:firstLine="360"/>
        <w:jc w:val="center"/>
        <w:divId w:val="442306987"/>
        <w:rPr>
          <w:rFonts w:eastAsia="Times New Roman"/>
        </w:rPr>
      </w:pPr>
      <w:r>
        <w:rPr>
          <w:rFonts w:eastAsia="Times New Roman"/>
          <w:color w:val="000000"/>
          <w:sz w:val="20"/>
          <w:szCs w:val="20"/>
        </w:rPr>
        <w:t>27</w:t>
      </w:r>
    </w:p>
    <w:p w:rsidR="00000000" w:rsidRDefault="00C9777F">
      <w:pPr>
        <w:rPr>
          <w:rFonts w:eastAsia="Times New Roman"/>
        </w:rPr>
      </w:pPr>
      <w:r>
        <w:rPr>
          <w:rFonts w:eastAsia="Times New Roman"/>
        </w:rPr>
        <w:pict>
          <v:rect id="_x0000_i1054" style="width:0;height:1.5pt" o:hralign="center" o:hrstd="t" o:hr="t" fillcolor="#a0a0a0" stroked="f"/>
        </w:pict>
      </w:r>
    </w:p>
    <w:p w:rsidR="00000000" w:rsidRDefault="00C9777F">
      <w:pPr>
        <w:ind w:firstLine="360"/>
        <w:divId w:val="1152983808"/>
        <w:rPr>
          <w:rFonts w:eastAsia="Times New Roman"/>
        </w:rPr>
      </w:pPr>
    </w:p>
    <w:p w:rsidR="00000000" w:rsidRDefault="00C9777F">
      <w:pPr>
        <w:divId w:val="3099784"/>
        <w:rPr>
          <w:rFonts w:eastAsia="Times New Roman"/>
        </w:rPr>
      </w:pPr>
      <w:r>
        <w:rPr>
          <w:rFonts w:eastAsia="Times New Roman"/>
          <w:b/>
          <w:bCs/>
          <w:color w:val="000000"/>
          <w:sz w:val="20"/>
          <w:szCs w:val="20"/>
        </w:rPr>
        <w:t xml:space="preserve">Common Stock Repurchases </w:t>
      </w:r>
    </w:p>
    <w:p w:rsidR="00000000" w:rsidRDefault="00C9777F">
      <w:pPr>
        <w:ind w:firstLine="360"/>
        <w:divId w:val="262229051"/>
        <w:rPr>
          <w:rFonts w:eastAsia="Times New Roman"/>
        </w:rPr>
      </w:pPr>
      <w:r>
        <w:rPr>
          <w:rFonts w:eastAsia="Times New Roman"/>
          <w:color w:val="000000"/>
          <w:sz w:val="20"/>
          <w:szCs w:val="20"/>
        </w:rPr>
        <w:t>During the three quarters ended September 30, 2022, we used $900 million to repurchase 3.9 million shares of our common stock under our share repurchase program at an a</w:t>
      </w:r>
      <w:r>
        <w:rPr>
          <w:rFonts w:eastAsia="Times New Roman"/>
          <w:color w:val="000000"/>
          <w:sz w:val="20"/>
          <w:szCs w:val="20"/>
        </w:rPr>
        <w:t>verage price per share of $233.77, including commissions of $0.02 per share. During the three quarters ended October 1, 2021, we used $2.88 billion to repurchase 13.5 million shares of our common stock under our share repurchase program at an average price</w:t>
      </w:r>
      <w:r>
        <w:rPr>
          <w:rFonts w:eastAsia="Times New Roman"/>
          <w:color w:val="000000"/>
          <w:sz w:val="20"/>
          <w:szCs w:val="20"/>
        </w:rPr>
        <w:t xml:space="preserve"> per share of $213.47, including commissions of $0.02 per share. During the three quarters ended September 30, 2022 and October 1, 2021, $44 million and $4 million, respectively, in shares of our common stock were delivered to us or withheld by us to satis</w:t>
      </w:r>
      <w:r>
        <w:rPr>
          <w:rFonts w:eastAsia="Times New Roman"/>
          <w:color w:val="000000"/>
          <w:sz w:val="20"/>
          <w:szCs w:val="20"/>
        </w:rPr>
        <w:t xml:space="preserve">fy withholding taxes on employee share-based awards. Shares repurchased by us are cancelled and retired. </w:t>
      </w:r>
    </w:p>
    <w:p w:rsidR="00000000" w:rsidRDefault="00C9777F">
      <w:pPr>
        <w:ind w:firstLine="360"/>
        <w:divId w:val="537476080"/>
        <w:rPr>
          <w:rFonts w:eastAsia="Times New Roman"/>
        </w:rPr>
      </w:pPr>
      <w:r>
        <w:rPr>
          <w:rFonts w:eastAsia="Times New Roman"/>
          <w:color w:val="000000"/>
          <w:sz w:val="20"/>
          <w:szCs w:val="20"/>
        </w:rPr>
        <w:t>On January 28, 2021, we announced that our Board of Directors approved a new $6 billion share repurchase authorization under our share repurchase prog</w:t>
      </w:r>
      <w:r>
        <w:rPr>
          <w:rFonts w:eastAsia="Times New Roman"/>
          <w:color w:val="000000"/>
          <w:sz w:val="20"/>
          <w:szCs w:val="20"/>
        </w:rPr>
        <w:t>ram that was in addition to the remaining unused authorization of $210 million at January 1, 2021, under our prior share repurchase program, for a total unused authorization of $6.2 billion. Our share repurchase program does not have a stated expiration. A</w:t>
      </w:r>
      <w:r>
        <w:rPr>
          <w:rFonts w:eastAsia="Times New Roman"/>
          <w:color w:val="000000"/>
          <w:sz w:val="20"/>
          <w:szCs w:val="20"/>
        </w:rPr>
        <w:t xml:space="preserve">t September 30, 2022, we had a remaining unused authorization under our share repurchase program of $1.6 billion. On October 21, 2022, we announced that our Board of Directors approved an additional $3.0 billion share repurchase authorization. Repurchases </w:t>
      </w:r>
      <w:r>
        <w:rPr>
          <w:rFonts w:eastAsia="Times New Roman"/>
          <w:color w:val="000000"/>
          <w:sz w:val="20"/>
          <w:szCs w:val="20"/>
        </w:rPr>
        <w:t xml:space="preserve">under our share repurchase program may be made through open-market transactions, private transactions, transactions structured through investment banking institutions or any combination thereof. The level of our repurchases depends on a number of factors, </w:t>
      </w:r>
      <w:r>
        <w:rPr>
          <w:rFonts w:eastAsia="Times New Roman"/>
          <w:color w:val="000000"/>
          <w:sz w:val="20"/>
          <w:szCs w:val="20"/>
        </w:rPr>
        <w:t>including our financial condition, capital requirements, cash flows, results of operations, future business prospects and other factors our Board and management may deem relevant. The timing, volume and nature of repurchases are subject to market condition</w:t>
      </w:r>
      <w:r>
        <w:rPr>
          <w:rFonts w:eastAsia="Times New Roman"/>
          <w:color w:val="000000"/>
          <w:sz w:val="20"/>
          <w:szCs w:val="20"/>
        </w:rPr>
        <w:t>s, applicable securities laws and other factors and are at our discretion and may be suspended or discontinued at any time. Additional information regarding our current share repurchase program is set forth in this Report under Part II, Item 2. “Unregister</w:t>
      </w:r>
      <w:r>
        <w:rPr>
          <w:rFonts w:eastAsia="Times New Roman"/>
          <w:color w:val="000000"/>
          <w:sz w:val="20"/>
          <w:szCs w:val="20"/>
        </w:rPr>
        <w:t>ed Sales of Equity Securities and Use of Proceeds.”</w:t>
      </w:r>
    </w:p>
    <w:p w:rsidR="00000000" w:rsidRDefault="00C9777F">
      <w:pPr>
        <w:divId w:val="58408002"/>
        <w:rPr>
          <w:rFonts w:eastAsia="Times New Roman"/>
        </w:rPr>
      </w:pPr>
      <w:r>
        <w:rPr>
          <w:rFonts w:eastAsia="Times New Roman"/>
          <w:b/>
          <w:bCs/>
          <w:color w:val="000000"/>
          <w:sz w:val="20"/>
          <w:szCs w:val="20"/>
        </w:rPr>
        <w:t>Dividends</w:t>
      </w:r>
    </w:p>
    <w:p w:rsidR="00000000" w:rsidRDefault="00C9777F">
      <w:pPr>
        <w:ind w:firstLine="360"/>
        <w:divId w:val="955139668"/>
        <w:rPr>
          <w:rFonts w:eastAsia="Times New Roman"/>
        </w:rPr>
      </w:pPr>
      <w:r>
        <w:rPr>
          <w:rFonts w:eastAsia="Times New Roman"/>
          <w:color w:val="000000"/>
          <w:sz w:val="20"/>
          <w:szCs w:val="20"/>
        </w:rPr>
        <w:t>On February 25, 2022, our Board of Directors increased the quarterly per share cash dividend rate on our common stock from $1.02 to $1.12,</w:t>
      </w:r>
      <w:r>
        <w:rPr>
          <w:rFonts w:eastAsia="Times New Roman"/>
          <w:color w:val="FF0000"/>
          <w:sz w:val="20"/>
          <w:szCs w:val="20"/>
        </w:rPr>
        <w:t xml:space="preserve"> </w:t>
      </w:r>
      <w:r>
        <w:rPr>
          <w:rFonts w:eastAsia="Times New Roman"/>
          <w:color w:val="000000"/>
          <w:sz w:val="20"/>
          <w:szCs w:val="20"/>
        </w:rPr>
        <w:t>commencing with the dividend declared by our Board of D</w:t>
      </w:r>
      <w:r>
        <w:rPr>
          <w:rFonts w:eastAsia="Times New Roman"/>
          <w:color w:val="000000"/>
          <w:sz w:val="20"/>
          <w:szCs w:val="20"/>
        </w:rPr>
        <w:t>irectors for the first quarter of fiscal 2022, for an annualized per share cash dividend rate</w:t>
      </w:r>
      <w:r>
        <w:rPr>
          <w:rFonts w:eastAsia="Times New Roman"/>
          <w:color w:val="FF0000"/>
          <w:sz w:val="20"/>
          <w:szCs w:val="20"/>
        </w:rPr>
        <w:t xml:space="preserve"> </w:t>
      </w:r>
      <w:r>
        <w:rPr>
          <w:rFonts w:eastAsia="Times New Roman"/>
          <w:color w:val="000000"/>
          <w:sz w:val="20"/>
          <w:szCs w:val="20"/>
        </w:rPr>
        <w:t xml:space="preserve">of $4.48, which was our twenty-first consecutive annual increase in our quarterly cash dividend rate. Quarterly cash dividends are typically paid in March, June, </w:t>
      </w:r>
      <w:r>
        <w:rPr>
          <w:rFonts w:eastAsia="Times New Roman"/>
          <w:color w:val="000000"/>
          <w:sz w:val="20"/>
          <w:szCs w:val="20"/>
        </w:rPr>
        <w:t>September and December. We paid $650 million in cash dividends during the three quarters ended September 30, 2022. We currently expect that cash dividends will continue to be paid in the near future, but we can give no assurances concerning payment of futu</w:t>
      </w:r>
      <w:r>
        <w:rPr>
          <w:rFonts w:eastAsia="Times New Roman"/>
          <w:color w:val="000000"/>
          <w:sz w:val="20"/>
          <w:szCs w:val="20"/>
        </w:rPr>
        <w:t>re dividends or future dividend increases</w:t>
      </w:r>
      <w:r>
        <w:rPr>
          <w:rFonts w:eastAsia="Times New Roman"/>
          <w:color w:val="FF0000"/>
          <w:sz w:val="20"/>
          <w:szCs w:val="20"/>
        </w:rPr>
        <w:t xml:space="preserve">. </w:t>
      </w:r>
      <w:r>
        <w:rPr>
          <w:rFonts w:eastAsia="Times New Roman"/>
          <w:color w:val="000000"/>
          <w:sz w:val="20"/>
          <w:szCs w:val="20"/>
        </w:rPr>
        <w:t>The declaration of dividends and the amount thereof will depend on a number of factors, including our financial condition, capital requirements, cash flows, results of operations, future business prospects and oth</w:t>
      </w:r>
      <w:r>
        <w:rPr>
          <w:rFonts w:eastAsia="Times New Roman"/>
          <w:color w:val="000000"/>
          <w:sz w:val="20"/>
          <w:szCs w:val="20"/>
        </w:rPr>
        <w:t>er factors our Board of Directors may deem relevant.</w:t>
      </w:r>
    </w:p>
    <w:p w:rsidR="00000000" w:rsidRDefault="00C9777F">
      <w:pPr>
        <w:divId w:val="489561517"/>
        <w:rPr>
          <w:rFonts w:eastAsia="Times New Roman"/>
        </w:rPr>
      </w:pPr>
      <w:r>
        <w:rPr>
          <w:rFonts w:eastAsia="Times New Roman"/>
          <w:b/>
          <w:bCs/>
          <w:color w:val="000000"/>
          <w:sz w:val="20"/>
          <w:szCs w:val="20"/>
        </w:rPr>
        <w:t>Capital Structure and Resources</w:t>
      </w:r>
    </w:p>
    <w:p w:rsidR="00000000" w:rsidRDefault="00C9777F">
      <w:pPr>
        <w:ind w:firstLine="360"/>
        <w:divId w:val="45421167"/>
        <w:rPr>
          <w:rFonts w:eastAsia="Times New Roman"/>
        </w:rPr>
      </w:pPr>
      <w:r>
        <w:rPr>
          <w:rFonts w:eastAsia="Times New Roman"/>
          <w:b/>
          <w:bCs/>
          <w:i/>
          <w:iCs/>
          <w:color w:val="000000"/>
          <w:sz w:val="20"/>
          <w:szCs w:val="20"/>
        </w:rPr>
        <w:t>Credit Agreement:</w:t>
      </w:r>
      <w:r>
        <w:rPr>
          <w:rFonts w:eastAsia="Times New Roman"/>
          <w:color w:val="000000"/>
          <w:sz w:val="20"/>
          <w:szCs w:val="20"/>
        </w:rPr>
        <w:t> On July 29, 2022, we established our new $2 billion, 5-year senior unsecured 2022 Credit Facility under the 2022 Credit Agreement with a syndicate of len</w:t>
      </w:r>
      <w:r>
        <w:rPr>
          <w:rFonts w:eastAsia="Times New Roman"/>
          <w:color w:val="000000"/>
          <w:sz w:val="20"/>
          <w:szCs w:val="20"/>
        </w:rPr>
        <w:t xml:space="preserve">ders. For a description of the 2022 Credit Facility and the 2022 Credit Agreement, see </w:t>
      </w:r>
      <w:r>
        <w:rPr>
          <w:rFonts w:eastAsia="Times New Roman"/>
          <w:i/>
          <w:iCs/>
          <w:color w:val="000000"/>
          <w:sz w:val="20"/>
          <w:szCs w:val="20"/>
        </w:rPr>
        <w:t>Note K— Credit Arrangements</w:t>
      </w:r>
      <w:r>
        <w:rPr>
          <w:rFonts w:eastAsia="Times New Roman"/>
          <w:color w:val="000000"/>
          <w:sz w:val="20"/>
          <w:szCs w:val="20"/>
        </w:rPr>
        <w:t xml:space="preserve"> in the Notes.</w:t>
      </w:r>
    </w:p>
    <w:p w:rsidR="00000000" w:rsidRDefault="00C9777F">
      <w:pPr>
        <w:ind w:firstLine="360"/>
        <w:divId w:val="1162549882"/>
        <w:rPr>
          <w:rFonts w:eastAsia="Times New Roman"/>
        </w:rPr>
      </w:pPr>
      <w:r>
        <w:rPr>
          <w:rFonts w:eastAsia="Times New Roman"/>
          <w:color w:val="000000"/>
          <w:sz w:val="20"/>
          <w:szCs w:val="20"/>
        </w:rPr>
        <w:t>We were in compliance with all covenants under the 2022 Credit Agreement at September 30, 2022, including the covenant requirin</w:t>
      </w:r>
      <w:r>
        <w:rPr>
          <w:rFonts w:eastAsia="Times New Roman"/>
          <w:color w:val="000000"/>
          <w:sz w:val="20"/>
          <w:szCs w:val="20"/>
        </w:rPr>
        <w:t>g that we not permit our ratio of consolidated total indebtedness to total capital, each as defined in the 2022 Credit Agreement, to be greater than 0.65 to 1.00. At September 30, 2022, we had no borrowings outstanding under the 2022 Credit Agreement.</w:t>
      </w:r>
    </w:p>
    <w:p w:rsidR="00000000" w:rsidRDefault="00C9777F">
      <w:pPr>
        <w:ind w:firstLine="360"/>
        <w:divId w:val="995036179"/>
        <w:rPr>
          <w:rFonts w:eastAsia="Times New Roman"/>
        </w:rPr>
      </w:pPr>
      <w:r>
        <w:rPr>
          <w:rFonts w:eastAsia="Times New Roman"/>
          <w:b/>
          <w:bCs/>
          <w:i/>
          <w:iCs/>
          <w:color w:val="000000"/>
          <w:sz w:val="20"/>
          <w:szCs w:val="20"/>
        </w:rPr>
        <w:t>Long</w:t>
      </w:r>
      <w:r>
        <w:rPr>
          <w:rFonts w:eastAsia="Times New Roman"/>
          <w:b/>
          <w:bCs/>
          <w:i/>
          <w:iCs/>
          <w:color w:val="000000"/>
          <w:sz w:val="20"/>
          <w:szCs w:val="20"/>
        </w:rPr>
        <w:t>-Term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13: “Debt”</w:t>
      </w:r>
      <w:r>
        <w:rPr>
          <w:rFonts w:eastAsia="Times New Roman"/>
          <w:color w:val="000000"/>
          <w:sz w:val="20"/>
          <w:szCs w:val="20"/>
        </w:rPr>
        <w:t xml:space="preserve"> in the Notes to Consolidated Financial Statements in our Fiscal 2021 Form 10-K.</w:t>
      </w:r>
    </w:p>
    <w:p w:rsidR="00000000" w:rsidRDefault="00C9777F">
      <w:pPr>
        <w:ind w:firstLine="360"/>
        <w:divId w:val="861556506"/>
        <w:rPr>
          <w:rFonts w:eastAsia="Times New Roman"/>
        </w:rPr>
      </w:pPr>
      <w:r>
        <w:rPr>
          <w:rFonts w:eastAsia="Times New Roman"/>
          <w:b/>
          <w:bCs/>
          <w:i/>
          <w:iCs/>
          <w:color w:val="000000"/>
          <w:sz w:val="20"/>
          <w:szCs w:val="20"/>
        </w:rPr>
        <w:t>Short-Term Debt:</w:t>
      </w:r>
      <w:r>
        <w:rPr>
          <w:rFonts w:eastAsia="Times New Roman"/>
          <w:color w:val="000000"/>
          <w:sz w:val="20"/>
          <w:szCs w:val="20"/>
        </w:rPr>
        <w:t xml:space="preserve"> Our short-term debt was $2 million at September 30, 2022 </w:t>
      </w:r>
      <w:r>
        <w:rPr>
          <w:rFonts w:eastAsia="Times New Roman"/>
          <w:color w:val="000000"/>
          <w:sz w:val="20"/>
          <w:szCs w:val="20"/>
        </w:rPr>
        <w:t xml:space="preserve">and $2 million at December 31, 2021, consisting of local borrowing by international subsidiaries for working capital needs. </w:t>
      </w:r>
    </w:p>
    <w:p w:rsidR="00000000" w:rsidRDefault="00C9777F">
      <w:pPr>
        <w:ind w:firstLine="360"/>
        <w:divId w:val="654770364"/>
        <w:rPr>
          <w:rFonts w:eastAsia="Times New Roman"/>
        </w:rPr>
      </w:pPr>
      <w:r>
        <w:rPr>
          <w:rFonts w:eastAsia="Times New Roman"/>
          <w:b/>
          <w:bCs/>
          <w:i/>
          <w:iCs/>
          <w:color w:val="000000"/>
          <w:sz w:val="20"/>
          <w:szCs w:val="20"/>
        </w:rPr>
        <w:t>Other Agreements:</w:t>
      </w:r>
      <w:r>
        <w:rPr>
          <w:rFonts w:eastAsia="Times New Roman"/>
          <w:color w:val="000000"/>
          <w:sz w:val="20"/>
          <w:szCs w:val="20"/>
        </w:rPr>
        <w:t xml:space="preserve"> We have two RSAs with two separate third-party financial institutions that permit us to sell, on a non-recourse b</w:t>
      </w:r>
      <w:r>
        <w:rPr>
          <w:rFonts w:eastAsia="Times New Roman"/>
          <w:color w:val="000000"/>
          <w:sz w:val="20"/>
          <w:szCs w:val="20"/>
        </w:rPr>
        <w:t xml:space="preserve">asis, up to an aggregate of $100 million of outstanding receivables at any given time. From time to time, we have sold certain customer receivables under the RSAs, which we continue to service and collect on behalf of the third-party financial institution </w:t>
      </w:r>
      <w:r>
        <w:rPr>
          <w:rFonts w:eastAsia="Times New Roman"/>
          <w:color w:val="000000"/>
          <w:sz w:val="20"/>
          <w:szCs w:val="20"/>
        </w:rPr>
        <w:t xml:space="preserve">and we account for as sales of receivables with sale proceeds included in net cash from operating activities. We did not have outstanding accounts receivable sold pursuant to the RSAs at September 30, 2022. Outstanding accounts receivable sold pursuant to </w:t>
      </w:r>
      <w:r>
        <w:rPr>
          <w:rFonts w:eastAsia="Times New Roman"/>
          <w:color w:val="000000"/>
          <w:sz w:val="20"/>
          <w:szCs w:val="20"/>
        </w:rPr>
        <w:t>the RSAs were $99.9 million at December 31, 2021, with net cash proceeds of $99.8 million.</w:t>
      </w:r>
    </w:p>
    <w:p w:rsidR="00000000" w:rsidRDefault="00C9777F">
      <w:pPr>
        <w:divId w:val="659038819"/>
        <w:rPr>
          <w:rFonts w:eastAsia="Times New Roman"/>
        </w:rPr>
      </w:pPr>
      <w:r>
        <w:rPr>
          <w:rFonts w:eastAsia="Times New Roman"/>
          <w:b/>
          <w:bCs/>
          <w:color w:val="000000"/>
          <w:sz w:val="20"/>
          <w:szCs w:val="20"/>
        </w:rPr>
        <w:t xml:space="preserve">Material Cash Requirements and Commercial Commitments </w:t>
      </w:r>
    </w:p>
    <w:p w:rsidR="00000000" w:rsidRDefault="00C9777F">
      <w:pPr>
        <w:ind w:firstLine="360"/>
        <w:divId w:val="930629268"/>
        <w:rPr>
          <w:rFonts w:eastAsia="Times New Roman"/>
        </w:rPr>
      </w:pPr>
      <w:r>
        <w:rPr>
          <w:rFonts w:eastAsia="Times New Roman"/>
          <w:color w:val="000000"/>
          <w:sz w:val="20"/>
          <w:szCs w:val="20"/>
        </w:rPr>
        <w:t xml:space="preserve">The amounts disclosed in our Fiscal 2021 Form 10-K include our material cash requirements and commercial commitments. There were no material changes during the three quarters ended September 30, 2022 in our material cash requirements from contractual cash </w:t>
      </w:r>
      <w:r>
        <w:rPr>
          <w:rFonts w:eastAsia="Times New Roman"/>
          <w:color w:val="000000"/>
          <w:sz w:val="20"/>
          <w:szCs w:val="20"/>
        </w:rPr>
        <w:t xml:space="preserve">obligations to repay debt, to purchase goods and services, to make payments under operating leases or our </w:t>
      </w:r>
    </w:p>
    <w:p w:rsidR="00000000" w:rsidRDefault="00C9777F">
      <w:pPr>
        <w:ind w:firstLine="360"/>
        <w:jc w:val="center"/>
        <w:divId w:val="1031878424"/>
        <w:rPr>
          <w:rFonts w:eastAsia="Times New Roman"/>
        </w:rPr>
      </w:pPr>
      <w:r>
        <w:rPr>
          <w:rFonts w:eastAsia="Times New Roman"/>
          <w:color w:val="000000"/>
          <w:sz w:val="20"/>
          <w:szCs w:val="20"/>
        </w:rPr>
        <w:t>28</w:t>
      </w:r>
    </w:p>
    <w:p w:rsidR="00000000" w:rsidRDefault="00C9777F">
      <w:pPr>
        <w:rPr>
          <w:rFonts w:eastAsia="Times New Roman"/>
        </w:rPr>
      </w:pPr>
      <w:r>
        <w:rPr>
          <w:rFonts w:eastAsia="Times New Roman"/>
        </w:rPr>
        <w:pict>
          <v:rect id="_x0000_i1055" style="width:0;height:1.5pt" o:hralign="center" o:hrstd="t" o:hr="t" fillcolor="#a0a0a0" stroked="f"/>
        </w:pict>
      </w:r>
    </w:p>
    <w:p w:rsidR="00000000" w:rsidRDefault="00C9777F">
      <w:pPr>
        <w:ind w:firstLine="360"/>
        <w:divId w:val="1049184009"/>
        <w:rPr>
          <w:rFonts w:eastAsia="Times New Roman"/>
        </w:rPr>
      </w:pPr>
    </w:p>
    <w:p w:rsidR="00000000" w:rsidRDefault="00C9777F">
      <w:pPr>
        <w:divId w:val="875386252"/>
        <w:rPr>
          <w:rFonts w:eastAsia="Times New Roman"/>
        </w:rPr>
      </w:pPr>
      <w:r>
        <w:rPr>
          <w:rFonts w:eastAsia="Times New Roman"/>
          <w:color w:val="000000"/>
          <w:sz w:val="20"/>
          <w:szCs w:val="20"/>
        </w:rPr>
        <w:t>commercial commitments, or in our contingent liabilities on outstanding surety bonds, standby letters of cre</w:t>
      </w:r>
      <w:r>
        <w:rPr>
          <w:rFonts w:eastAsia="Times New Roman"/>
          <w:color w:val="000000"/>
          <w:sz w:val="20"/>
          <w:szCs w:val="20"/>
        </w:rPr>
        <w:t>dit or other arrangements as disclosed in our Fiscal 2021 Form 10-K.</w:t>
      </w:r>
    </w:p>
    <w:p w:rsidR="00000000" w:rsidRDefault="00C9777F">
      <w:pPr>
        <w:ind w:firstLine="360"/>
        <w:divId w:val="215820637"/>
        <w:rPr>
          <w:rFonts w:eastAsia="Times New Roman"/>
        </w:rPr>
      </w:pPr>
      <w:r>
        <w:rPr>
          <w:rFonts w:eastAsia="Times New Roman"/>
          <w:color w:val="000000"/>
          <w:sz w:val="20"/>
          <w:szCs w:val="20"/>
        </w:rPr>
        <w:t>On October 3, 2022, we entered into a definitive agreement to acquire Viasat, Inc.’s TDL product line for a purchase price of approximately $1.96 billion, subject to customary adjustments</w:t>
      </w:r>
      <w:r>
        <w:rPr>
          <w:rFonts w:eastAsia="Times New Roman"/>
          <w:color w:val="000000"/>
          <w:sz w:val="20"/>
          <w:szCs w:val="20"/>
        </w:rPr>
        <w:t>. We plan to fund the acquisition of the TDL product line with debt financing, which may include amounts under the 2022 Credit Facility, new issuances of long or short term debt or other sources we may identify. The acquisition of the TDL product line is e</w:t>
      </w:r>
      <w:r>
        <w:rPr>
          <w:rFonts w:eastAsia="Times New Roman"/>
          <w:color w:val="000000"/>
          <w:sz w:val="20"/>
          <w:szCs w:val="20"/>
        </w:rPr>
        <w:t>xpected to close in the first half of 2023, subject to required regulatory approvals and clearances and other customary closing conditions, although we can give no assurances regarding the timing or occurrence of closing.</w:t>
      </w:r>
    </w:p>
    <w:p w:rsidR="00000000" w:rsidRDefault="00C9777F">
      <w:pPr>
        <w:divId w:val="2032685646"/>
        <w:rPr>
          <w:rFonts w:eastAsia="Times New Roman"/>
        </w:rPr>
      </w:pPr>
      <w:r>
        <w:rPr>
          <w:rFonts w:eastAsia="Times New Roman"/>
          <w:b/>
          <w:bCs/>
          <w:color w:val="000000"/>
          <w:sz w:val="20"/>
          <w:szCs w:val="20"/>
        </w:rPr>
        <w:t>CRITICAL ACCOUNTING POLICIES AND ESTIMATES</w:t>
      </w:r>
    </w:p>
    <w:p w:rsidR="00000000" w:rsidRDefault="00C9777F">
      <w:pPr>
        <w:ind w:firstLine="360"/>
        <w:divId w:val="176122983"/>
        <w:rPr>
          <w:rFonts w:eastAsia="Times New Roman"/>
        </w:rPr>
      </w:pPr>
      <w:r>
        <w:rPr>
          <w:rFonts w:eastAsia="Times New Roman"/>
          <w:color w:val="000000"/>
          <w:sz w:val="20"/>
          <w:szCs w:val="20"/>
        </w:rPr>
        <w:t>Our Condensed Consolidated Financial Statements (Unaudited) and accompanying Notes are prepared in accordance with GAAP. Preparing financial statements requires us to make estimates and assumptions that affect the</w:t>
      </w:r>
      <w:r>
        <w:rPr>
          <w:rFonts w:eastAsia="Times New Roman"/>
          <w:color w:val="000000"/>
          <w:sz w:val="20"/>
          <w:szCs w:val="20"/>
        </w:rPr>
        <w:t xml:space="preserve"> reported amounts of assets, liabilities, revenue, expenses and backlog as well as disclosures of contingent assets and liabilities. Actual results may differ from our estimates. These estimates and assumptions are affected by the application of our accoun</w:t>
      </w:r>
      <w:r>
        <w:rPr>
          <w:rFonts w:eastAsia="Times New Roman"/>
          <w:color w:val="000000"/>
          <w:sz w:val="20"/>
          <w:szCs w:val="20"/>
        </w:rPr>
        <w:t>ting policies. Critical accounting policies and estimates are those that require application of management’s most difficult, subjective or complex judgments, often as a result of matters that are inherently uncertain and may change in subsequent periods. C</w:t>
      </w:r>
      <w:r>
        <w:rPr>
          <w:rFonts w:eastAsia="Times New Roman"/>
          <w:color w:val="000000"/>
          <w:sz w:val="20"/>
          <w:szCs w:val="20"/>
        </w:rPr>
        <w:t xml:space="preserve">ritical accounting policies and estimates for us include: (i) revenue recognition on contracts and contract estimates; (ii) postretirement benefit plans; (iii) impairment testing of goodwill; (iv) accounting for business combinations; and (v) income taxes </w:t>
      </w:r>
      <w:r>
        <w:rPr>
          <w:rFonts w:eastAsia="Times New Roman"/>
          <w:color w:val="000000"/>
          <w:sz w:val="20"/>
          <w:szCs w:val="20"/>
        </w:rPr>
        <w:t>and tax valuation allowances. For additional discussion of our critical accounting policies and estimates, see “Critical Accounting Policies and Estimates” in Item 7. “Management’s Discussion and Analysis of Financial Condition and Results of Operations” i</w:t>
      </w:r>
      <w:r>
        <w:rPr>
          <w:rFonts w:eastAsia="Times New Roman"/>
          <w:color w:val="000000"/>
          <w:sz w:val="20"/>
          <w:szCs w:val="20"/>
        </w:rPr>
        <w:t>n our Fiscal 2021 Form 10-K.</w:t>
      </w:r>
    </w:p>
    <w:p w:rsidR="00000000" w:rsidRDefault="00C9777F">
      <w:pPr>
        <w:divId w:val="1133018564"/>
        <w:rPr>
          <w:rFonts w:eastAsia="Times New Roman"/>
        </w:rPr>
      </w:pPr>
      <w:r>
        <w:rPr>
          <w:rFonts w:eastAsia="Times New Roman"/>
          <w:b/>
          <w:bCs/>
          <w:color w:val="000000"/>
          <w:sz w:val="20"/>
          <w:szCs w:val="20"/>
        </w:rPr>
        <w:t>Revenue Recognition</w:t>
      </w:r>
    </w:p>
    <w:p w:rsidR="00000000" w:rsidRDefault="00C9777F">
      <w:pPr>
        <w:ind w:firstLine="360"/>
        <w:divId w:val="1927834620"/>
        <w:rPr>
          <w:rFonts w:eastAsia="Times New Roman"/>
        </w:rPr>
      </w:pPr>
      <w:r>
        <w:rPr>
          <w:rFonts w:eastAsia="Times New Roman"/>
          <w:color w:val="000000"/>
          <w:sz w:val="20"/>
          <w:szCs w:val="20"/>
        </w:rPr>
        <w:t>A significant portion of our business is derived from development and production contracts. Revenue and profit related to development and production contracts are generally recognized over time, typically us</w:t>
      </w:r>
      <w:r>
        <w:rPr>
          <w:rFonts w:eastAsia="Times New Roman"/>
          <w:color w:val="000000"/>
          <w:sz w:val="20"/>
          <w:szCs w:val="20"/>
        </w:rPr>
        <w:t>ing the POC cost-to-cost method of revenue recognition, whereby we measure our progress towards completion of the performance obligation based on the ratio of costs incurred to date to estimated costs at completion under the contract. Because costs incurre</w:t>
      </w:r>
      <w:r>
        <w:rPr>
          <w:rFonts w:eastAsia="Times New Roman"/>
          <w:color w:val="000000"/>
          <w:sz w:val="20"/>
          <w:szCs w:val="20"/>
        </w:rPr>
        <w:t>d represent work performed, we believe this method best depicts the transfer of control of the asset to the customer. Under the POC cost-to-cost method of revenue recognition, a single estimated profit margin is used to recognize profit for each performanc</w:t>
      </w:r>
      <w:r>
        <w:rPr>
          <w:rFonts w:eastAsia="Times New Roman"/>
          <w:color w:val="000000"/>
          <w:sz w:val="20"/>
          <w:szCs w:val="20"/>
        </w:rPr>
        <w:t>e obligation over its period of performance. Recognition of profit on a contract requires estimates of the total cost at completion and transaction price and the measurement of progress towards completion. Due to the long-term nature of many of our contrac</w:t>
      </w:r>
      <w:r>
        <w:rPr>
          <w:rFonts w:eastAsia="Times New Roman"/>
          <w:color w:val="000000"/>
          <w:sz w:val="20"/>
          <w:szCs w:val="20"/>
        </w:rPr>
        <w:t>ts, developing the estimated total cost at completion and total transaction price often requires judgment. Factors that must be considered in estimating the cost of the work to be completed include: the nature and complexity of the work to be performed, su</w:t>
      </w:r>
      <w:r>
        <w:rPr>
          <w:rFonts w:eastAsia="Times New Roman"/>
          <w:color w:val="000000"/>
          <w:sz w:val="20"/>
          <w:szCs w:val="20"/>
        </w:rPr>
        <w:t>bcontractor performance and the risk and impact of delayed performance. Factors that must be considered in estimating the total transaction price include contractual cost or performance incentives (such as incentive fees, award fees and penalties) and othe</w:t>
      </w:r>
      <w:r>
        <w:rPr>
          <w:rFonts w:eastAsia="Times New Roman"/>
          <w:color w:val="000000"/>
          <w:sz w:val="20"/>
          <w:szCs w:val="20"/>
        </w:rPr>
        <w:t xml:space="preserve">r forms of variable consideration as well as our historical experience and our expectation for performance on the contract. These variable amounts generally are awarded upon achievement of certain negotiated performance metrics, program milestones or cost </w:t>
      </w:r>
      <w:r>
        <w:rPr>
          <w:rFonts w:eastAsia="Times New Roman"/>
          <w:color w:val="000000"/>
          <w:sz w:val="20"/>
          <w:szCs w:val="20"/>
        </w:rPr>
        <w:t xml:space="preserve">targets and can be based upon customer discretion. We include such estimated amounts in the transaction price to the extent it is probable that a significant reversal of cumulative revenue recognized will not occur when the uncertainty associated with the </w:t>
      </w:r>
      <w:r>
        <w:rPr>
          <w:rFonts w:eastAsia="Times New Roman"/>
          <w:color w:val="000000"/>
          <w:sz w:val="20"/>
          <w:szCs w:val="20"/>
        </w:rPr>
        <w:t>variable consideration is resolved.</w:t>
      </w:r>
    </w:p>
    <w:p w:rsidR="00000000" w:rsidRDefault="00C9777F">
      <w:pPr>
        <w:ind w:firstLine="360"/>
        <w:divId w:val="946960087"/>
        <w:rPr>
          <w:rFonts w:eastAsia="Times New Roman"/>
        </w:rPr>
      </w:pPr>
      <w:r>
        <w:rPr>
          <w:rFonts w:eastAsia="Times New Roman"/>
          <w:color w:val="000000"/>
          <w:sz w:val="20"/>
          <w:szCs w:val="20"/>
        </w:rPr>
        <w:t xml:space="preserve">At the outset of each contract, we gauge its complexity and perceived risks and establish an estimated total cost at completion in line with these expectations. After establishing the estimated total cost at completion, </w:t>
      </w:r>
      <w:r>
        <w:rPr>
          <w:rFonts w:eastAsia="Times New Roman"/>
          <w:color w:val="000000"/>
          <w:sz w:val="20"/>
          <w:szCs w:val="20"/>
        </w:rPr>
        <w:t>we follow a standard EAC process in which we review the progress and performance on our ongoing contracts at least quarterly. If we successfully retire risks associated with the technical, schedule and cost aspects of a contract, we may lower our estimated</w:t>
      </w:r>
      <w:r>
        <w:rPr>
          <w:rFonts w:eastAsia="Times New Roman"/>
          <w:color w:val="000000"/>
          <w:sz w:val="20"/>
          <w:szCs w:val="20"/>
        </w:rPr>
        <w:t xml:space="preserve"> total cost at completion commensurate with the retirement of these risks. Conversely, if we are not successful in retiring these risks, we may increase our estimated total cost at completion. Additionally, as the contract progresses, our estimates of tota</w:t>
      </w:r>
      <w:r>
        <w:rPr>
          <w:rFonts w:eastAsia="Times New Roman"/>
          <w:color w:val="000000"/>
          <w:sz w:val="20"/>
          <w:szCs w:val="20"/>
        </w:rPr>
        <w:t>l transaction price may increase or decrease if, for example, we receive award fees that are higher or lower than expected. When adjustments in estimated total costs at completion or in estimated total transaction price are determined, the related impact o</w:t>
      </w:r>
      <w:r>
        <w:rPr>
          <w:rFonts w:eastAsia="Times New Roman"/>
          <w:color w:val="000000"/>
          <w:sz w:val="20"/>
          <w:szCs w:val="20"/>
        </w:rPr>
        <w:t>n operating income is recognized using the cumulative catch-up method, which recognizes in the current period the cumulative effect of such adjustments for all prior periods. Any anticipated losses on these contracts are fully recognized in the period in w</w:t>
      </w:r>
      <w:r>
        <w:rPr>
          <w:rFonts w:eastAsia="Times New Roman"/>
          <w:color w:val="000000"/>
          <w:sz w:val="20"/>
          <w:szCs w:val="20"/>
        </w:rPr>
        <w:t>hich the losses become evident.</w:t>
      </w:r>
    </w:p>
    <w:p w:rsidR="00000000" w:rsidRDefault="00C9777F">
      <w:pPr>
        <w:ind w:firstLine="360"/>
        <w:jc w:val="center"/>
        <w:divId w:val="1142506959"/>
        <w:rPr>
          <w:rFonts w:eastAsia="Times New Roman"/>
        </w:rPr>
      </w:pPr>
      <w:r>
        <w:rPr>
          <w:rFonts w:eastAsia="Times New Roman"/>
          <w:color w:val="000000"/>
          <w:sz w:val="20"/>
          <w:szCs w:val="20"/>
        </w:rPr>
        <w:t>29</w:t>
      </w:r>
    </w:p>
    <w:p w:rsidR="00000000" w:rsidRDefault="00C9777F">
      <w:pPr>
        <w:rPr>
          <w:rFonts w:eastAsia="Times New Roman"/>
        </w:rPr>
      </w:pPr>
      <w:r>
        <w:rPr>
          <w:rFonts w:eastAsia="Times New Roman"/>
        </w:rPr>
        <w:pict>
          <v:rect id="_x0000_i1056" style="width:0;height:1.5pt" o:hralign="center" o:hrstd="t" o:hr="t" fillcolor="#a0a0a0" stroked="f"/>
        </w:pict>
      </w:r>
    </w:p>
    <w:p w:rsidR="00000000" w:rsidRDefault="00C9777F">
      <w:pPr>
        <w:ind w:firstLine="360"/>
        <w:divId w:val="1731004679"/>
        <w:rPr>
          <w:rFonts w:eastAsia="Times New Roman"/>
        </w:rPr>
      </w:pPr>
    </w:p>
    <w:p w:rsidR="00000000" w:rsidRDefault="00C9777F">
      <w:pPr>
        <w:ind w:firstLine="360"/>
        <w:divId w:val="940261381"/>
        <w:rPr>
          <w:rFonts w:eastAsia="Times New Roman"/>
        </w:rPr>
      </w:pPr>
      <w:r>
        <w:rPr>
          <w:rFonts w:eastAsia="Times New Roman"/>
          <w:color w:val="000000"/>
          <w:sz w:val="20"/>
          <w:szCs w:val="20"/>
        </w:rPr>
        <w:t>EAC adjustments had the following impacts to operating income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984"/>
        <w:gridCol w:w="36"/>
        <w:gridCol w:w="121"/>
        <w:gridCol w:w="751"/>
        <w:gridCol w:w="36"/>
        <w:gridCol w:w="36"/>
        <w:gridCol w:w="36"/>
        <w:gridCol w:w="36"/>
        <w:gridCol w:w="121"/>
        <w:gridCol w:w="752"/>
        <w:gridCol w:w="36"/>
        <w:gridCol w:w="36"/>
        <w:gridCol w:w="36"/>
        <w:gridCol w:w="36"/>
        <w:gridCol w:w="121"/>
        <w:gridCol w:w="752"/>
        <w:gridCol w:w="36"/>
        <w:gridCol w:w="36"/>
        <w:gridCol w:w="36"/>
        <w:gridCol w:w="36"/>
        <w:gridCol w:w="121"/>
        <w:gridCol w:w="752"/>
        <w:gridCol w:w="37"/>
        <w:gridCol w:w="36"/>
        <w:gridCol w:w="36"/>
        <w:gridCol w:w="36"/>
        <w:gridCol w:w="36"/>
        <w:gridCol w:w="36"/>
        <w:gridCol w:w="36"/>
        <w:gridCol w:w="36"/>
        <w:gridCol w:w="36"/>
      </w:tblGrid>
      <w:tr w:rsidR="00000000">
        <w:trPr>
          <w:divId w:val="763694411"/>
        </w:trPr>
        <w:tc>
          <w:tcPr>
            <w:tcW w:w="50" w:type="pct"/>
            <w:vAlign w:val="center"/>
            <w:hideMark/>
          </w:tcPr>
          <w:p w:rsidR="00000000" w:rsidRDefault="00C9777F">
            <w:pPr>
              <w:ind w:firstLine="360"/>
              <w:rPr>
                <w:rFonts w:eastAsia="Times New Roman"/>
              </w:rPr>
            </w:pPr>
          </w:p>
        </w:tc>
        <w:tc>
          <w:tcPr>
            <w:tcW w:w="255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76369441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Quarter Ended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Three Quarters Ended</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r>
      <w:tr w:rsidR="00000000">
        <w:trPr>
          <w:divId w:val="763694411"/>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October 1, 2021</w:t>
            </w:r>
          </w:p>
        </w:tc>
        <w:tc>
          <w:tcPr>
            <w:tcW w:w="0" w:type="auto"/>
            <w:vAlign w:val="center"/>
            <w:hideMark/>
          </w:tcPr>
          <w:p w:rsidR="00000000" w:rsidRDefault="00C9777F">
            <w:pPr>
              <w:spacing w:after="100"/>
              <w:jc w:val="center"/>
              <w:rPr>
                <w:rFonts w:eastAsia="Times New Roman"/>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763694411"/>
          <w:trHeight w:val="60"/>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763694411"/>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763694411"/>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(284)</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(238)</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763694411"/>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vAlign w:val="center"/>
            <w:hideMark/>
          </w:tcPr>
          <w:p w:rsidR="00000000" w:rsidRDefault="00C9777F">
            <w:pPr>
              <w:spacing w:after="100"/>
              <w:jc w:val="right"/>
              <w:rPr>
                <w:rFonts w:eastAsia="Times New Roman"/>
                <w:sz w:val="20"/>
                <w:szCs w:val="20"/>
              </w:rPr>
            </w:pPr>
          </w:p>
        </w:tc>
        <w:tc>
          <w:tcPr>
            <w:tcW w:w="0" w:type="auto"/>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66878045"/>
        <w:rPr>
          <w:rFonts w:eastAsia="Times New Roman"/>
        </w:rPr>
      </w:pPr>
      <w:r>
        <w:rPr>
          <w:rFonts w:eastAsia="Times New Roman"/>
          <w:color w:val="000000"/>
          <w:sz w:val="20"/>
          <w:szCs w:val="20"/>
        </w:rPr>
        <w:t>In the quarter ended September 30, 2022 there was no impact to operating income from EAC adjustments. The net favorable impact to operating income from EAC adjustment</w:t>
      </w:r>
      <w:r>
        <w:rPr>
          <w:rFonts w:eastAsia="Times New Roman"/>
          <w:color w:val="000000"/>
          <w:sz w:val="20"/>
          <w:szCs w:val="20"/>
        </w:rPr>
        <w:t>s in the three quarters ended September 30, 2022 reflected benefits of operational performance on programs, including additional retirement of risks and material and labor cost savings. There were no individual program impacts to operating income due to EA</w:t>
      </w:r>
      <w:r>
        <w:rPr>
          <w:rFonts w:eastAsia="Times New Roman"/>
          <w:color w:val="000000"/>
          <w:sz w:val="20"/>
          <w:szCs w:val="20"/>
        </w:rPr>
        <w:t>C adjustments in the quarter or three quarters ended September 30, 2022 or October 1, 2021 that were material to our results of operations on a consolidated or segment basis for such periods.</w:t>
      </w:r>
    </w:p>
    <w:p w:rsidR="00000000" w:rsidRDefault="00C9777F">
      <w:pPr>
        <w:ind w:firstLine="360"/>
        <w:divId w:val="1937443445"/>
        <w:rPr>
          <w:rFonts w:eastAsia="Times New Roman"/>
        </w:rPr>
      </w:pPr>
      <w:r>
        <w:rPr>
          <w:rFonts w:eastAsia="Times New Roman"/>
          <w:color w:val="000000"/>
          <w:sz w:val="20"/>
          <w:szCs w:val="20"/>
        </w:rPr>
        <w:t>We recognize revenue from numerous contracts with multiple perfo</w:t>
      </w:r>
      <w:r>
        <w:rPr>
          <w:rFonts w:eastAsia="Times New Roman"/>
          <w:color w:val="000000"/>
          <w:sz w:val="20"/>
          <w:szCs w:val="20"/>
        </w:rPr>
        <w:t xml:space="preserve">rmance obligations. For these contracts, we allocate the transaction price to each performance obligation based on the relative standalone selling price of the good or service underlying each performance obligation. The standalone selling price represents </w:t>
      </w:r>
      <w:r>
        <w:rPr>
          <w:rFonts w:eastAsia="Times New Roman"/>
          <w:color w:val="000000"/>
          <w:sz w:val="20"/>
          <w:szCs w:val="20"/>
        </w:rPr>
        <w:t>the amount for which we would sell the good or service to a customer on a standalone basis (i.e., not sold as bundled sale with any other products or services). The allocation of transaction price among separate performance obligations may impact the timin</w:t>
      </w:r>
      <w:r>
        <w:rPr>
          <w:rFonts w:eastAsia="Times New Roman"/>
          <w:color w:val="000000"/>
          <w:sz w:val="20"/>
          <w:szCs w:val="20"/>
        </w:rPr>
        <w:t xml:space="preserve">g of revenue recognition but will not change the total revenue recognized on the contract. </w:t>
      </w:r>
    </w:p>
    <w:p w:rsidR="00000000" w:rsidRDefault="00C9777F">
      <w:pPr>
        <w:ind w:firstLine="360"/>
        <w:divId w:val="633609116"/>
        <w:rPr>
          <w:rFonts w:eastAsia="Times New Roman"/>
        </w:rPr>
      </w:pPr>
      <w:r>
        <w:rPr>
          <w:rFonts w:eastAsia="Times New Roman"/>
          <w:color w:val="000000"/>
          <w:sz w:val="20"/>
          <w:szCs w:val="20"/>
        </w:rPr>
        <w:t>A substantial majority of our revenue is derived from contracts with the U.S. Government, including foreign military sales contracts. These contracts are subject to</w:t>
      </w:r>
      <w:r>
        <w:rPr>
          <w:rFonts w:eastAsia="Times New Roman"/>
          <w:color w:val="000000"/>
          <w:sz w:val="20"/>
          <w:szCs w:val="20"/>
        </w:rPr>
        <w:t xml:space="preserve"> the Federal Acquisition Regulation (“FAR”) and the prices of our contract deliverables are typically based on our estimated or actual costs plus a reasonable profit margin. As a result, the standalone selling prices of the goods and services in these cont</w:t>
      </w:r>
      <w:r>
        <w:rPr>
          <w:rFonts w:eastAsia="Times New Roman"/>
          <w:color w:val="000000"/>
          <w:sz w:val="20"/>
          <w:szCs w:val="20"/>
        </w:rPr>
        <w:t>racts are typically equal to the selling prices stated in the contract, thereby eliminating the need to allocate (or reallocate) the transaction price to the multiple performance obligations. In our non-U.S. Government contracts, when standalone selling pr</w:t>
      </w:r>
      <w:r>
        <w:rPr>
          <w:rFonts w:eastAsia="Times New Roman"/>
          <w:color w:val="000000"/>
          <w:sz w:val="20"/>
          <w:szCs w:val="20"/>
        </w:rPr>
        <w:t>ices are not directly observable, we also generally use the expected cost plus margin approach to determine standalone selling price. In determining the appropriate margin under the cost plus margin approach, we consider historical margins on similar produ</w:t>
      </w:r>
      <w:r>
        <w:rPr>
          <w:rFonts w:eastAsia="Times New Roman"/>
          <w:color w:val="000000"/>
          <w:sz w:val="20"/>
          <w:szCs w:val="20"/>
        </w:rPr>
        <w:t>cts sold to similar customers or within similar geographies where objective evidence is available. We may also consider our cost structure and profit objectives, the nature of the proposal, the effects of customization of pricing, our practices used to est</w:t>
      </w:r>
      <w:r>
        <w:rPr>
          <w:rFonts w:eastAsia="Times New Roman"/>
          <w:color w:val="000000"/>
          <w:sz w:val="20"/>
          <w:szCs w:val="20"/>
        </w:rPr>
        <w:t xml:space="preserve">ablish pricing of bundled products, the expected technological life of the product, margins earned on similar contracts with different customers and other factors to determine the appropriate margin. </w:t>
      </w:r>
    </w:p>
    <w:p w:rsidR="00000000" w:rsidRDefault="00C9777F">
      <w:pPr>
        <w:divId w:val="827093859"/>
        <w:rPr>
          <w:rFonts w:eastAsia="Times New Roman"/>
        </w:rPr>
      </w:pPr>
      <w:r>
        <w:rPr>
          <w:rFonts w:eastAsia="Times New Roman"/>
          <w:b/>
          <w:bCs/>
          <w:color w:val="000000"/>
          <w:sz w:val="20"/>
          <w:szCs w:val="20"/>
        </w:rPr>
        <w:t>Goodwill</w:t>
      </w:r>
    </w:p>
    <w:p w:rsidR="00000000" w:rsidRDefault="00C9777F">
      <w:pPr>
        <w:ind w:firstLine="360"/>
        <w:divId w:val="1473250682"/>
        <w:rPr>
          <w:rFonts w:eastAsia="Times New Roman"/>
        </w:rPr>
      </w:pPr>
      <w:r>
        <w:rPr>
          <w:rFonts w:eastAsia="Times New Roman"/>
          <w:color w:val="000000"/>
          <w:sz w:val="20"/>
          <w:szCs w:val="20"/>
        </w:rPr>
        <w:t>Goodwill as of September 30, 2022 and December</w:t>
      </w:r>
      <w:r>
        <w:rPr>
          <w:rFonts w:eastAsia="Times New Roman"/>
          <w:color w:val="000000"/>
          <w:sz w:val="20"/>
          <w:szCs w:val="20"/>
        </w:rPr>
        <w:t xml:space="preserve"> 31, 2021 was $18.2 billion and $18.9 billion, respectively. We test our goodwill for impairment annually as of the first day of our fourth fiscal quarter, or under certain circumstances, more frequently, such as when events or circumstances indicate there</w:t>
      </w:r>
      <w:r>
        <w:rPr>
          <w:rFonts w:eastAsia="Times New Roman"/>
          <w:color w:val="000000"/>
          <w:sz w:val="20"/>
          <w:szCs w:val="20"/>
        </w:rPr>
        <w:t xml:space="preserve"> may be impairment or when we reorganize our reporting structure such that the composition of one or more of our reporting units is affected. Events or circumstances may include a significant deterioration in overall economic conditions, changes in the bus</w:t>
      </w:r>
      <w:r>
        <w:rPr>
          <w:rFonts w:eastAsia="Times New Roman"/>
          <w:color w:val="000000"/>
          <w:sz w:val="20"/>
          <w:szCs w:val="20"/>
        </w:rPr>
        <w:t>iness climate of our industry, a decline in our market capitalization, operating performance indicators, competition, reorganizations of our business or the disposal of all or a portion of a reporting unit. We identify potential impairment by comparing the</w:t>
      </w:r>
      <w:r>
        <w:rPr>
          <w:rFonts w:eastAsia="Times New Roman"/>
          <w:color w:val="000000"/>
          <w:sz w:val="20"/>
          <w:szCs w:val="20"/>
        </w:rPr>
        <w:t xml:space="preserve"> fair value of each of our reporting units with its carrying amount, including goodwill, which is adjusted for allocations of Corporate assets and liabilities as appropriate. If the fair value of a reporting unit exceeds its carrying amount, goodwill of th</w:t>
      </w:r>
      <w:r>
        <w:rPr>
          <w:rFonts w:eastAsia="Times New Roman"/>
          <w:color w:val="000000"/>
          <w:sz w:val="20"/>
          <w:szCs w:val="20"/>
        </w:rPr>
        <w:t>e reporting unit is considered not impaired. If the carrying amount of a reporting unit exceeds its fair value, an impairment loss is recognized in an amount equal to that excess.</w:t>
      </w:r>
    </w:p>
    <w:p w:rsidR="00000000" w:rsidRDefault="00C9777F">
      <w:pPr>
        <w:ind w:firstLine="360"/>
        <w:divId w:val="651982921"/>
        <w:rPr>
          <w:rFonts w:eastAsia="Times New Roman"/>
        </w:rPr>
      </w:pPr>
      <w:r>
        <w:rPr>
          <w:rFonts w:eastAsia="Times New Roman"/>
          <w:b/>
          <w:bCs/>
          <w:i/>
          <w:iCs/>
          <w:color w:val="000000"/>
          <w:sz w:val="20"/>
          <w:szCs w:val="20"/>
        </w:rPr>
        <w:t>Precision engagement business allocation and impairment:</w:t>
      </w:r>
      <w:r>
        <w:rPr>
          <w:rFonts w:eastAsia="Times New Roman"/>
          <w:b/>
          <w:bCs/>
          <w:color w:val="000000"/>
          <w:sz w:val="20"/>
          <w:szCs w:val="20"/>
        </w:rPr>
        <w:t xml:space="preserve"> </w:t>
      </w:r>
      <w:r>
        <w:rPr>
          <w:rFonts w:eastAsia="Times New Roman"/>
          <w:color w:val="000000"/>
          <w:sz w:val="20"/>
          <w:szCs w:val="20"/>
        </w:rPr>
        <w:t xml:space="preserve">During the quarter </w:t>
      </w:r>
      <w:r>
        <w:rPr>
          <w:rFonts w:eastAsia="Times New Roman"/>
          <w:color w:val="000000"/>
          <w:sz w:val="20"/>
          <w:szCs w:val="20"/>
        </w:rPr>
        <w:t>ended September 30, 2022, we realigned our precision engagement business from our ADG reporting unit to our Electro Optical reporting unit. In connection with the realignment, we transferred $325 million of goodwill associated with the precision engagement</w:t>
      </w:r>
      <w:r>
        <w:rPr>
          <w:rFonts w:eastAsia="Times New Roman"/>
          <w:color w:val="000000"/>
          <w:sz w:val="20"/>
          <w:szCs w:val="20"/>
        </w:rPr>
        <w:t xml:space="preserve"> business to our Electro Optical reporting unit on a relative fair value basis. Immediately before and after the reassignment, we tested goodwill assigned to each reporting unit. As a result of these tests, concurrently with the preparation of our financia</w:t>
      </w:r>
      <w:r>
        <w:rPr>
          <w:rFonts w:eastAsia="Times New Roman"/>
          <w:color w:val="000000"/>
          <w:sz w:val="20"/>
          <w:szCs w:val="20"/>
        </w:rPr>
        <w:t>l statements for the quarter ended September 30, 2022, we concluded that goodwill related to our ADG reporting unit was impaired immediately before the reassignment and recorded a non-cash charge of $313 million for the impairment in the “Impairment of goo</w:t>
      </w:r>
      <w:r>
        <w:rPr>
          <w:rFonts w:eastAsia="Times New Roman"/>
          <w:color w:val="000000"/>
          <w:sz w:val="20"/>
          <w:szCs w:val="20"/>
        </w:rPr>
        <w:t xml:space="preserve">dwill and other assets” line item in our Condensed Consolidated Statement of Operations (Unaudited). The impairment of goodwill was due to lower sales volume in our precision engagement business, reflecting U.S. Government spending priorities with respect </w:t>
      </w:r>
      <w:r>
        <w:rPr>
          <w:rFonts w:eastAsia="Times New Roman"/>
          <w:color w:val="000000"/>
          <w:sz w:val="20"/>
          <w:szCs w:val="20"/>
        </w:rPr>
        <w:t>to precision weapons, and higher interest rates.</w:t>
      </w:r>
    </w:p>
    <w:p w:rsidR="00000000" w:rsidRDefault="00C9777F">
      <w:pPr>
        <w:ind w:firstLine="360"/>
        <w:divId w:val="697663094"/>
        <w:rPr>
          <w:rFonts w:eastAsia="Times New Roman"/>
        </w:rPr>
      </w:pPr>
    </w:p>
    <w:p w:rsidR="00000000" w:rsidRDefault="00C9777F">
      <w:pPr>
        <w:ind w:firstLine="360"/>
        <w:jc w:val="center"/>
        <w:divId w:val="607735279"/>
        <w:rPr>
          <w:rFonts w:eastAsia="Times New Roman"/>
        </w:rPr>
      </w:pPr>
      <w:r>
        <w:rPr>
          <w:rFonts w:eastAsia="Times New Roman"/>
          <w:color w:val="000000"/>
          <w:sz w:val="20"/>
          <w:szCs w:val="20"/>
        </w:rPr>
        <w:t>30</w:t>
      </w:r>
    </w:p>
    <w:p w:rsidR="00000000" w:rsidRDefault="00C9777F">
      <w:pPr>
        <w:rPr>
          <w:rFonts w:eastAsia="Times New Roman"/>
        </w:rPr>
      </w:pPr>
      <w:r>
        <w:rPr>
          <w:rFonts w:eastAsia="Times New Roman"/>
        </w:rPr>
        <w:pict>
          <v:rect id="_x0000_i1057" style="width:0;height:1.5pt" o:hralign="center" o:hrstd="t" o:hr="t" fillcolor="#a0a0a0" stroked="f"/>
        </w:pict>
      </w:r>
    </w:p>
    <w:p w:rsidR="00000000" w:rsidRDefault="00C9777F">
      <w:pPr>
        <w:ind w:firstLine="360"/>
        <w:divId w:val="1646281417"/>
        <w:rPr>
          <w:rFonts w:eastAsia="Times New Roman"/>
        </w:rPr>
      </w:pPr>
    </w:p>
    <w:p w:rsidR="00000000" w:rsidRDefault="00C9777F">
      <w:pPr>
        <w:ind w:firstLine="360"/>
        <w:divId w:val="2123064553"/>
        <w:rPr>
          <w:rFonts w:eastAsia="Times New Roman"/>
        </w:rPr>
      </w:pPr>
      <w:r>
        <w:rPr>
          <w:rFonts w:eastAsia="Times New Roman"/>
          <w:b/>
          <w:bCs/>
          <w:i/>
          <w:iCs/>
          <w:color w:val="000000"/>
          <w:sz w:val="20"/>
          <w:szCs w:val="20"/>
        </w:rPr>
        <w:t>Broadband, Electro Optical and ADG interim tests:</w:t>
      </w:r>
      <w:r>
        <w:rPr>
          <w:rFonts w:eastAsia="Times New Roman"/>
          <w:b/>
          <w:bCs/>
          <w:color w:val="000000"/>
          <w:sz w:val="20"/>
          <w:szCs w:val="20"/>
        </w:rPr>
        <w:t xml:space="preserve"> </w:t>
      </w:r>
      <w:r>
        <w:rPr>
          <w:rFonts w:eastAsia="Times New Roman"/>
          <w:color w:val="000000"/>
          <w:sz w:val="20"/>
          <w:szCs w:val="20"/>
        </w:rPr>
        <w:t>Indications of potential impairment of goodwill related to our Broadband, Electro Optical and ADG reporting units were present as of September 30, 2022. Consequently, in connection with the preparation of our financial statements for the quarter ended Sept</w:t>
      </w:r>
      <w:r>
        <w:rPr>
          <w:rFonts w:eastAsia="Times New Roman"/>
          <w:color w:val="000000"/>
          <w:sz w:val="20"/>
          <w:szCs w:val="20"/>
        </w:rPr>
        <w:t xml:space="preserve">ember 30, 2022, we performed interim tests of each of these reporting unit’s goodwill for impairment. We determined that goodwill related our Broadband and Electro Optical reporting units was impaired and goodwill related to our ADG reporting unit was not </w:t>
      </w:r>
      <w:r>
        <w:rPr>
          <w:rFonts w:eastAsia="Times New Roman"/>
          <w:color w:val="000000"/>
          <w:sz w:val="20"/>
          <w:szCs w:val="20"/>
        </w:rPr>
        <w:t xml:space="preserve">impaired. </w:t>
      </w:r>
    </w:p>
    <w:p w:rsidR="00000000" w:rsidRDefault="00C9777F">
      <w:pPr>
        <w:ind w:firstLine="360"/>
        <w:divId w:val="1902328370"/>
        <w:rPr>
          <w:rFonts w:eastAsia="Times New Roman"/>
        </w:rPr>
      </w:pPr>
      <w:r>
        <w:rPr>
          <w:rFonts w:eastAsia="Times New Roman"/>
          <w:i/>
          <w:iCs/>
          <w:color w:val="000000"/>
          <w:sz w:val="20"/>
          <w:szCs w:val="20"/>
        </w:rPr>
        <w:t>Broadband and Electro Optical goodwill impairments:</w:t>
      </w:r>
      <w:r>
        <w:rPr>
          <w:rFonts w:eastAsia="Times New Roman"/>
          <w:color w:val="000000"/>
          <w:sz w:val="20"/>
          <w:szCs w:val="20"/>
        </w:rPr>
        <w:t xml:space="preserve"> As a result of the interim tests of goodwill related to our Broadband and Electro Optical reporting units, we recorded $489 million of non-cash charges for the impairment of goodwill ($355 mill</w:t>
      </w:r>
      <w:r>
        <w:rPr>
          <w:rFonts w:eastAsia="Times New Roman"/>
          <w:color w:val="000000"/>
          <w:sz w:val="20"/>
          <w:szCs w:val="20"/>
        </w:rPr>
        <w:t>ion related to Broadband and $134 million related to Electro Optical) in the “Impairment of goodwill and other assets” line item in our Condensed Consolidated Statement of Operations (Unaudited). The impairment of goodwill related to our Electro Optical re</w:t>
      </w:r>
      <w:r>
        <w:rPr>
          <w:rFonts w:eastAsia="Times New Roman"/>
          <w:color w:val="000000"/>
          <w:sz w:val="20"/>
          <w:szCs w:val="20"/>
        </w:rPr>
        <w:t xml:space="preserve">porting unit was due to persistently lower demand and associated decrease in our outlook for the precision engagement business, and rising interest rates. The impairment of goodwill related to our Broadband reporting unit was due to lower volume on legacy </w:t>
      </w:r>
      <w:r>
        <w:rPr>
          <w:rFonts w:eastAsia="Times New Roman"/>
          <w:color w:val="000000"/>
          <w:sz w:val="20"/>
          <w:szCs w:val="20"/>
        </w:rPr>
        <w:t xml:space="preserve">platforms, which also resulted in decreased in out outlook for the reporting unit, and higher interest rates. </w:t>
      </w:r>
    </w:p>
    <w:p w:rsidR="00000000" w:rsidRDefault="00C9777F">
      <w:pPr>
        <w:ind w:firstLine="360"/>
        <w:divId w:val="720981188"/>
        <w:rPr>
          <w:rFonts w:eastAsia="Times New Roman"/>
        </w:rPr>
      </w:pPr>
      <w:r>
        <w:rPr>
          <w:rFonts w:eastAsia="Times New Roman"/>
          <w:b/>
          <w:bCs/>
          <w:i/>
          <w:iCs/>
          <w:color w:val="000000"/>
          <w:sz w:val="20"/>
          <w:szCs w:val="20"/>
        </w:rPr>
        <w:t>Goodwill-related fair value estimates:</w:t>
      </w:r>
      <w:r>
        <w:rPr>
          <w:rFonts w:eastAsia="Times New Roman"/>
          <w:b/>
          <w:bCs/>
          <w:color w:val="000000"/>
          <w:sz w:val="20"/>
          <w:szCs w:val="20"/>
        </w:rPr>
        <w:t xml:space="preserve"> </w:t>
      </w:r>
      <w:r>
        <w:rPr>
          <w:rFonts w:eastAsia="Times New Roman"/>
          <w:color w:val="000000"/>
          <w:sz w:val="20"/>
          <w:szCs w:val="20"/>
        </w:rPr>
        <w:t>Fair value determinations described above under the heading “Goodwill” in this Critical Accounting Policie</w:t>
      </w:r>
      <w:r>
        <w:rPr>
          <w:rFonts w:eastAsia="Times New Roman"/>
          <w:color w:val="000000"/>
          <w:sz w:val="20"/>
          <w:szCs w:val="20"/>
        </w:rPr>
        <w:t>s MD&amp;A were determined based on a combination of market-based valuation techniques, utilizing quoted market prices and comparable publicly reported transactions, and projected discounted cash flows. The process of evaluating the potential impairment of goo</w:t>
      </w:r>
      <w:r>
        <w:rPr>
          <w:rFonts w:eastAsia="Times New Roman"/>
          <w:color w:val="000000"/>
          <w:sz w:val="20"/>
          <w:szCs w:val="20"/>
        </w:rPr>
        <w:t>dwill is highly subjective and requires significant judgment. Material changes in these estimates could occur and result in additional impairments in future periods. If the discount rate used for the impairment analysis increased by 25 basis points the tot</w:t>
      </w:r>
      <w:r>
        <w:rPr>
          <w:rFonts w:eastAsia="Times New Roman"/>
          <w:color w:val="000000"/>
          <w:sz w:val="20"/>
          <w:szCs w:val="20"/>
        </w:rPr>
        <w:t xml:space="preserve">al impairment would have increased by approximately $200 million. </w:t>
      </w:r>
    </w:p>
    <w:p w:rsidR="00000000" w:rsidRDefault="00C9777F">
      <w:pPr>
        <w:ind w:firstLine="360"/>
        <w:divId w:val="513805392"/>
        <w:rPr>
          <w:rFonts w:eastAsia="Times New Roman"/>
        </w:rPr>
      </w:pPr>
      <w:r>
        <w:rPr>
          <w:rFonts w:eastAsia="Times New Roman"/>
          <w:color w:val="000000"/>
          <w:sz w:val="20"/>
          <w:szCs w:val="20"/>
        </w:rPr>
        <w:t xml:space="preserve">An impairment of goodwill could result from a number of circumstances, including different assumptions used in determining the fair value of the reporting units; changes to U.S. Government </w:t>
      </w:r>
      <w:r>
        <w:rPr>
          <w:rFonts w:eastAsia="Times New Roman"/>
          <w:color w:val="000000"/>
          <w:sz w:val="20"/>
          <w:szCs w:val="20"/>
        </w:rPr>
        <w:t>spending priorities or ability to win competitively awarded contracts; the rescission of significant contract awards as a result of competitors protesting or challenging contracts awarded to us; or an increase in interest rates without a corresponding incr</w:t>
      </w:r>
      <w:r>
        <w:rPr>
          <w:rFonts w:eastAsia="Times New Roman"/>
          <w:color w:val="000000"/>
          <w:sz w:val="20"/>
          <w:szCs w:val="20"/>
        </w:rPr>
        <w:t>ease in future revenue.</w:t>
      </w:r>
    </w:p>
    <w:p w:rsidR="00000000" w:rsidRDefault="00C9777F">
      <w:pPr>
        <w:ind w:firstLine="360"/>
        <w:divId w:val="1808935114"/>
        <w:rPr>
          <w:rFonts w:eastAsia="Times New Roman"/>
        </w:rPr>
      </w:pPr>
      <w:r>
        <w:rPr>
          <w:rFonts w:eastAsia="Times New Roman"/>
          <w:b/>
          <w:bCs/>
          <w:i/>
          <w:iCs/>
          <w:color w:val="000000"/>
          <w:sz w:val="20"/>
          <w:szCs w:val="20"/>
        </w:rPr>
        <w:t>At-risk goodwill:</w:t>
      </w:r>
      <w:r>
        <w:rPr>
          <w:rFonts w:eastAsia="Times New Roman"/>
          <w:b/>
          <w:bCs/>
          <w:color w:val="000000"/>
          <w:sz w:val="20"/>
          <w:szCs w:val="20"/>
        </w:rPr>
        <w:t xml:space="preserve"> </w:t>
      </w:r>
      <w:r>
        <w:rPr>
          <w:rFonts w:eastAsia="Times New Roman"/>
          <w:color w:val="000000"/>
          <w:sz w:val="20"/>
          <w:szCs w:val="20"/>
        </w:rPr>
        <w:t>Because the carrying values of our Broadband, ADG and Electro Optical reporting units equaled their fair values immediately after the non-cash impairment charges recorded during the quarter ended September 30, 2022</w:t>
      </w:r>
      <w:r>
        <w:rPr>
          <w:rFonts w:eastAsia="Times New Roman"/>
          <w:color w:val="000000"/>
          <w:sz w:val="20"/>
          <w:szCs w:val="20"/>
        </w:rPr>
        <w:t>, goodwill associated with these reporting units remains at increased risk of impairment. The carrying value of goodwill associated with our Broadband, ADG and Electro Optical reporting units was $1,540 million, $328 million and $2,197 million, respectivel</w:t>
      </w:r>
      <w:r>
        <w:rPr>
          <w:rFonts w:eastAsia="Times New Roman"/>
          <w:color w:val="000000"/>
          <w:sz w:val="20"/>
          <w:szCs w:val="20"/>
        </w:rPr>
        <w:t xml:space="preserve">y. </w:t>
      </w:r>
    </w:p>
    <w:p w:rsidR="00000000" w:rsidRDefault="00C9777F">
      <w:pPr>
        <w:divId w:val="1720665097"/>
        <w:rPr>
          <w:rFonts w:eastAsia="Times New Roman"/>
        </w:rPr>
      </w:pPr>
      <w:r>
        <w:rPr>
          <w:rFonts w:eastAsia="Times New Roman"/>
          <w:b/>
          <w:bCs/>
          <w:color w:val="000000"/>
          <w:sz w:val="20"/>
          <w:szCs w:val="20"/>
        </w:rPr>
        <w:t>FORWARD-LOOKING STATEMENTS AND FACTORS THAT MAY AFFECT FUTURE RESULTS</w:t>
      </w:r>
    </w:p>
    <w:p w:rsidR="00000000" w:rsidRDefault="00C9777F">
      <w:pPr>
        <w:ind w:firstLine="360"/>
        <w:divId w:val="717901223"/>
        <w:rPr>
          <w:rFonts w:eastAsia="Times New Roman"/>
        </w:rPr>
      </w:pPr>
      <w:r>
        <w:rPr>
          <w:rFonts w:eastAsia="Times New Roman"/>
          <w:color w:val="000000"/>
          <w:sz w:val="20"/>
          <w:szCs w:val="20"/>
        </w:rPr>
        <w:t>This Report contains forward-looking statements that involve risks and uncertainties, as well as assumptions that may not materialize or prove to be correct, which could cause our re</w:t>
      </w:r>
      <w:r>
        <w:rPr>
          <w:rFonts w:eastAsia="Times New Roman"/>
          <w:color w:val="000000"/>
          <w:sz w:val="20"/>
          <w:szCs w:val="20"/>
        </w:rPr>
        <w:t>sults to differ materially from those expressed in or implied by such forward-looking statements. All statements other than statements of historical fact are statements that could be deemed forward-looking statements, including, but not limited to, stateme</w:t>
      </w:r>
      <w:r>
        <w:rPr>
          <w:rFonts w:eastAsia="Times New Roman"/>
          <w:color w:val="000000"/>
          <w:sz w:val="20"/>
          <w:szCs w:val="20"/>
        </w:rPr>
        <w:t>nts concerning: our plans, strategies and objectives for future operations; new products, systems, technologies, services or developments; future economic conditions, performance or outlook; future political conditions; the outcome of contingencies; the po</w:t>
      </w:r>
      <w:r>
        <w:rPr>
          <w:rFonts w:eastAsia="Times New Roman"/>
          <w:color w:val="000000"/>
          <w:sz w:val="20"/>
          <w:szCs w:val="20"/>
        </w:rPr>
        <w:t>tential level of share repurchases, dividends or pension contributions; potential acquisitions or divestitures; the value of contract awards and programs; expected cash flows or capital expenditures; our beliefs or expectations; activities, events or devel</w:t>
      </w:r>
      <w:r>
        <w:rPr>
          <w:rFonts w:eastAsia="Times New Roman"/>
          <w:color w:val="000000"/>
          <w:sz w:val="20"/>
          <w:szCs w:val="20"/>
        </w:rPr>
        <w:t>opments that we intend, expect, project, believe or anticipate will or may occur in the future; and assumptions underlying any of the foregoing. Forward-looking statements may be identified by their use of forward-looking terminology, such as “believes,” “</w:t>
      </w:r>
      <w:r>
        <w:rPr>
          <w:rFonts w:eastAsia="Times New Roman"/>
          <w:color w:val="000000"/>
          <w:sz w:val="20"/>
          <w:szCs w:val="20"/>
        </w:rPr>
        <w:t>expects,” “may,” “should,” “would,” “will,” “intends,” “plans,” “estimates,” “anticipates,” “projects” and similar words or expressions. You should not place undue reliance on these forward-looking statements, which reflect our management’s opinions only a</w:t>
      </w:r>
      <w:r>
        <w:rPr>
          <w:rFonts w:eastAsia="Times New Roman"/>
          <w:color w:val="000000"/>
          <w:sz w:val="20"/>
          <w:szCs w:val="20"/>
        </w:rPr>
        <w:t>s of the date of filing of this Report and are not guarantees of future performance or actual results. Forward-looking statements are made in reliance on the safe harbor provisions of Section 27A of the Securities Act of 1933, as amended (the “Securities A</w:t>
      </w:r>
      <w:r>
        <w:rPr>
          <w:rFonts w:eastAsia="Times New Roman"/>
          <w:color w:val="000000"/>
          <w:sz w:val="20"/>
          <w:szCs w:val="20"/>
        </w:rPr>
        <w:t>ct”), and Section 21E of the Securities Exchange Act of 1934, as amended (the “Exchange Act”). The following are some of the factors we believe could cause our actual results to differ materially from our historical results or our current expectations or p</w:t>
      </w:r>
      <w:r>
        <w:rPr>
          <w:rFonts w:eastAsia="Times New Roman"/>
          <w:color w:val="000000"/>
          <w:sz w:val="20"/>
          <w:szCs w:val="20"/>
        </w:rPr>
        <w:t>rojections:</w:t>
      </w:r>
    </w:p>
    <w:p w:rsidR="00000000" w:rsidRDefault="00C9777F">
      <w:pPr>
        <w:ind w:hanging="360"/>
        <w:divId w:val="827551137"/>
        <w:rPr>
          <w:rFonts w:eastAsia="Times New Roman"/>
        </w:rPr>
      </w:pPr>
      <w:r>
        <w:rPr>
          <w:rFonts w:eastAsia="Times New Roman"/>
          <w:color w:val="000000"/>
          <w:sz w:val="20"/>
          <w:szCs w:val="20"/>
        </w:rPr>
        <w:t>•We depend on U.S. Government customers for a significant portion of our revenue, and the loss of these relationships, a reduction in U.S. Government funding or a change in U.S. Government spending priorities could have an adverse impact on our</w:t>
      </w:r>
      <w:r>
        <w:rPr>
          <w:rFonts w:eastAsia="Times New Roman"/>
          <w:color w:val="000000"/>
          <w:sz w:val="20"/>
          <w:szCs w:val="20"/>
        </w:rPr>
        <w:t xml:space="preserve"> business, financial condition, results of operations, cash flows and equity.</w:t>
      </w:r>
    </w:p>
    <w:p w:rsidR="00000000" w:rsidRDefault="00C9777F">
      <w:pPr>
        <w:ind w:hanging="360"/>
        <w:divId w:val="1942103152"/>
        <w:rPr>
          <w:rFonts w:eastAsia="Times New Roman"/>
        </w:rPr>
      </w:pPr>
      <w:r>
        <w:rPr>
          <w:rFonts w:eastAsia="Times New Roman"/>
          <w:color w:val="000000"/>
          <w:sz w:val="20"/>
          <w:szCs w:val="20"/>
        </w:rPr>
        <w:t>•We depend significantly on U.S. Government contracts, which often are only partially funded, subject to immediate termination, and heavily regulated and audited. The termination</w:t>
      </w:r>
      <w:r>
        <w:rPr>
          <w:rFonts w:eastAsia="Times New Roman"/>
          <w:color w:val="000000"/>
          <w:sz w:val="20"/>
          <w:szCs w:val="20"/>
        </w:rPr>
        <w:t xml:space="preserve"> or failure to fund, or negative audit findings for, one or more of these contracts could have an adverse impact on our business, financial condition, results of operations, cash flows and equity.</w:t>
      </w:r>
    </w:p>
    <w:p w:rsidR="00000000" w:rsidRDefault="00C9777F">
      <w:pPr>
        <w:ind w:hanging="360"/>
        <w:divId w:val="1721241352"/>
        <w:rPr>
          <w:rFonts w:eastAsia="Times New Roman"/>
        </w:rPr>
      </w:pPr>
      <w:r>
        <w:rPr>
          <w:rFonts w:eastAsia="Times New Roman"/>
          <w:color w:val="000000"/>
          <w:sz w:val="20"/>
          <w:szCs w:val="20"/>
        </w:rPr>
        <w:t>•The U.S. Government’s budget deficit and the national debt</w:t>
      </w:r>
      <w:r>
        <w:rPr>
          <w:rFonts w:eastAsia="Times New Roman"/>
          <w:color w:val="000000"/>
          <w:sz w:val="20"/>
          <w:szCs w:val="20"/>
        </w:rPr>
        <w:t>, as well as any inability of the U.S. Government to complete its budget process for any government fiscal year and consequently having to shut down or operate on funding levels equivalent to its prior fiscal year pursuant to a “continuing resolution,” cou</w:t>
      </w:r>
      <w:r>
        <w:rPr>
          <w:rFonts w:eastAsia="Times New Roman"/>
          <w:color w:val="000000"/>
          <w:sz w:val="20"/>
          <w:szCs w:val="20"/>
        </w:rPr>
        <w:t>ld have an adverse impact on our business, financial condition, results of operations, cash flows and equity.</w:t>
      </w:r>
    </w:p>
    <w:p w:rsidR="00000000" w:rsidRDefault="00C9777F">
      <w:pPr>
        <w:ind w:firstLine="360"/>
        <w:jc w:val="center"/>
        <w:divId w:val="1007630718"/>
        <w:rPr>
          <w:rFonts w:eastAsia="Times New Roman"/>
        </w:rPr>
      </w:pPr>
      <w:r>
        <w:rPr>
          <w:rFonts w:eastAsia="Times New Roman"/>
          <w:color w:val="000000"/>
          <w:sz w:val="20"/>
          <w:szCs w:val="20"/>
        </w:rPr>
        <w:t>31</w:t>
      </w:r>
    </w:p>
    <w:p w:rsidR="00000000" w:rsidRDefault="00C9777F">
      <w:pPr>
        <w:rPr>
          <w:rFonts w:eastAsia="Times New Roman"/>
        </w:rPr>
      </w:pPr>
      <w:r>
        <w:rPr>
          <w:rFonts w:eastAsia="Times New Roman"/>
        </w:rPr>
        <w:pict>
          <v:rect id="_x0000_i1058" style="width:0;height:1.5pt" o:hralign="center" o:hrstd="t" o:hr="t" fillcolor="#a0a0a0" stroked="f"/>
        </w:pict>
      </w:r>
    </w:p>
    <w:p w:rsidR="00000000" w:rsidRDefault="00C9777F">
      <w:pPr>
        <w:ind w:firstLine="360"/>
        <w:divId w:val="497573282"/>
        <w:rPr>
          <w:rFonts w:eastAsia="Times New Roman"/>
        </w:rPr>
      </w:pPr>
    </w:p>
    <w:p w:rsidR="00000000" w:rsidRDefault="00C9777F">
      <w:pPr>
        <w:ind w:hanging="360"/>
        <w:divId w:val="138348466"/>
        <w:rPr>
          <w:rFonts w:eastAsia="Times New Roman"/>
        </w:rPr>
      </w:pPr>
      <w:r>
        <w:rPr>
          <w:rFonts w:eastAsia="Times New Roman"/>
          <w:color w:val="000000"/>
          <w:sz w:val="20"/>
          <w:szCs w:val="20"/>
        </w:rPr>
        <w:t>•</w:t>
      </w:r>
      <w:r>
        <w:rPr>
          <w:rFonts w:eastAsia="Times New Roman"/>
          <w:color w:val="000000"/>
          <w:sz w:val="20"/>
          <w:szCs w:val="20"/>
        </w:rPr>
        <w:t>Our results of operations and cash flows are substantially affected by our mix of fixed-price, cost-plus and time-and-material type contracts. In particular, our fixed-price contracts could subject us to losses in the event of cost overruns or a significan</w:t>
      </w:r>
      <w:r>
        <w:rPr>
          <w:rFonts w:eastAsia="Times New Roman"/>
          <w:color w:val="000000"/>
          <w:sz w:val="20"/>
          <w:szCs w:val="20"/>
        </w:rPr>
        <w:t>t increase in inflation.</w:t>
      </w:r>
    </w:p>
    <w:p w:rsidR="00000000" w:rsidRDefault="00C9777F">
      <w:pPr>
        <w:ind w:hanging="360"/>
        <w:divId w:val="981733754"/>
        <w:rPr>
          <w:rFonts w:eastAsia="Times New Roman"/>
        </w:rPr>
      </w:pPr>
      <w:r>
        <w:rPr>
          <w:rFonts w:eastAsia="Times New Roman"/>
          <w:color w:val="000000"/>
          <w:sz w:val="20"/>
          <w:szCs w:val="20"/>
        </w:rPr>
        <w:t>•Changes in future business or other market conditions could cause business investments and/or recorded goodwill or other long-term assets to become impaired, resulting in substantial losses and write-downs that would materially ad</w:t>
      </w:r>
      <w:r>
        <w:rPr>
          <w:rFonts w:eastAsia="Times New Roman"/>
          <w:color w:val="000000"/>
          <w:sz w:val="20"/>
          <w:szCs w:val="20"/>
        </w:rPr>
        <w:t>versely affect our results of operations and financial condition.</w:t>
      </w:r>
    </w:p>
    <w:p w:rsidR="00000000" w:rsidRDefault="00C9777F">
      <w:pPr>
        <w:ind w:hanging="360"/>
        <w:divId w:val="353727669"/>
        <w:rPr>
          <w:rFonts w:eastAsia="Times New Roman"/>
        </w:rPr>
      </w:pPr>
      <w:r>
        <w:rPr>
          <w:rFonts w:eastAsia="Times New Roman"/>
          <w:color w:val="000000"/>
          <w:sz w:val="20"/>
          <w:szCs w:val="20"/>
        </w:rPr>
        <w:t>•Disputes with our subcontractors or key suppliers, or their inability to perform or timely deliver our components, parts or services, could cause our products, systems or services to be pro</w:t>
      </w:r>
      <w:r>
        <w:rPr>
          <w:rFonts w:eastAsia="Times New Roman"/>
          <w:color w:val="000000"/>
          <w:sz w:val="20"/>
          <w:szCs w:val="20"/>
        </w:rPr>
        <w:t>duced or delivered in an untimely or unsatisfactory manner.</w:t>
      </w:r>
    </w:p>
    <w:p w:rsidR="00000000" w:rsidRDefault="00C9777F">
      <w:pPr>
        <w:ind w:hanging="360"/>
        <w:divId w:val="1723365293"/>
        <w:rPr>
          <w:rFonts w:eastAsia="Times New Roman"/>
        </w:rPr>
      </w:pPr>
      <w:r>
        <w:rPr>
          <w:rFonts w:eastAsia="Times New Roman"/>
          <w:color w:val="000000"/>
          <w:sz w:val="20"/>
          <w:szCs w:val="20"/>
        </w:rPr>
        <w:t>•Our commercial aviation products, systems and services businesses are affected by global demand and economic factors that could negatively impact our financial results.</w:t>
      </w:r>
    </w:p>
    <w:p w:rsidR="00000000" w:rsidRDefault="00C9777F">
      <w:pPr>
        <w:ind w:hanging="360"/>
        <w:divId w:val="1641685859"/>
        <w:rPr>
          <w:rFonts w:eastAsia="Times New Roman"/>
        </w:rPr>
      </w:pPr>
      <w:r>
        <w:rPr>
          <w:rFonts w:eastAsia="Times New Roman"/>
          <w:color w:val="000000"/>
          <w:sz w:val="20"/>
          <w:szCs w:val="20"/>
        </w:rPr>
        <w:t>•We participate in markets</w:t>
      </w:r>
      <w:r>
        <w:rPr>
          <w:rFonts w:eastAsia="Times New Roman"/>
          <w:color w:val="000000"/>
          <w:sz w:val="20"/>
          <w:szCs w:val="20"/>
        </w:rPr>
        <w:t xml:space="preserve"> that are often subject to uncertain economic conditions, which makes it difficult to estimate growth in our markets and, as a result, future income and expenditures.</w:t>
      </w:r>
    </w:p>
    <w:p w:rsidR="00000000" w:rsidRDefault="00C9777F">
      <w:pPr>
        <w:ind w:hanging="360"/>
        <w:divId w:val="835415556"/>
        <w:rPr>
          <w:rFonts w:eastAsia="Times New Roman"/>
        </w:rPr>
      </w:pPr>
      <w:r>
        <w:rPr>
          <w:rFonts w:eastAsia="Times New Roman"/>
          <w:color w:val="000000"/>
          <w:sz w:val="20"/>
          <w:szCs w:val="20"/>
        </w:rPr>
        <w:t>•We cannot predict the consequences of future geo-political events, but they may adversel</w:t>
      </w:r>
      <w:r>
        <w:rPr>
          <w:rFonts w:eastAsia="Times New Roman"/>
          <w:color w:val="000000"/>
          <w:sz w:val="20"/>
          <w:szCs w:val="20"/>
        </w:rPr>
        <w:t>y affect the markets in which we operate, our ability to insure against risks, our operations or our profitability.</w:t>
      </w:r>
    </w:p>
    <w:p w:rsidR="00000000" w:rsidRDefault="00C9777F">
      <w:pPr>
        <w:ind w:hanging="360"/>
        <w:divId w:val="643583008"/>
        <w:rPr>
          <w:rFonts w:eastAsia="Times New Roman"/>
        </w:rPr>
      </w:pPr>
      <w:r>
        <w:rPr>
          <w:rFonts w:eastAsia="Times New Roman"/>
          <w:color w:val="000000"/>
          <w:sz w:val="20"/>
          <w:szCs w:val="20"/>
        </w:rPr>
        <w:t>•We derive a significant portion of our revenue from international operations and are subject to the risks of doing business internationally</w:t>
      </w:r>
      <w:r>
        <w:rPr>
          <w:rFonts w:eastAsia="Times New Roman"/>
          <w:color w:val="000000"/>
          <w:sz w:val="20"/>
          <w:szCs w:val="20"/>
        </w:rPr>
        <w:t>, including fluctuations in currency exchange rates.</w:t>
      </w:r>
    </w:p>
    <w:p w:rsidR="00000000" w:rsidRDefault="00C9777F">
      <w:pPr>
        <w:ind w:hanging="360"/>
        <w:divId w:val="118763766"/>
        <w:rPr>
          <w:rFonts w:eastAsia="Times New Roman"/>
        </w:rPr>
      </w:pPr>
      <w:r>
        <w:rPr>
          <w:rFonts w:eastAsia="Times New Roman"/>
          <w:color w:val="000000"/>
          <w:sz w:val="20"/>
          <w:szCs w:val="20"/>
        </w:rPr>
        <w:t>•We are subject to government investigations, which could have a material adverse effect on our business, financial condition, results of operations, cash flows and equity.</w:t>
      </w:r>
    </w:p>
    <w:p w:rsidR="00000000" w:rsidRDefault="00C9777F">
      <w:pPr>
        <w:ind w:hanging="360"/>
        <w:divId w:val="1762875369"/>
        <w:rPr>
          <w:rFonts w:eastAsia="Times New Roman"/>
        </w:rPr>
      </w:pPr>
      <w:r>
        <w:rPr>
          <w:rFonts w:eastAsia="Times New Roman"/>
          <w:color w:val="000000"/>
          <w:sz w:val="20"/>
          <w:szCs w:val="20"/>
        </w:rPr>
        <w:t>•We could be negatively impact</w:t>
      </w:r>
      <w:r>
        <w:rPr>
          <w:rFonts w:eastAsia="Times New Roman"/>
          <w:color w:val="000000"/>
          <w:sz w:val="20"/>
          <w:szCs w:val="20"/>
        </w:rPr>
        <w:t>ed by a security breach, through cyber attack, cyber intrusion, insider threats or otherwise, or other significant disruption of our IT networks and related systems or of those we operate for certain of our customers.</w:t>
      </w:r>
    </w:p>
    <w:p w:rsidR="00000000" w:rsidRDefault="00C9777F">
      <w:pPr>
        <w:ind w:hanging="360"/>
        <w:divId w:val="347870787"/>
        <w:rPr>
          <w:rFonts w:eastAsia="Times New Roman"/>
        </w:rPr>
      </w:pPr>
      <w:r>
        <w:rPr>
          <w:rFonts w:eastAsia="Times New Roman"/>
          <w:color w:val="000000"/>
          <w:sz w:val="20"/>
          <w:szCs w:val="20"/>
        </w:rPr>
        <w:t>•Our future success will depend on our</w:t>
      </w:r>
      <w:r>
        <w:rPr>
          <w:rFonts w:eastAsia="Times New Roman"/>
          <w:color w:val="000000"/>
          <w:sz w:val="20"/>
          <w:szCs w:val="20"/>
        </w:rPr>
        <w:t xml:space="preserve"> ability to develop new products, systems, services and technologies that achieve market acceptance in our current and future markets.</w:t>
      </w:r>
    </w:p>
    <w:p w:rsidR="00000000" w:rsidRDefault="00C9777F">
      <w:pPr>
        <w:ind w:hanging="360"/>
        <w:divId w:val="429350710"/>
        <w:rPr>
          <w:rFonts w:eastAsia="Times New Roman"/>
        </w:rPr>
      </w:pPr>
      <w:r>
        <w:rPr>
          <w:rFonts w:eastAsia="Times New Roman"/>
          <w:color w:val="000000"/>
          <w:sz w:val="20"/>
          <w:szCs w:val="20"/>
        </w:rPr>
        <w:t>•We must attract and retain key employees, and any failure to do so could seriously harm us.</w:t>
      </w:r>
    </w:p>
    <w:p w:rsidR="00000000" w:rsidRDefault="00C9777F">
      <w:pPr>
        <w:ind w:hanging="360"/>
        <w:divId w:val="814490270"/>
        <w:rPr>
          <w:rFonts w:eastAsia="Times New Roman"/>
        </w:rPr>
      </w:pPr>
      <w:r>
        <w:rPr>
          <w:rFonts w:eastAsia="Times New Roman"/>
          <w:color w:val="000000"/>
          <w:sz w:val="20"/>
          <w:szCs w:val="20"/>
        </w:rPr>
        <w:t>•To the extent some of our w</w:t>
      </w:r>
      <w:r>
        <w:rPr>
          <w:rFonts w:eastAsia="Times New Roman"/>
          <w:color w:val="000000"/>
          <w:sz w:val="20"/>
          <w:szCs w:val="20"/>
        </w:rPr>
        <w:t>orkforce is or becomes represented by labor unions, a prolonged work stoppage could harm our business.</w:t>
      </w:r>
    </w:p>
    <w:p w:rsidR="00000000" w:rsidRDefault="00C9777F">
      <w:pPr>
        <w:ind w:hanging="360"/>
        <w:divId w:val="723454663"/>
        <w:rPr>
          <w:rFonts w:eastAsia="Times New Roman"/>
        </w:rPr>
      </w:pPr>
      <w:r>
        <w:rPr>
          <w:rFonts w:eastAsia="Times New Roman"/>
          <w:color w:val="000000"/>
          <w:sz w:val="20"/>
          <w:szCs w:val="20"/>
        </w:rPr>
        <w:t>•We have significant operations in locations that could be materially and adversely impacted in the event of a natural disaster or other significant disr</w:t>
      </w:r>
      <w:r>
        <w:rPr>
          <w:rFonts w:eastAsia="Times New Roman"/>
          <w:color w:val="000000"/>
          <w:sz w:val="20"/>
          <w:szCs w:val="20"/>
        </w:rPr>
        <w:t>uption.</w:t>
      </w:r>
    </w:p>
    <w:p w:rsidR="00000000" w:rsidRDefault="00C9777F">
      <w:pPr>
        <w:ind w:hanging="360"/>
        <w:divId w:val="143357194"/>
        <w:rPr>
          <w:rFonts w:eastAsia="Times New Roman"/>
        </w:rPr>
      </w:pPr>
      <w:r>
        <w:rPr>
          <w:rFonts w:eastAsia="Times New Roman"/>
          <w:color w:val="000000"/>
          <w:sz w:val="20"/>
          <w:szCs w:val="20"/>
        </w:rPr>
        <w:t>•Changes in estimates we use in accounting for many of our programs could adversely affect our future financial results.</w:t>
      </w:r>
    </w:p>
    <w:p w:rsidR="00000000" w:rsidRDefault="00C9777F">
      <w:pPr>
        <w:ind w:hanging="360"/>
        <w:divId w:val="1023551425"/>
        <w:rPr>
          <w:rFonts w:eastAsia="Times New Roman"/>
        </w:rPr>
      </w:pPr>
      <w:r>
        <w:rPr>
          <w:rFonts w:eastAsia="Times New Roman"/>
          <w:color w:val="000000"/>
          <w:sz w:val="20"/>
          <w:szCs w:val="20"/>
        </w:rPr>
        <w:t>•</w:t>
      </w:r>
      <w:r>
        <w:rPr>
          <w:rFonts w:eastAsia="Times New Roman"/>
          <w:color w:val="000000"/>
          <w:sz w:val="20"/>
          <w:szCs w:val="20"/>
        </w:rPr>
        <w:t>Our level of indebtedness and our ability to make payments on or service our indebtedness and our unfunded defined benefit plans liability may materially adversely affect our financial and operating activities or our ability to incur additional debt.</w:t>
      </w:r>
    </w:p>
    <w:p w:rsidR="00000000" w:rsidRDefault="00C9777F">
      <w:pPr>
        <w:ind w:hanging="360"/>
        <w:divId w:val="512186018"/>
        <w:rPr>
          <w:rFonts w:eastAsia="Times New Roman"/>
        </w:rPr>
      </w:pPr>
      <w:r>
        <w:rPr>
          <w:rFonts w:eastAsia="Times New Roman"/>
          <w:color w:val="000000"/>
          <w:sz w:val="20"/>
          <w:szCs w:val="20"/>
        </w:rPr>
        <w:t>•A do</w:t>
      </w:r>
      <w:r>
        <w:rPr>
          <w:rFonts w:eastAsia="Times New Roman"/>
          <w:color w:val="000000"/>
          <w:sz w:val="20"/>
          <w:szCs w:val="20"/>
        </w:rPr>
        <w:t>wngrade in our credit ratings could materially adversely affect our business.</w:t>
      </w:r>
    </w:p>
    <w:p w:rsidR="00000000" w:rsidRDefault="00C9777F">
      <w:pPr>
        <w:ind w:hanging="360"/>
        <w:divId w:val="613908342"/>
        <w:rPr>
          <w:rFonts w:eastAsia="Times New Roman"/>
        </w:rPr>
      </w:pPr>
      <w:r>
        <w:rPr>
          <w:rFonts w:eastAsia="Times New Roman"/>
          <w:color w:val="000000"/>
          <w:sz w:val="20"/>
          <w:szCs w:val="20"/>
        </w:rPr>
        <w:t>•The level of returns on defined benefit plan assets, changes in interest rates and other factors could materially adversely affect our financial condition, results of operations</w:t>
      </w:r>
      <w:r>
        <w:rPr>
          <w:rFonts w:eastAsia="Times New Roman"/>
          <w:color w:val="000000"/>
          <w:sz w:val="20"/>
          <w:szCs w:val="20"/>
        </w:rPr>
        <w:t>, cash flows and equity in future periods.</w:t>
      </w:r>
    </w:p>
    <w:p w:rsidR="00000000" w:rsidRDefault="00C9777F">
      <w:pPr>
        <w:ind w:hanging="360"/>
        <w:divId w:val="1926375112"/>
        <w:rPr>
          <w:rFonts w:eastAsia="Times New Roman"/>
        </w:rPr>
      </w:pPr>
      <w:r>
        <w:rPr>
          <w:rFonts w:eastAsia="Times New Roman"/>
          <w:color w:val="000000"/>
          <w:sz w:val="20"/>
          <w:szCs w:val="20"/>
        </w:rPr>
        <w:t>•Changes in our effective tax rate may have an adverse effect on our results of operations.</w:t>
      </w:r>
    </w:p>
    <w:p w:rsidR="00000000" w:rsidRDefault="00C9777F">
      <w:pPr>
        <w:ind w:hanging="360"/>
        <w:divId w:val="1249924277"/>
        <w:rPr>
          <w:rFonts w:eastAsia="Times New Roman"/>
        </w:rPr>
      </w:pPr>
      <w:r>
        <w:rPr>
          <w:rFonts w:eastAsia="Times New Roman"/>
          <w:color w:val="000000"/>
          <w:sz w:val="20"/>
          <w:szCs w:val="20"/>
        </w:rPr>
        <w:t>•We may not be successful in obtaining the necessary export licenses to conduct certain operations abroad, and Congress m</w:t>
      </w:r>
      <w:r>
        <w:rPr>
          <w:rFonts w:eastAsia="Times New Roman"/>
          <w:color w:val="000000"/>
          <w:sz w:val="20"/>
          <w:szCs w:val="20"/>
        </w:rPr>
        <w:t>ay prevent proposed sales to certain foreign governments.</w:t>
      </w:r>
    </w:p>
    <w:p w:rsidR="00000000" w:rsidRDefault="00C9777F">
      <w:pPr>
        <w:ind w:hanging="360"/>
        <w:divId w:val="988904813"/>
        <w:rPr>
          <w:rFonts w:eastAsia="Times New Roman"/>
        </w:rPr>
      </w:pPr>
      <w:r>
        <w:rPr>
          <w:rFonts w:eastAsia="Times New Roman"/>
          <w:color w:val="000000"/>
          <w:sz w:val="20"/>
          <w:szCs w:val="20"/>
        </w:rPr>
        <w:t>•Our reputation and ability to do business may be impacted by the improper conduct of our employees, agents or business partners.</w:t>
      </w:r>
    </w:p>
    <w:p w:rsidR="00000000" w:rsidRDefault="00C9777F">
      <w:pPr>
        <w:ind w:hanging="360"/>
        <w:divId w:val="1559123102"/>
        <w:rPr>
          <w:rFonts w:eastAsia="Times New Roman"/>
        </w:rPr>
      </w:pPr>
      <w:r>
        <w:rPr>
          <w:rFonts w:eastAsia="Times New Roman"/>
          <w:color w:val="000000"/>
          <w:sz w:val="20"/>
          <w:szCs w:val="20"/>
        </w:rPr>
        <w:t>•The outcome of litigation or arbitration in which we are involved f</w:t>
      </w:r>
      <w:r>
        <w:rPr>
          <w:rFonts w:eastAsia="Times New Roman"/>
          <w:color w:val="000000"/>
          <w:sz w:val="20"/>
          <w:szCs w:val="20"/>
        </w:rPr>
        <w:t>rom time to time is unpredictable, and an adverse decision in any such matter could have a material adverse effect on our financial condition, results of operations, cash flows and equity.</w:t>
      </w:r>
    </w:p>
    <w:p w:rsidR="00000000" w:rsidRDefault="00C9777F">
      <w:pPr>
        <w:ind w:hanging="360"/>
        <w:divId w:val="1088036308"/>
        <w:rPr>
          <w:rFonts w:eastAsia="Times New Roman"/>
        </w:rPr>
      </w:pPr>
      <w:r>
        <w:rPr>
          <w:rFonts w:eastAsia="Times New Roman"/>
          <w:color w:val="000000"/>
          <w:sz w:val="20"/>
          <w:szCs w:val="20"/>
        </w:rPr>
        <w:t>•Third parties have claimed in the past and may claim in the future</w:t>
      </w:r>
      <w:r>
        <w:rPr>
          <w:rFonts w:eastAsia="Times New Roman"/>
          <w:color w:val="000000"/>
          <w:sz w:val="20"/>
          <w:szCs w:val="20"/>
        </w:rPr>
        <w:t xml:space="preserve"> that we are infringing directly or indirectly upon their intellectual property rights, and third parties may infringe upon our intellectual property rights.</w:t>
      </w:r>
    </w:p>
    <w:p w:rsidR="00000000" w:rsidRDefault="00C9777F">
      <w:pPr>
        <w:ind w:hanging="360"/>
        <w:divId w:val="1541937495"/>
        <w:rPr>
          <w:rFonts w:eastAsia="Times New Roman"/>
        </w:rPr>
      </w:pPr>
      <w:r>
        <w:rPr>
          <w:rFonts w:eastAsia="Times New Roman"/>
          <w:color w:val="000000"/>
          <w:sz w:val="20"/>
          <w:szCs w:val="20"/>
        </w:rPr>
        <w:t>•We face certain significant risk exposures and potential liabilities that may not be covered adeq</w:t>
      </w:r>
      <w:r>
        <w:rPr>
          <w:rFonts w:eastAsia="Times New Roman"/>
          <w:color w:val="000000"/>
          <w:sz w:val="20"/>
          <w:szCs w:val="20"/>
        </w:rPr>
        <w:t>uately by insurance or indemnity.</w:t>
      </w:r>
    </w:p>
    <w:p w:rsidR="00000000" w:rsidRDefault="00C9777F">
      <w:pPr>
        <w:ind w:hanging="360"/>
        <w:divId w:val="922955878"/>
        <w:rPr>
          <w:rFonts w:eastAsia="Times New Roman"/>
        </w:rPr>
      </w:pPr>
      <w:r>
        <w:rPr>
          <w:rFonts w:eastAsia="Times New Roman"/>
          <w:color w:val="000000"/>
          <w:sz w:val="20"/>
          <w:szCs w:val="20"/>
        </w:rPr>
        <w:t>•Unforeseen environmental issues, including regulations related to greenhouse gas emissions or change in customer sentiment related to environmental sustainability, could have a material adverse effect on our business, fin</w:t>
      </w:r>
      <w:r>
        <w:rPr>
          <w:rFonts w:eastAsia="Times New Roman"/>
          <w:color w:val="000000"/>
          <w:sz w:val="20"/>
          <w:szCs w:val="20"/>
        </w:rPr>
        <w:t>ancial condition, results of operations, cash flows and equity.</w:t>
      </w:r>
    </w:p>
    <w:p w:rsidR="00000000" w:rsidRDefault="00C9777F">
      <w:pPr>
        <w:ind w:hanging="360"/>
        <w:divId w:val="1070300643"/>
        <w:rPr>
          <w:rFonts w:eastAsia="Times New Roman"/>
        </w:rPr>
      </w:pPr>
      <w:r>
        <w:rPr>
          <w:rFonts w:eastAsia="Times New Roman"/>
          <w:color w:val="000000"/>
          <w:sz w:val="20"/>
          <w:szCs w:val="20"/>
        </w:rPr>
        <w:t>•Strategic transactions, including mergers, acquisitions and divestitures, involve significant risks and uncertainties that could adversely affect our business, financial condition, results of</w:t>
      </w:r>
      <w:r>
        <w:rPr>
          <w:rFonts w:eastAsia="Times New Roman"/>
          <w:color w:val="000000"/>
          <w:sz w:val="20"/>
          <w:szCs w:val="20"/>
        </w:rPr>
        <w:t xml:space="preserve"> operations, cash flows and equity.</w:t>
      </w:r>
    </w:p>
    <w:p w:rsidR="00000000" w:rsidRDefault="00C9777F">
      <w:pPr>
        <w:ind w:hanging="360"/>
        <w:divId w:val="631711285"/>
        <w:rPr>
          <w:rFonts w:eastAsia="Times New Roman"/>
        </w:rPr>
      </w:pPr>
      <w:r>
        <w:rPr>
          <w:rFonts w:eastAsia="Times New Roman"/>
          <w:color w:val="000000"/>
          <w:sz w:val="20"/>
          <w:szCs w:val="20"/>
        </w:rPr>
        <w:t>•The acquisition of the TDL product line cannot be guaranteed to close in the expected time frame or at all.</w:t>
      </w:r>
    </w:p>
    <w:p w:rsidR="00000000" w:rsidRDefault="00C9777F">
      <w:pPr>
        <w:ind w:firstLine="360"/>
        <w:divId w:val="1619675513"/>
        <w:rPr>
          <w:rFonts w:eastAsia="Times New Roman"/>
        </w:rPr>
      </w:pPr>
      <w:r>
        <w:rPr>
          <w:rFonts w:eastAsia="Times New Roman"/>
          <w:color w:val="000000"/>
          <w:sz w:val="20"/>
          <w:szCs w:val="20"/>
        </w:rPr>
        <w:t>Additional details and discussions concerning some of the factors that could affect our forward-looking stateme</w:t>
      </w:r>
      <w:r>
        <w:rPr>
          <w:rFonts w:eastAsia="Times New Roman"/>
          <w:color w:val="000000"/>
          <w:sz w:val="20"/>
          <w:szCs w:val="20"/>
        </w:rPr>
        <w:t>nts or future results are set forth in our Fiscal 2021 Form 10-K under Item 1A. “Risk Factors” and in Part II, Item 1A. “Risk Factors” in this Report. The foregoing list of factors and the factors set forth in Item 1A. “Risk Factors” included in our Fiscal</w:t>
      </w:r>
      <w:r>
        <w:rPr>
          <w:rFonts w:eastAsia="Times New Roman"/>
          <w:color w:val="000000"/>
          <w:sz w:val="20"/>
          <w:szCs w:val="20"/>
        </w:rPr>
        <w:t xml:space="preserve"> 2021 Form 10-K and in Part II, Item 1A. “Risk Factors” in this Report are not exhaustive. Additional risks and uncertainties not known to us or that </w:t>
      </w:r>
    </w:p>
    <w:p w:rsidR="00000000" w:rsidRDefault="00C9777F">
      <w:pPr>
        <w:ind w:firstLine="360"/>
        <w:jc w:val="center"/>
        <w:divId w:val="847863628"/>
        <w:rPr>
          <w:rFonts w:eastAsia="Times New Roman"/>
        </w:rPr>
      </w:pPr>
      <w:r>
        <w:rPr>
          <w:rFonts w:eastAsia="Times New Roman"/>
          <w:color w:val="000000"/>
          <w:sz w:val="20"/>
          <w:szCs w:val="20"/>
        </w:rPr>
        <w:t>32</w:t>
      </w:r>
    </w:p>
    <w:p w:rsidR="00000000" w:rsidRDefault="00C9777F">
      <w:pPr>
        <w:rPr>
          <w:rFonts w:eastAsia="Times New Roman"/>
        </w:rPr>
      </w:pPr>
      <w:r>
        <w:rPr>
          <w:rFonts w:eastAsia="Times New Roman"/>
        </w:rPr>
        <w:pict>
          <v:rect id="_x0000_i1059" style="width:0;height:1.5pt" o:hralign="center" o:hrstd="t" o:hr="t" fillcolor="#a0a0a0" stroked="f"/>
        </w:pict>
      </w:r>
    </w:p>
    <w:p w:rsidR="00000000" w:rsidRDefault="00C9777F">
      <w:pPr>
        <w:ind w:firstLine="360"/>
        <w:divId w:val="602496252"/>
        <w:rPr>
          <w:rFonts w:eastAsia="Times New Roman"/>
        </w:rPr>
      </w:pPr>
    </w:p>
    <w:p w:rsidR="00000000" w:rsidRDefault="00C9777F">
      <w:pPr>
        <w:divId w:val="166405414"/>
        <w:rPr>
          <w:rFonts w:eastAsia="Times New Roman"/>
        </w:rPr>
      </w:pPr>
      <w:r>
        <w:rPr>
          <w:rFonts w:eastAsia="Times New Roman"/>
          <w:color w:val="000000"/>
          <w:sz w:val="20"/>
          <w:szCs w:val="20"/>
        </w:rPr>
        <w:t>we currently believe not to be material also may adversely impac</w:t>
      </w:r>
      <w:r>
        <w:rPr>
          <w:rFonts w:eastAsia="Times New Roman"/>
          <w:color w:val="000000"/>
          <w:sz w:val="20"/>
          <w:szCs w:val="20"/>
        </w:rPr>
        <w:t>t our business, financial condition, results of operations, cash flows and equity. Should any risks or uncertainties develop into actual events, these developments could have a material adverse effect on our business, financial condition, results of operat</w:t>
      </w:r>
      <w:r>
        <w:rPr>
          <w:rFonts w:eastAsia="Times New Roman"/>
          <w:color w:val="000000"/>
          <w:sz w:val="20"/>
          <w:szCs w:val="20"/>
        </w:rPr>
        <w:t>ions, cash flows and equity. The forward-looking statements contained in this Report are made as of the date of filing of this Report, and we disclaim any intention or obligation, other than imposed by law, to update or revise any forward-looking statement</w:t>
      </w:r>
      <w:r>
        <w:rPr>
          <w:rFonts w:eastAsia="Times New Roman"/>
          <w:color w:val="000000"/>
          <w:sz w:val="20"/>
          <w:szCs w:val="20"/>
        </w:rPr>
        <w:t>s or to update the reasons actual results could differ materially from those projected in the forward-looking statements, whether as a result of new information, future events or developments or otherwise.</w:t>
      </w:r>
    </w:p>
    <w:tbl>
      <w:tblPr>
        <w:tblW w:w="4288" w:type="pct"/>
        <w:tblCellMar>
          <w:top w:w="15" w:type="dxa"/>
          <w:left w:w="15" w:type="dxa"/>
          <w:bottom w:w="15" w:type="dxa"/>
          <w:right w:w="15" w:type="dxa"/>
        </w:tblCellMar>
        <w:tblLook w:val="04A0" w:firstRow="1" w:lastRow="0" w:firstColumn="1" w:lastColumn="0" w:noHBand="0" w:noVBand="1"/>
      </w:tblPr>
      <w:tblGrid>
        <w:gridCol w:w="56"/>
        <w:gridCol w:w="957"/>
        <w:gridCol w:w="36"/>
        <w:gridCol w:w="57"/>
        <w:gridCol w:w="5981"/>
        <w:gridCol w:w="36"/>
      </w:tblGrid>
      <w:tr w:rsidR="00000000">
        <w:trPr>
          <w:divId w:val="1835799254"/>
        </w:trPr>
        <w:tc>
          <w:tcPr>
            <w:tcW w:w="50" w:type="pct"/>
            <w:vAlign w:val="center"/>
            <w:hideMark/>
          </w:tcPr>
          <w:p w:rsidR="00000000" w:rsidRDefault="00C9777F">
            <w:pPr>
              <w:rPr>
                <w:rFonts w:eastAsia="Times New Roman"/>
              </w:rPr>
            </w:pPr>
          </w:p>
        </w:tc>
        <w:tc>
          <w:tcPr>
            <w:tcW w:w="68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20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835799254"/>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QUANTITATIVE AND QUALITATIVE DISCLOSURES ABOUT MARKET RISK.</w:t>
            </w:r>
          </w:p>
        </w:tc>
      </w:tr>
    </w:tbl>
    <w:p w:rsidR="00000000" w:rsidRDefault="00C9777F">
      <w:pPr>
        <w:ind w:firstLine="360"/>
        <w:divId w:val="982848869"/>
        <w:rPr>
          <w:rFonts w:eastAsia="Times New Roman"/>
        </w:rPr>
      </w:pPr>
      <w:r>
        <w:rPr>
          <w:rFonts w:eastAsia="Times New Roman"/>
          <w:color w:val="000000"/>
          <w:sz w:val="20"/>
          <w:szCs w:val="20"/>
        </w:rPr>
        <w:t>In the normal course of business, we are exposed to the risks associated with foreign currency exchange rates and changes in interest rates. We employ established policies and procedures gover</w:t>
      </w:r>
      <w:r>
        <w:rPr>
          <w:rFonts w:eastAsia="Times New Roman"/>
          <w:color w:val="000000"/>
          <w:sz w:val="20"/>
          <w:szCs w:val="20"/>
        </w:rPr>
        <w:t>ning the use of financial instruments to manage our exposure to such risks. There were no material changes during the three quarters ended September 30, 2022 with respect to the information appearing in Part II, Item 7A, “Quantitative and Qualitative Discl</w:t>
      </w:r>
      <w:r>
        <w:rPr>
          <w:rFonts w:eastAsia="Times New Roman"/>
          <w:color w:val="000000"/>
          <w:sz w:val="20"/>
          <w:szCs w:val="20"/>
        </w:rPr>
        <w:t>osures about Market Risk” of our Fiscal 2021 Form 10-K.</w:t>
      </w:r>
    </w:p>
    <w:tbl>
      <w:tblPr>
        <w:tblW w:w="2162"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470"/>
        <w:gridCol w:w="36"/>
      </w:tblGrid>
      <w:tr w:rsidR="00000000">
        <w:trPr>
          <w:divId w:val="1995259362"/>
        </w:trPr>
        <w:tc>
          <w:tcPr>
            <w:tcW w:w="50" w:type="pct"/>
            <w:vAlign w:val="center"/>
            <w:hideMark/>
          </w:tcPr>
          <w:p w:rsidR="00000000" w:rsidRDefault="00C9777F">
            <w:pPr>
              <w:ind w:firstLine="360"/>
              <w:rPr>
                <w:rFonts w:eastAsia="Times New Roman"/>
              </w:rPr>
            </w:pPr>
          </w:p>
        </w:tc>
        <w:tc>
          <w:tcPr>
            <w:tcW w:w="140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48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995259362"/>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CONTROLS AND PROCEDURES.</w:t>
            </w:r>
          </w:p>
        </w:tc>
      </w:tr>
    </w:tbl>
    <w:p w:rsidR="00000000" w:rsidRDefault="00C9777F">
      <w:pPr>
        <w:ind w:firstLine="360"/>
        <w:divId w:val="565726946"/>
        <w:rPr>
          <w:rFonts w:eastAsia="Times New Roman"/>
        </w:rPr>
      </w:pPr>
      <w:r>
        <w:rPr>
          <w:rFonts w:eastAsia="Times New Roman"/>
          <w:b/>
          <w:bCs/>
          <w:color w:val="000000"/>
          <w:sz w:val="20"/>
          <w:szCs w:val="20"/>
        </w:rPr>
        <w:t>(a) Evaluation of Disclosure Controls and Procedures:</w:t>
      </w:r>
      <w:r>
        <w:rPr>
          <w:rFonts w:eastAsia="Times New Roman"/>
          <w:color w:val="000000"/>
          <w:sz w:val="20"/>
          <w:szCs w:val="20"/>
        </w:rPr>
        <w:t> </w:t>
      </w:r>
      <w:r>
        <w:rPr>
          <w:rFonts w:eastAsia="Times New Roman"/>
          <w:color w:val="000000"/>
          <w:sz w:val="20"/>
          <w:szCs w:val="20"/>
        </w:rPr>
        <w:t xml:space="preserve">We maintain disclosure controls and procedures that are designed to ensure that information required to be disclosed in our reports filed or submitted under the Exchange Act is recorded, processed, summarized and reported within the time periods specified </w:t>
      </w:r>
      <w:r>
        <w:rPr>
          <w:rFonts w:eastAsia="Times New Roman"/>
          <w:color w:val="000000"/>
          <w:sz w:val="20"/>
          <w:szCs w:val="20"/>
        </w:rPr>
        <w:t>in SEC rules and forms. Our disclosure controls and procedures include, without limitation, controls and procedures designed to ensure that information required to be disclosed in our reports filed or submitted under the Exchange Act is accumulated and com</w:t>
      </w:r>
      <w:r>
        <w:rPr>
          <w:rFonts w:eastAsia="Times New Roman"/>
          <w:color w:val="000000"/>
          <w:sz w:val="20"/>
          <w:szCs w:val="20"/>
        </w:rPr>
        <w:t>municated to management, including our Chief Executive Officer and Chief Financial Officer, as appropriate to allow timely decisions regarding required disclosures. There are inherent limitations to the effectiveness of any system of disclosure controls an</w:t>
      </w:r>
      <w:r>
        <w:rPr>
          <w:rFonts w:eastAsia="Times New Roman"/>
          <w:color w:val="000000"/>
          <w:sz w:val="20"/>
          <w:szCs w:val="20"/>
        </w:rPr>
        <w:t>d procedures, including the possibility of human error and the circumvention or overriding of the controls and procedures. Accordingly, even effective disclosure controls and procedures can provide only reasonable assurance of achieving their control objec</w:t>
      </w:r>
      <w:r>
        <w:rPr>
          <w:rFonts w:eastAsia="Times New Roman"/>
          <w:color w:val="000000"/>
          <w:sz w:val="20"/>
          <w:szCs w:val="20"/>
        </w:rPr>
        <w:t xml:space="preserve">tives, and management necessarily is required to use its judgment in evaluating the cost-benefit relationship of possible controls and procedures. As required by Rule 13a-15 under the Exchange Act, as of September 30, 2022, we carried out an evaluation of </w:t>
      </w:r>
      <w:r>
        <w:rPr>
          <w:rFonts w:eastAsia="Times New Roman"/>
          <w:color w:val="000000"/>
          <w:sz w:val="20"/>
          <w:szCs w:val="20"/>
        </w:rPr>
        <w:t>the effectiveness of the design and operation of our disclosure controls and procedures. This evaluation was carried out under the supervision and with the participation of our management, including our Chief Executive Officer and our Chief Financial Offic</w:t>
      </w:r>
      <w:r>
        <w:rPr>
          <w:rFonts w:eastAsia="Times New Roman"/>
          <w:color w:val="000000"/>
          <w:sz w:val="20"/>
          <w:szCs w:val="20"/>
        </w:rPr>
        <w:t>er. Based on this work and other evaluation procedures, our management, including our Chief Executive Officer and our Chief Financial Officer, has concluded that as of September 30, 2022 our disclosure controls and procedures were effective at the reasonab</w:t>
      </w:r>
      <w:r>
        <w:rPr>
          <w:rFonts w:eastAsia="Times New Roman"/>
          <w:color w:val="000000"/>
          <w:sz w:val="20"/>
          <w:szCs w:val="20"/>
        </w:rPr>
        <w:t>le assurance level.</w:t>
      </w:r>
    </w:p>
    <w:p w:rsidR="00000000" w:rsidRDefault="00C9777F">
      <w:pPr>
        <w:ind w:firstLine="360"/>
        <w:divId w:val="1700625122"/>
        <w:rPr>
          <w:rFonts w:eastAsia="Times New Roman"/>
        </w:rPr>
      </w:pPr>
      <w:r>
        <w:rPr>
          <w:rFonts w:eastAsia="Times New Roman"/>
          <w:b/>
          <w:bCs/>
          <w:color w:val="000000"/>
          <w:sz w:val="20"/>
          <w:szCs w:val="20"/>
        </w:rPr>
        <w:t>(b) Changes in Internal Control:</w:t>
      </w:r>
      <w:r>
        <w:rPr>
          <w:rFonts w:eastAsia="Times New Roman"/>
          <w:color w:val="000000"/>
          <w:sz w:val="20"/>
          <w:szCs w:val="20"/>
        </w:rPr>
        <w:t> We periodically review our internal control over financial reporting as part of our efforts to ensure compliance with the requirements of Section 404 of the Sarbanes-Oxley Act of 2002. In addition, we ro</w:t>
      </w:r>
      <w:r>
        <w:rPr>
          <w:rFonts w:eastAsia="Times New Roman"/>
          <w:color w:val="000000"/>
          <w:sz w:val="20"/>
          <w:szCs w:val="20"/>
        </w:rPr>
        <w:t xml:space="preserve">utinely review our system of internal control over financial reporting to identify potential changes to our processes and systems that may improve controls and increase efficiency, while ensuring that we maintain an effective internal control environment. </w:t>
      </w:r>
      <w:r>
        <w:rPr>
          <w:rFonts w:eastAsia="Times New Roman"/>
          <w:color w:val="000000"/>
          <w:sz w:val="20"/>
          <w:szCs w:val="20"/>
        </w:rPr>
        <w:t>Changes may include such activities as implementing new, more efficient systems, consolidating the activities of business units, migrating certain processes to our shared services organizations, formalizing policies and procedures, improving segregation of</w:t>
      </w:r>
      <w:r>
        <w:rPr>
          <w:rFonts w:eastAsia="Times New Roman"/>
          <w:color w:val="000000"/>
          <w:sz w:val="20"/>
          <w:szCs w:val="20"/>
        </w:rPr>
        <w:t xml:space="preserve"> duties and increasing monitoring controls. In addition, when we acquire new businesses, we incorporate our controls and procedures into the acquired business as part of our integration activities. There have been no changes in our internal control over fi</w:t>
      </w:r>
      <w:r>
        <w:rPr>
          <w:rFonts w:eastAsia="Times New Roman"/>
          <w:color w:val="000000"/>
          <w:sz w:val="20"/>
          <w:szCs w:val="20"/>
        </w:rPr>
        <w:t>nancial reporting that occurred during the quarter ended September 30, 2022 that have materially affected, or are reasonably likely to materially affect, our internal control over financial reporting.</w:t>
      </w:r>
    </w:p>
    <w:p w:rsidR="00000000" w:rsidRDefault="00C9777F">
      <w:pPr>
        <w:ind w:firstLine="360"/>
        <w:divId w:val="1593471646"/>
        <w:rPr>
          <w:rFonts w:eastAsia="Times New Roman"/>
        </w:rPr>
      </w:pPr>
    </w:p>
    <w:p w:rsidR="00000000" w:rsidRDefault="00C9777F">
      <w:pPr>
        <w:ind w:firstLine="360"/>
        <w:jc w:val="center"/>
        <w:divId w:val="874586794"/>
        <w:rPr>
          <w:rFonts w:eastAsia="Times New Roman"/>
        </w:rPr>
      </w:pPr>
      <w:r>
        <w:rPr>
          <w:rFonts w:eastAsia="Times New Roman"/>
          <w:color w:val="000000"/>
          <w:sz w:val="20"/>
          <w:szCs w:val="20"/>
        </w:rPr>
        <w:t>33</w:t>
      </w:r>
    </w:p>
    <w:p w:rsidR="00000000" w:rsidRDefault="00C9777F">
      <w:pPr>
        <w:rPr>
          <w:rFonts w:eastAsia="Times New Roman"/>
        </w:rPr>
      </w:pPr>
      <w:r>
        <w:rPr>
          <w:rFonts w:eastAsia="Times New Roman"/>
        </w:rPr>
        <w:pict>
          <v:rect id="_x0000_i1060" style="width:0;height:1.5pt" o:hralign="center" o:hrstd="t" o:hr="t" fillcolor="#a0a0a0" stroked="f"/>
        </w:pict>
      </w:r>
    </w:p>
    <w:p w:rsidR="00000000" w:rsidRDefault="00C9777F">
      <w:pPr>
        <w:ind w:firstLine="360"/>
        <w:divId w:val="1477141716"/>
        <w:rPr>
          <w:rFonts w:eastAsia="Times New Roman"/>
        </w:rPr>
      </w:pPr>
    </w:p>
    <w:p w:rsidR="00000000" w:rsidRDefault="00C9777F">
      <w:pPr>
        <w:ind w:firstLine="360"/>
        <w:jc w:val="center"/>
        <w:divId w:val="933560698"/>
        <w:rPr>
          <w:rFonts w:eastAsia="Times New Roman"/>
        </w:rPr>
      </w:pPr>
      <w:r>
        <w:rPr>
          <w:rFonts w:eastAsia="Times New Roman"/>
          <w:b/>
          <w:bCs/>
          <w:color w:val="000000"/>
          <w:sz w:val="20"/>
          <w:szCs w:val="20"/>
        </w:rPr>
        <w:t>PART II. OTHER INFORMATION</w:t>
      </w:r>
    </w:p>
    <w:tbl>
      <w:tblPr>
        <w:tblW w:w="1724"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825"/>
        <w:gridCol w:w="36"/>
      </w:tblGrid>
      <w:tr w:rsidR="00000000">
        <w:trPr>
          <w:divId w:val="1925646909"/>
        </w:trPr>
        <w:tc>
          <w:tcPr>
            <w:tcW w:w="50" w:type="pct"/>
            <w:vAlign w:val="center"/>
            <w:hideMark/>
          </w:tcPr>
          <w:p w:rsidR="00000000" w:rsidRDefault="00C9777F">
            <w:pPr>
              <w:ind w:firstLine="360"/>
              <w:jc w:val="center"/>
              <w:rPr>
                <w:rFonts w:eastAsia="Times New Roman"/>
              </w:rPr>
            </w:pPr>
          </w:p>
        </w:tc>
        <w:tc>
          <w:tcPr>
            <w:tcW w:w="163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25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925646909"/>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LEGAL PROCEEDINGS.</w:t>
            </w:r>
          </w:p>
        </w:tc>
      </w:tr>
    </w:tbl>
    <w:p w:rsidR="00000000" w:rsidRDefault="00C9777F">
      <w:pPr>
        <w:ind w:firstLine="360"/>
        <w:divId w:val="1407990612"/>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T — Legal Proceedings and Contingencies </w:t>
      </w:r>
      <w:r>
        <w:rPr>
          <w:rFonts w:eastAsia="Times New Roman"/>
          <w:color w:val="000000"/>
          <w:sz w:val="20"/>
          <w:szCs w:val="20"/>
        </w:rPr>
        <w:t>in the Notes for discussion regarding material legal proceedings and contingencies. Except as set forth in such discussion, there have been no material developments in legal proceedings as reported in Item 3. “Legal Proceedings” of our Fiscal 2021 Form 10-</w:t>
      </w:r>
      <w:r>
        <w:rPr>
          <w:rFonts w:eastAsia="Times New Roman"/>
          <w:color w:val="000000"/>
          <w:sz w:val="20"/>
          <w:szCs w:val="20"/>
        </w:rPr>
        <w:t>K.</w:t>
      </w:r>
    </w:p>
    <w:tbl>
      <w:tblPr>
        <w:tblW w:w="158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514"/>
        <w:gridCol w:w="36"/>
      </w:tblGrid>
      <w:tr w:rsidR="00000000">
        <w:trPr>
          <w:divId w:val="670257058"/>
        </w:trPr>
        <w:tc>
          <w:tcPr>
            <w:tcW w:w="50" w:type="pct"/>
            <w:vAlign w:val="center"/>
            <w:hideMark/>
          </w:tcPr>
          <w:p w:rsidR="00000000" w:rsidRDefault="00C9777F">
            <w:pPr>
              <w:ind w:firstLine="360"/>
              <w:rPr>
                <w:rFonts w:eastAsia="Times New Roman"/>
              </w:rPr>
            </w:pPr>
          </w:p>
        </w:tc>
        <w:tc>
          <w:tcPr>
            <w:tcW w:w="193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295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670257058"/>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RISK FACTORS.</w:t>
            </w:r>
          </w:p>
        </w:tc>
      </w:tr>
    </w:tbl>
    <w:p w:rsidR="00000000" w:rsidRDefault="00C9777F">
      <w:pPr>
        <w:ind w:firstLine="360"/>
        <w:divId w:val="286861810"/>
        <w:rPr>
          <w:rFonts w:eastAsia="Times New Roman"/>
        </w:rPr>
      </w:pPr>
      <w:r>
        <w:rPr>
          <w:rFonts w:eastAsia="Times New Roman"/>
          <w:color w:val="000000"/>
          <w:sz w:val="20"/>
          <w:szCs w:val="20"/>
        </w:rPr>
        <w:t>Investors should carefully review and consider the information regarding certain factors that could materially affect our business, results of operations, financial condition, cash flows and equity as set forth in Item 1A. “Risk Factors” of our Fiscal 2021</w:t>
      </w:r>
      <w:r>
        <w:rPr>
          <w:rFonts w:eastAsia="Times New Roman"/>
          <w:color w:val="000000"/>
          <w:sz w:val="20"/>
          <w:szCs w:val="20"/>
        </w:rPr>
        <w:t xml:space="preserve"> Form 10-K. There have been no material changes, other than the amendment below, to the risk factors disclosed in our Fiscal 2021 Form 10-K. We may disclose changes to our risk factors or disclose additional risk factors from time to time in our future fil</w:t>
      </w:r>
      <w:r>
        <w:rPr>
          <w:rFonts w:eastAsia="Times New Roman"/>
          <w:color w:val="000000"/>
          <w:sz w:val="20"/>
          <w:szCs w:val="20"/>
        </w:rPr>
        <w:t>ings with the SEC. Additional risks and uncertainties not presently known to us or that we currently believe not to be material also may adversely impact our business, financial condition, results of operations, cash flows and equity.</w:t>
      </w:r>
    </w:p>
    <w:p w:rsidR="00000000" w:rsidRDefault="00C9777F">
      <w:pPr>
        <w:divId w:val="1166634056"/>
        <w:rPr>
          <w:rFonts w:eastAsia="Times New Roman"/>
        </w:rPr>
      </w:pPr>
      <w:r>
        <w:rPr>
          <w:rFonts w:eastAsia="Times New Roman"/>
          <w:b/>
          <w:bCs/>
          <w:i/>
          <w:iCs/>
          <w:color w:val="000000"/>
          <w:sz w:val="20"/>
          <w:szCs w:val="20"/>
        </w:rPr>
        <w:t>Our results of operat</w:t>
      </w:r>
      <w:r>
        <w:rPr>
          <w:rFonts w:eastAsia="Times New Roman"/>
          <w:b/>
          <w:bCs/>
          <w:i/>
          <w:iCs/>
          <w:color w:val="000000"/>
          <w:sz w:val="20"/>
          <w:szCs w:val="20"/>
        </w:rPr>
        <w:t>ions and cash flows are substantially affected by our mix of fixed-price, cost-plus and time-and-material type contracts. In particular, our fixed-price contracts could subject us to losses in the event of cost overruns or a significant increase in or sust</w:t>
      </w:r>
      <w:r>
        <w:rPr>
          <w:rFonts w:eastAsia="Times New Roman"/>
          <w:b/>
          <w:bCs/>
          <w:i/>
          <w:iCs/>
          <w:color w:val="000000"/>
          <w:sz w:val="20"/>
          <w:szCs w:val="20"/>
        </w:rPr>
        <w:t>ained period of increased inflation.</w:t>
      </w:r>
    </w:p>
    <w:p w:rsidR="00000000" w:rsidRDefault="00C9777F">
      <w:pPr>
        <w:ind w:firstLine="360"/>
        <w:divId w:val="458962666"/>
        <w:rPr>
          <w:rFonts w:eastAsia="Times New Roman"/>
        </w:rPr>
      </w:pPr>
      <w:r>
        <w:rPr>
          <w:rFonts w:eastAsia="Times New Roman"/>
          <w:color w:val="000000"/>
          <w:sz w:val="20"/>
          <w:szCs w:val="20"/>
        </w:rPr>
        <w:t>We generate revenue through various fixed-price, cost-plus and time-and-material contracts. For a general description of our U.S. Government contracts and subcontracts, including a discussion of revenue generated thereu</w:t>
      </w:r>
      <w:r>
        <w:rPr>
          <w:rFonts w:eastAsia="Times New Roman"/>
          <w:color w:val="000000"/>
          <w:sz w:val="20"/>
          <w:szCs w:val="20"/>
        </w:rPr>
        <w:t>nder and of cost-reimbursable versus fixed-price contracts, see “Item 1. Business - Principal Customers; Government Contracts” of our Fiscal 2021 Form 10-K. For a description of our revenue recognition policies, see “Item 7. Management’s Discussion and Ana</w:t>
      </w:r>
      <w:r>
        <w:rPr>
          <w:rFonts w:eastAsia="Times New Roman"/>
          <w:color w:val="000000"/>
          <w:sz w:val="20"/>
          <w:szCs w:val="20"/>
        </w:rPr>
        <w:t>lysis of Financial Conditions and Results of Operations - Critical Accounting Policies and Estimates - Revenue Recognition” of our Fiscal 2021 Form 10-K.</w:t>
      </w:r>
    </w:p>
    <w:p w:rsidR="00000000" w:rsidRDefault="00C9777F">
      <w:pPr>
        <w:ind w:firstLine="360"/>
        <w:divId w:val="1015961994"/>
        <w:rPr>
          <w:rFonts w:eastAsia="Times New Roman"/>
        </w:rPr>
      </w:pPr>
      <w:r>
        <w:rPr>
          <w:rFonts w:eastAsia="Times New Roman"/>
          <w:color w:val="000000"/>
          <w:sz w:val="20"/>
          <w:szCs w:val="20"/>
        </w:rPr>
        <w:t>In fiscal 2021, 74% of our revenue was derived from fixed-price contracts which allow us to benefit fr</w:t>
      </w:r>
      <w:r>
        <w:rPr>
          <w:rFonts w:eastAsia="Times New Roman"/>
          <w:color w:val="000000"/>
          <w:sz w:val="20"/>
          <w:szCs w:val="20"/>
        </w:rPr>
        <w:t>om cost savings, but subject us to the risk of potential cost overruns, including due to greater than anticipated or a sustained period of increased inflation or unexpected delays, particularly for firm fixed-price contracts because we assume all of the co</w:t>
      </w:r>
      <w:r>
        <w:rPr>
          <w:rFonts w:eastAsia="Times New Roman"/>
          <w:color w:val="000000"/>
          <w:sz w:val="20"/>
          <w:szCs w:val="20"/>
        </w:rPr>
        <w:t>st burden. If our initial estimates are incorrect, we can lose money (or make more or less money than estimated) on these contracts. U.S. Government contracts can expose us to potentially large losses because the U.S. Government can hold us responsible for</w:t>
      </w:r>
      <w:r>
        <w:rPr>
          <w:rFonts w:eastAsia="Times New Roman"/>
          <w:color w:val="000000"/>
          <w:sz w:val="20"/>
          <w:szCs w:val="20"/>
        </w:rPr>
        <w:t xml:space="preserve"> completing a project or, in certain circumstances, paying the entire cost of its replacement by another provider regardless of the size or foreseeability of any cost overruns that occur over the life of the contract. Because many of these contracts involv</w:t>
      </w:r>
      <w:r>
        <w:rPr>
          <w:rFonts w:eastAsia="Times New Roman"/>
          <w:color w:val="000000"/>
          <w:sz w:val="20"/>
          <w:szCs w:val="20"/>
        </w:rPr>
        <w:t>e new technologies and applications and can last for years, unforeseen events, such as technological difficulties, fluctuations in the price of raw materials, a significant increase in or sustained period of increased inflation, problems with our suppliers</w:t>
      </w:r>
      <w:r>
        <w:rPr>
          <w:rFonts w:eastAsia="Times New Roman"/>
          <w:color w:val="000000"/>
          <w:sz w:val="20"/>
          <w:szCs w:val="20"/>
        </w:rPr>
        <w:t xml:space="preserve">, labor market conditions and cost overruns, can result in the contractual price becoming less favorable or even unprofitable to us over time (which, especially in the case of sharp and significant sustained inflation, could happen quickly), and increased </w:t>
      </w:r>
      <w:r>
        <w:rPr>
          <w:rFonts w:eastAsia="Times New Roman"/>
          <w:color w:val="000000"/>
          <w:sz w:val="20"/>
          <w:szCs w:val="20"/>
        </w:rPr>
        <w:t>interest rates resulting from inflationary pressures can also impact the fair value of these contracts. Furthermore, if we do not meet contract deadlines or specifications, we may need to renegotiate contracts on less favorable terms, be forced to pay pena</w:t>
      </w:r>
      <w:r>
        <w:rPr>
          <w:rFonts w:eastAsia="Times New Roman"/>
          <w:color w:val="000000"/>
          <w:sz w:val="20"/>
          <w:szCs w:val="20"/>
        </w:rPr>
        <w:t>lties or liquidated damages or suffer major losses if the customer exercises its right to terminate. In addition, some of our contracts have provisions relating to cost controls and audit rights, and if we fail to meet the terms specified in those contract</w:t>
      </w:r>
      <w:r>
        <w:rPr>
          <w:rFonts w:eastAsia="Times New Roman"/>
          <w:color w:val="000000"/>
          <w:sz w:val="20"/>
          <w:szCs w:val="20"/>
        </w:rPr>
        <w:t>s, we may not realize their full benefits. Cost overruns would adversely impact our results of operations, which are dependent on our ability to maximize our earnings from our contracts, and the potential risk would be greater if our contracts shifted towa</w:t>
      </w:r>
      <w:r>
        <w:rPr>
          <w:rFonts w:eastAsia="Times New Roman"/>
          <w:color w:val="000000"/>
          <w:sz w:val="20"/>
          <w:szCs w:val="20"/>
        </w:rPr>
        <w:t>rd a greater percentage of fixed-price contracts, particularly firm fixed-price contracts. In addition, changes in contract financing policy for fixed-price contracts, such as changes in performance and progress payments policies, including a reversal or m</w:t>
      </w:r>
      <w:r>
        <w:rPr>
          <w:rFonts w:eastAsia="Times New Roman"/>
          <w:color w:val="000000"/>
          <w:sz w:val="20"/>
          <w:szCs w:val="20"/>
        </w:rPr>
        <w:t xml:space="preserve">odification of the U.S. Department of Defense’s March 2020 increase to the applicable progress payment rate from 80% to 90%, could significantly affect the timing of our cash flows. </w:t>
      </w:r>
    </w:p>
    <w:p w:rsidR="00000000" w:rsidRDefault="00C9777F">
      <w:pPr>
        <w:ind w:firstLine="360"/>
        <w:divId w:val="875392510"/>
        <w:rPr>
          <w:rFonts w:eastAsia="Times New Roman"/>
        </w:rPr>
      </w:pPr>
      <w:r>
        <w:rPr>
          <w:rFonts w:eastAsia="Times New Roman"/>
          <w:color w:val="000000"/>
          <w:sz w:val="20"/>
          <w:szCs w:val="20"/>
        </w:rPr>
        <w:t>In fiscal 2021, 26% of our revenue was derived from cost-plus and time-an</w:t>
      </w:r>
      <w:r>
        <w:rPr>
          <w:rFonts w:eastAsia="Times New Roman"/>
          <w:color w:val="000000"/>
          <w:sz w:val="20"/>
          <w:szCs w:val="20"/>
        </w:rPr>
        <w:t>d-material contracts, substantially all of which are with U.S. Government customers. Sales to foreign government and commercial customers are generally under fixed-price arrangements and are included in our fixed-price contract sales. For a cost-plus contr</w:t>
      </w:r>
      <w:r>
        <w:rPr>
          <w:rFonts w:eastAsia="Times New Roman"/>
          <w:color w:val="000000"/>
          <w:sz w:val="20"/>
          <w:szCs w:val="20"/>
        </w:rPr>
        <w:t>act, we are paid our allowable incurred costs plus a profit, which can be fixed or variable depending on the contract’s fee arrangement up to predetermined funding levels established by our customers. For a time-and-material contract, we are paid on the ba</w:t>
      </w:r>
      <w:r>
        <w:rPr>
          <w:rFonts w:eastAsia="Times New Roman"/>
          <w:color w:val="000000"/>
          <w:sz w:val="20"/>
          <w:szCs w:val="20"/>
        </w:rPr>
        <w:t>sis of direct labor hours expended at specified fixed-price hourly rates (which include wages, overhead, allowable general and administrative expenses and profit) and materials at cost. Therefore, on cost-plus and time-and-material type contracts, we do no</w:t>
      </w:r>
      <w:r>
        <w:rPr>
          <w:rFonts w:eastAsia="Times New Roman"/>
          <w:color w:val="000000"/>
          <w:sz w:val="20"/>
          <w:szCs w:val="20"/>
        </w:rPr>
        <w:t>t bear the risks of unexpected cost overruns, provided that we do not incur costs that exceed the predetermined funded amounts.</w:t>
      </w:r>
    </w:p>
    <w:p w:rsidR="00000000" w:rsidRDefault="00C9777F">
      <w:pPr>
        <w:ind w:firstLine="360"/>
        <w:divId w:val="1112750049"/>
        <w:rPr>
          <w:rFonts w:eastAsia="Times New Roman"/>
        </w:rPr>
      </w:pPr>
      <w:r>
        <w:rPr>
          <w:rFonts w:eastAsia="Times New Roman"/>
          <w:color w:val="000000"/>
          <w:sz w:val="20"/>
          <w:szCs w:val="20"/>
        </w:rPr>
        <w:t>To the extent feasible, we have consistently followed the practice of adjusting our prices to reflect the impact of inflation on</w:t>
      </w:r>
      <w:r>
        <w:rPr>
          <w:rFonts w:eastAsia="Times New Roman"/>
          <w:color w:val="000000"/>
          <w:sz w:val="20"/>
          <w:szCs w:val="20"/>
        </w:rPr>
        <w:t xml:space="preserve"> salaries and fringe benefits for employees and the cost of purchased materials and services. However, reports show a sharp increase in inflation since late 2021. Our fixed-price contracts could subject us to losses in the event of cost overruns or such a </w:t>
      </w:r>
      <w:r>
        <w:rPr>
          <w:rFonts w:eastAsia="Times New Roman"/>
          <w:color w:val="000000"/>
          <w:sz w:val="20"/>
          <w:szCs w:val="20"/>
        </w:rPr>
        <w:t>significant increase in or a sustained period of increased inflation.</w:t>
      </w:r>
    </w:p>
    <w:p w:rsidR="00000000" w:rsidRDefault="00C9777F">
      <w:pPr>
        <w:ind w:firstLine="360"/>
        <w:jc w:val="center"/>
        <w:divId w:val="1091437790"/>
        <w:rPr>
          <w:rFonts w:eastAsia="Times New Roman"/>
        </w:rPr>
      </w:pPr>
      <w:r>
        <w:rPr>
          <w:rFonts w:eastAsia="Times New Roman"/>
          <w:color w:val="000000"/>
          <w:sz w:val="20"/>
          <w:szCs w:val="20"/>
        </w:rPr>
        <w:t>34</w:t>
      </w:r>
    </w:p>
    <w:p w:rsidR="00000000" w:rsidRDefault="00C9777F">
      <w:pPr>
        <w:rPr>
          <w:rFonts w:eastAsia="Times New Roman"/>
        </w:rPr>
      </w:pPr>
      <w:r>
        <w:rPr>
          <w:rFonts w:eastAsia="Times New Roman"/>
        </w:rPr>
        <w:pict>
          <v:rect id="_x0000_i1061" style="width:0;height:1.5pt" o:hralign="center" o:hrstd="t" o:hr="t" fillcolor="#a0a0a0" stroked="f"/>
        </w:pict>
      </w:r>
    </w:p>
    <w:p w:rsidR="00000000" w:rsidRDefault="00C9777F">
      <w:pPr>
        <w:ind w:firstLine="360"/>
        <w:divId w:val="722606448"/>
        <w:rPr>
          <w:rFonts w:eastAsia="Times New Roman"/>
        </w:rPr>
      </w:pPr>
    </w:p>
    <w:p w:rsidR="00000000" w:rsidRDefault="00C9777F">
      <w:pPr>
        <w:ind w:firstLine="360"/>
        <w:divId w:val="156070849"/>
        <w:rPr>
          <w:rFonts w:eastAsia="Times New Roman"/>
        </w:rPr>
      </w:pPr>
      <w:r>
        <w:rPr>
          <w:rFonts w:eastAsia="Times New Roman"/>
          <w:color w:val="000000"/>
          <w:sz w:val="20"/>
          <w:szCs w:val="20"/>
        </w:rPr>
        <w:t>Any or all of the foregoing could have a negative impact on our business, financial condition, results of operations, cash flows and equity.</w:t>
      </w:r>
    </w:p>
    <w:tbl>
      <w:tblPr>
        <w:tblW w:w="4899" w:type="pct"/>
        <w:tblCellMar>
          <w:top w:w="15" w:type="dxa"/>
          <w:left w:w="15" w:type="dxa"/>
          <w:bottom w:w="15" w:type="dxa"/>
          <w:right w:w="15" w:type="dxa"/>
        </w:tblCellMar>
        <w:tblLook w:val="04A0" w:firstRow="1" w:lastRow="0" w:firstColumn="1" w:lastColumn="0" w:noHBand="0" w:noVBand="1"/>
      </w:tblPr>
      <w:tblGrid>
        <w:gridCol w:w="67"/>
        <w:gridCol w:w="862"/>
        <w:gridCol w:w="36"/>
        <w:gridCol w:w="67"/>
        <w:gridCol w:w="7070"/>
        <w:gridCol w:w="36"/>
      </w:tblGrid>
      <w:tr w:rsidR="00000000">
        <w:trPr>
          <w:divId w:val="854537060"/>
        </w:trPr>
        <w:tc>
          <w:tcPr>
            <w:tcW w:w="50" w:type="pct"/>
            <w:vAlign w:val="center"/>
            <w:hideMark/>
          </w:tcPr>
          <w:p w:rsidR="00000000" w:rsidRDefault="00C9777F">
            <w:pPr>
              <w:ind w:firstLine="360"/>
              <w:rPr>
                <w:rFonts w:eastAsia="Times New Roman"/>
              </w:rPr>
            </w:pPr>
          </w:p>
        </w:tc>
        <w:tc>
          <w:tcPr>
            <w:tcW w:w="53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35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854537060"/>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UNREGISTERED SALES OF EQUITY SECURITIES AND USE OF PROCEEDS.</w:t>
            </w:r>
          </w:p>
        </w:tc>
      </w:tr>
    </w:tbl>
    <w:p w:rsidR="00000000" w:rsidRDefault="00C9777F">
      <w:pPr>
        <w:ind w:firstLine="360"/>
        <w:divId w:val="854537060"/>
        <w:rPr>
          <w:rFonts w:eastAsia="Times New Roman"/>
        </w:rPr>
      </w:pPr>
      <w:r>
        <w:rPr>
          <w:rFonts w:eastAsia="Times New Roman"/>
          <w:b/>
          <w:bCs/>
          <w:color w:val="000000"/>
          <w:sz w:val="20"/>
          <w:szCs w:val="20"/>
        </w:rPr>
        <w:t>Issuer Purchases of Equity Securities</w:t>
      </w:r>
    </w:p>
    <w:p w:rsidR="00000000" w:rsidRDefault="00C9777F">
      <w:pPr>
        <w:ind w:firstLine="360"/>
        <w:divId w:val="599025744"/>
        <w:rPr>
          <w:rFonts w:eastAsia="Times New Roman"/>
        </w:rPr>
      </w:pPr>
      <w:r>
        <w:rPr>
          <w:rFonts w:eastAsia="Times New Roman"/>
          <w:color w:val="000000"/>
          <w:sz w:val="20"/>
          <w:szCs w:val="20"/>
        </w:rPr>
        <w:t>During the quarter ended September 30, 2022, we repurchased 0.7 </w:t>
      </w:r>
      <w:r>
        <w:rPr>
          <w:rFonts w:eastAsia="Times New Roman"/>
          <w:color w:val="000000"/>
          <w:sz w:val="20"/>
          <w:szCs w:val="20"/>
        </w:rPr>
        <w:t>million shares of our common stock under our share repurchase program for $171 million at an average share price of $229.60, excluding commissions of $0.02 per share. The level and timing of our repurchases depends on a number of factors, including our fin</w:t>
      </w:r>
      <w:r>
        <w:rPr>
          <w:rFonts w:eastAsia="Times New Roman"/>
          <w:color w:val="000000"/>
          <w:sz w:val="20"/>
          <w:szCs w:val="20"/>
        </w:rPr>
        <w:t xml:space="preserve">ancial condition, capital requirements, cash flows, results of operations, future business prospects and other factors our Board of Directors and management may deem relevant. Given the current macroeconomic environment, </w:t>
      </w:r>
      <w:r>
        <w:rPr>
          <w:rFonts w:eastAsia="Times New Roman"/>
          <w:color w:val="000000"/>
          <w:sz w:val="20"/>
          <w:szCs w:val="20"/>
        </w:rPr>
        <w:t>w</w:t>
      </w:r>
      <w:r>
        <w:rPr>
          <w:rFonts w:eastAsia="Times New Roman"/>
          <w:color w:val="000000"/>
          <w:sz w:val="20"/>
          <w:szCs w:val="20"/>
        </w:rPr>
        <w:t>e will continue to evaluate the am</w:t>
      </w:r>
      <w:r>
        <w:rPr>
          <w:rFonts w:eastAsia="Times New Roman"/>
          <w:color w:val="000000"/>
          <w:sz w:val="20"/>
          <w:szCs w:val="20"/>
        </w:rPr>
        <w:t>ount of shares to be repurchased under our repurchase program in fiscal 2022. We can give no assurances regarding the level and timing of share repurchases. The timing, volume and nature of repurchases are subject to market conditions, applicable securitie</w:t>
      </w:r>
      <w:r>
        <w:rPr>
          <w:rFonts w:eastAsia="Times New Roman"/>
          <w:color w:val="000000"/>
          <w:sz w:val="20"/>
          <w:szCs w:val="20"/>
        </w:rPr>
        <w:t xml:space="preserve">s laws and other factors and are at our discretion and may be suspended or discontinued at any time. Shares repurchased by us are cancelled and retired. </w:t>
      </w:r>
    </w:p>
    <w:p w:rsidR="00000000" w:rsidRDefault="00C9777F">
      <w:pPr>
        <w:ind w:firstLine="360"/>
        <w:divId w:val="1287812163"/>
        <w:rPr>
          <w:rFonts w:eastAsia="Times New Roman"/>
        </w:rPr>
      </w:pPr>
      <w:r>
        <w:rPr>
          <w:rFonts w:eastAsia="Times New Roman"/>
          <w:color w:val="000000"/>
          <w:sz w:val="20"/>
          <w:szCs w:val="20"/>
        </w:rPr>
        <w:t>The following table sets forth information with respect to repurchases by us of our common stock durin</w:t>
      </w:r>
      <w:r>
        <w:rPr>
          <w:rFonts w:eastAsia="Times New Roman"/>
          <w:color w:val="000000"/>
          <w:sz w:val="20"/>
          <w:szCs w:val="20"/>
        </w:rPr>
        <w:t>g the quarter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38"/>
        <w:gridCol w:w="2466"/>
        <w:gridCol w:w="37"/>
        <w:gridCol w:w="86"/>
        <w:gridCol w:w="1133"/>
        <w:gridCol w:w="36"/>
        <w:gridCol w:w="36"/>
        <w:gridCol w:w="36"/>
        <w:gridCol w:w="36"/>
        <w:gridCol w:w="121"/>
        <w:gridCol w:w="981"/>
        <w:gridCol w:w="36"/>
        <w:gridCol w:w="36"/>
        <w:gridCol w:w="36"/>
        <w:gridCol w:w="36"/>
        <w:gridCol w:w="99"/>
        <w:gridCol w:w="1302"/>
        <w:gridCol w:w="36"/>
        <w:gridCol w:w="36"/>
        <w:gridCol w:w="36"/>
        <w:gridCol w:w="36"/>
        <w:gridCol w:w="60"/>
        <w:gridCol w:w="1515"/>
        <w:gridCol w:w="36"/>
      </w:tblGrid>
      <w:tr w:rsidR="00000000">
        <w:trPr>
          <w:divId w:val="1287812163"/>
        </w:trPr>
        <w:tc>
          <w:tcPr>
            <w:tcW w:w="50" w:type="pct"/>
            <w:vAlign w:val="center"/>
            <w:hideMark/>
          </w:tcPr>
          <w:p w:rsidR="00000000" w:rsidRDefault="00C9777F">
            <w:pPr>
              <w:ind w:firstLine="360"/>
              <w:rPr>
                <w:rFonts w:eastAsia="Times New Roman"/>
              </w:rPr>
            </w:pPr>
          </w:p>
        </w:tc>
        <w:tc>
          <w:tcPr>
            <w:tcW w:w="160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663"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044"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Total number of</w:t>
            </w:r>
          </w:p>
          <w:p w:rsidR="00000000" w:rsidRDefault="00C9777F">
            <w:pPr>
              <w:spacing w:after="100"/>
              <w:jc w:val="center"/>
              <w:rPr>
                <w:rFonts w:eastAsia="Times New Roman"/>
              </w:rPr>
            </w:pPr>
            <w:r>
              <w:rPr>
                <w:rFonts w:eastAsia="Times New Roman"/>
                <w:b/>
                <w:bCs/>
                <w:color w:val="000000"/>
                <w:sz w:val="16"/>
                <w:szCs w:val="16"/>
              </w:rPr>
              <w:t>shares purchased as part of publicly</w:t>
            </w:r>
          </w:p>
          <w:p w:rsidR="00000000" w:rsidRDefault="00C9777F">
            <w:pPr>
              <w:spacing w:after="100"/>
              <w:jc w:val="center"/>
              <w:rPr>
                <w:rFonts w:eastAsia="Times New Roman"/>
              </w:rPr>
            </w:pPr>
            <w:r>
              <w:rPr>
                <w:rFonts w:eastAsia="Times New Roman"/>
                <w:b/>
                <w:bCs/>
                <w:color w:val="000000"/>
                <w:sz w:val="16"/>
                <w:szCs w:val="16"/>
              </w:rPr>
              <w:t>announced plans or program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C9777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jc w:val="center"/>
              <w:rPr>
                <w:rFonts w:eastAsia="Times New Roman"/>
              </w:rPr>
            </w:pPr>
            <w:r>
              <w:rPr>
                <w:rFonts w:eastAsia="Times New Roman"/>
                <w:b/>
                <w:bCs/>
                <w:color w:val="000000"/>
                <w:sz w:val="16"/>
                <w:szCs w:val="16"/>
              </w:rPr>
              <w:t>Maximum approximate dollar value of shares that may</w:t>
            </w:r>
          </w:p>
          <w:p w:rsidR="00000000" w:rsidRDefault="00C9777F">
            <w:pPr>
              <w:spacing w:after="100"/>
              <w:jc w:val="center"/>
              <w:rPr>
                <w:rFonts w:eastAsia="Times New Roman"/>
              </w:rPr>
            </w:pPr>
            <w:r>
              <w:rPr>
                <w:rFonts w:eastAsia="Times New Roman"/>
                <w:b/>
                <w:bCs/>
                <w:color w:val="000000"/>
                <w:sz w:val="16"/>
                <w:szCs w:val="16"/>
              </w:rPr>
              <w:t>yet be purchased under the plans or program</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r>
              <w:rPr>
                <w:rFonts w:eastAsia="Times New Roman"/>
                <w:b/>
                <w:bCs/>
                <w:color w:val="000000"/>
                <w:sz w:val="16"/>
                <w:szCs w:val="16"/>
              </w:rPr>
              <w:t xml:space="preserve"> </w:t>
            </w:r>
          </w:p>
          <w:p w:rsidR="00000000" w:rsidRDefault="00C9777F">
            <w:pPr>
              <w:spacing w:after="100"/>
              <w:jc w:val="center"/>
              <w:rPr>
                <w:rFonts w:eastAsia="Times New Roman"/>
              </w:rPr>
            </w:pPr>
            <w:r>
              <w:rPr>
                <w:rFonts w:eastAsia="Times New Roman"/>
                <w:b/>
                <w:bCs/>
                <w:color w:val="000000"/>
                <w:sz w:val="16"/>
                <w:szCs w:val="16"/>
              </w:rPr>
              <w:t>($ in millions)</w:t>
            </w:r>
          </w:p>
        </w:tc>
      </w:tr>
      <w:tr w:rsidR="00000000">
        <w:trPr>
          <w:divId w:val="1287812163"/>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r>
      <w:tr w:rsidR="00000000">
        <w:trPr>
          <w:divId w:val="1287812163"/>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(July 2, 2022-July 29, 2022)</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firstLine="180"/>
              <w:divId w:val="1874541090"/>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334,100 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227.47 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334,100 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$1,731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287812163"/>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ind w:firstLine="180"/>
              <w:divId w:val="1359043376"/>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7,634 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233.27 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287812163"/>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(July 30, 2022-August 26, 2022)</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firstLine="180"/>
              <w:divId w:val="1787384563"/>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60,000 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232.13 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60,000 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$1,717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287812163"/>
        </w:trPr>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c>
          <w:tcPr>
            <w:tcW w:w="0" w:type="auto"/>
            <w:gridSpan w:val="3"/>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ind w:firstLine="180"/>
              <w:divId w:val="1172259478"/>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28,305 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239.88 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287812163"/>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shd w:val="clear" w:color="auto" w:fill="FFFF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(August 27, 2022-September 30, 2022)</w:t>
            </w: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rPr>
                <w:rFonts w:eastAsia="Times New Roman"/>
                <w:sz w:val="20"/>
                <w:szCs w:val="20"/>
              </w:rPr>
            </w:pPr>
          </w:p>
        </w:tc>
      </w:tr>
      <w:tr w:rsidR="00000000">
        <w:trPr>
          <w:divId w:val="1287812163"/>
        </w:trPr>
        <w:tc>
          <w:tcPr>
            <w:tcW w:w="0" w:type="auto"/>
            <w:gridSpan w:val="3"/>
            <w:shd w:val="clear" w:color="auto" w:fill="CCEEFF"/>
            <w:tcMar>
              <w:top w:w="30" w:type="dxa"/>
              <w:left w:w="20" w:type="dxa"/>
              <w:bottom w:w="30" w:type="dxa"/>
              <w:right w:w="20" w:type="dxa"/>
            </w:tcMar>
            <w:vAlign w:val="bottom"/>
            <w:hideMark/>
          </w:tcPr>
          <w:p w:rsidR="00000000" w:rsidRDefault="00C9777F">
            <w:pPr>
              <w:spacing w:after="100"/>
              <w:ind w:firstLine="180"/>
              <w:divId w:val="125271460"/>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351,200 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231.20 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351,200 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$1,635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287812163"/>
        </w:trPr>
        <w:tc>
          <w:tcPr>
            <w:tcW w:w="0" w:type="auto"/>
            <w:gridSpan w:val="3"/>
            <w:shd w:val="clear" w:color="auto" w:fill="FFFFFF"/>
            <w:tcMar>
              <w:top w:w="30" w:type="dxa"/>
              <w:left w:w="20" w:type="dxa"/>
              <w:bottom w:w="30" w:type="dxa"/>
              <w:right w:w="20" w:type="dxa"/>
            </w:tcMar>
            <w:vAlign w:val="bottom"/>
            <w:hideMark/>
          </w:tcPr>
          <w:p w:rsidR="00000000" w:rsidRDefault="00C9777F">
            <w:pPr>
              <w:spacing w:after="100"/>
              <w:ind w:firstLine="180"/>
              <w:divId w:val="470443243"/>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28,749 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9777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231.20 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9777F">
            <w:pPr>
              <w:spacing w:after="100"/>
              <w:jc w:val="right"/>
              <w:rPr>
                <w:rFonts w:eastAsia="Times New Roman"/>
              </w:rPr>
            </w:pPr>
          </w:p>
        </w:tc>
      </w:tr>
      <w:tr w:rsidR="00000000">
        <w:trPr>
          <w:divId w:val="1287812163"/>
        </w:trPr>
        <w:tc>
          <w:tcPr>
            <w:tcW w:w="0" w:type="auto"/>
            <w:gridSpan w:val="3"/>
            <w:shd w:val="clear" w:color="auto" w:fill="CCEEFF"/>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809,988 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745,300 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9777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9777F">
            <w:pPr>
              <w:spacing w:after="100"/>
              <w:jc w:val="right"/>
              <w:rPr>
                <w:rFonts w:eastAsia="Times New Roman"/>
              </w:rPr>
            </w:pPr>
            <w:r>
              <w:rPr>
                <w:rFonts w:eastAsia="Times New Roman"/>
                <w:color w:val="000000"/>
                <w:sz w:val="20"/>
                <w:szCs w:val="20"/>
              </w:rPr>
              <w:t>$1,635 </w:t>
            </w:r>
          </w:p>
        </w:tc>
        <w:tc>
          <w:tcPr>
            <w:tcW w:w="0" w:type="auto"/>
            <w:shd w:val="clear" w:color="auto" w:fill="CCEEFF"/>
            <w:tcMar>
              <w:top w:w="30" w:type="dxa"/>
              <w:left w:w="0" w:type="dxa"/>
              <w:bottom w:w="30" w:type="dxa"/>
              <w:right w:w="20" w:type="dxa"/>
            </w:tcMar>
            <w:vAlign w:val="bottom"/>
            <w:hideMark/>
          </w:tcPr>
          <w:p w:rsidR="00000000" w:rsidRDefault="00C9777F">
            <w:pPr>
              <w:spacing w:after="100"/>
              <w:jc w:val="right"/>
              <w:rPr>
                <w:rFonts w:eastAsia="Times New Roman"/>
              </w:rPr>
            </w:pPr>
          </w:p>
        </w:tc>
      </w:tr>
    </w:tbl>
    <w:p w:rsidR="00000000" w:rsidRDefault="00C9777F">
      <w:pPr>
        <w:ind w:hanging="360"/>
        <w:divId w:val="1748111296"/>
        <w:rPr>
          <w:rFonts w:eastAsia="Times New Roman"/>
        </w:rPr>
      </w:pPr>
      <w:r>
        <w:rPr>
          <w:rFonts w:eastAsia="Times New Roman"/>
          <w:color w:val="000000"/>
          <w:sz w:val="16"/>
          <w:szCs w:val="16"/>
        </w:rPr>
        <w:t>_______________</w:t>
      </w:r>
    </w:p>
    <w:p w:rsidR="00000000" w:rsidRDefault="00C9777F">
      <w:pPr>
        <w:ind w:hanging="360"/>
        <w:divId w:val="1290358131"/>
        <w:rPr>
          <w:rFonts w:eastAsia="Times New Roman"/>
        </w:rPr>
      </w:pPr>
      <w:r>
        <w:rPr>
          <w:rFonts w:eastAsia="Times New Roman"/>
          <w:color w:val="000000"/>
          <w:sz w:val="16"/>
          <w:szCs w:val="16"/>
        </w:rPr>
        <w:t>* Periods represent our fiscal months.</w:t>
      </w:r>
    </w:p>
    <w:p w:rsidR="00000000" w:rsidRDefault="00C9777F">
      <w:pPr>
        <w:ind w:hanging="360"/>
        <w:divId w:val="1291083628"/>
        <w:rPr>
          <w:rFonts w:eastAsia="Times New Roman"/>
        </w:rPr>
      </w:pPr>
      <w:r>
        <w:rPr>
          <w:rFonts w:eastAsia="Times New Roman"/>
          <w:color w:val="000000"/>
          <w:sz w:val="16"/>
          <w:szCs w:val="16"/>
        </w:rPr>
        <w:t>(1) On January 28, 2021, we announced that our Board of</w:t>
      </w:r>
      <w:r>
        <w:rPr>
          <w:rFonts w:eastAsia="Times New Roman"/>
          <w:color w:val="000000"/>
          <w:sz w:val="16"/>
          <w:szCs w:val="16"/>
        </w:rPr>
        <w:t xml:space="preserve"> Directors approved a $6 billion share repurchase authorization under our share repurchase program that was in addition to the remaining unused authorization of $210 million as of January 1, 2021. We repurchase shares of our common stock through open-marke</w:t>
      </w:r>
      <w:r>
        <w:rPr>
          <w:rFonts w:eastAsia="Times New Roman"/>
          <w:color w:val="000000"/>
          <w:sz w:val="16"/>
          <w:szCs w:val="16"/>
        </w:rPr>
        <w:t>t purchases, private transactions, transactions structured through investment banking institutions or any combination thereof. As of September 30, 2022, $1.6 billion (as reflected in the table above) was the approximate dollar amount of our common stock th</w:t>
      </w:r>
      <w:r>
        <w:rPr>
          <w:rFonts w:eastAsia="Times New Roman"/>
          <w:color w:val="000000"/>
          <w:sz w:val="16"/>
          <w:szCs w:val="16"/>
        </w:rPr>
        <w:t>at can still be purchased under our share repurchase program, which does not have a stated expiration date. On October 21, 2022, we announced that our Board of Directors approved an additional $3.0 billion share repurchase authorization.</w:t>
      </w:r>
    </w:p>
    <w:p w:rsidR="00000000" w:rsidRDefault="00C9777F">
      <w:pPr>
        <w:ind w:hanging="360"/>
        <w:divId w:val="1459224582"/>
        <w:rPr>
          <w:rFonts w:eastAsia="Times New Roman"/>
        </w:rPr>
      </w:pPr>
      <w:r>
        <w:rPr>
          <w:rFonts w:eastAsia="Times New Roman"/>
          <w:color w:val="000000"/>
          <w:sz w:val="16"/>
          <w:szCs w:val="16"/>
        </w:rPr>
        <w:t>(2) Represents a c</w:t>
      </w:r>
      <w:r>
        <w:rPr>
          <w:rFonts w:eastAsia="Times New Roman"/>
          <w:color w:val="000000"/>
          <w:sz w:val="16"/>
          <w:szCs w:val="16"/>
        </w:rPr>
        <w:t>ombination of (a) shares of our common stock delivered to us in satisfaction of the tax withholding obligation of holders of performance units, restricted units or restricted shares that vested during the quarter and (b) performance units, restricted units</w:t>
      </w:r>
      <w:r>
        <w:rPr>
          <w:rFonts w:eastAsia="Times New Roman"/>
          <w:color w:val="000000"/>
          <w:sz w:val="16"/>
          <w:szCs w:val="16"/>
        </w:rPr>
        <w:t xml:space="preserve"> or restricted shares returned to us upon retirement or employment termination of employees. Our equity incentive plans provide that the value of shares delivered to us to pay the exercise price of options or to cover tax withholding obligations shall be t</w:t>
      </w:r>
      <w:r>
        <w:rPr>
          <w:rFonts w:eastAsia="Times New Roman"/>
          <w:color w:val="000000"/>
          <w:sz w:val="16"/>
          <w:szCs w:val="16"/>
        </w:rPr>
        <w:t>he closing price of our common stock on the date the relevant transaction occurs.</w:t>
      </w:r>
    </w:p>
    <w:p w:rsidR="00000000" w:rsidRDefault="00C9777F">
      <w:pPr>
        <w:divId w:val="1767193104"/>
        <w:rPr>
          <w:rFonts w:eastAsia="Times New Roman"/>
        </w:rPr>
      </w:pPr>
      <w:r>
        <w:rPr>
          <w:rFonts w:eastAsia="Times New Roman"/>
          <w:b/>
          <w:bCs/>
          <w:color w:val="000000"/>
          <w:sz w:val="20"/>
          <w:szCs w:val="20"/>
        </w:rPr>
        <w:t>Sales of Unregistered Equity Securities</w:t>
      </w:r>
    </w:p>
    <w:p w:rsidR="00000000" w:rsidRDefault="00C9777F">
      <w:pPr>
        <w:ind w:firstLine="360"/>
        <w:divId w:val="558908101"/>
        <w:rPr>
          <w:rFonts w:eastAsia="Times New Roman"/>
        </w:rPr>
      </w:pPr>
      <w:r>
        <w:rPr>
          <w:rFonts w:eastAsia="Times New Roman"/>
          <w:color w:val="000000"/>
          <w:sz w:val="20"/>
          <w:szCs w:val="20"/>
        </w:rPr>
        <w:t>During the third quarter of fiscal 2022, we did not issue or sell any unregistered equity securities.</w:t>
      </w:r>
    </w:p>
    <w:tbl>
      <w:tblPr>
        <w:tblW w:w="2672" w:type="pct"/>
        <w:tblCellMar>
          <w:top w:w="15" w:type="dxa"/>
          <w:left w:w="15" w:type="dxa"/>
          <w:bottom w:w="15" w:type="dxa"/>
          <w:right w:w="15" w:type="dxa"/>
        </w:tblCellMar>
        <w:tblLook w:val="04A0" w:firstRow="1" w:lastRow="0" w:firstColumn="1" w:lastColumn="0" w:noHBand="0" w:noVBand="1"/>
      </w:tblPr>
      <w:tblGrid>
        <w:gridCol w:w="38"/>
        <w:gridCol w:w="843"/>
        <w:gridCol w:w="36"/>
        <w:gridCol w:w="37"/>
        <w:gridCol w:w="3449"/>
        <w:gridCol w:w="36"/>
      </w:tblGrid>
      <w:tr w:rsidR="00000000">
        <w:trPr>
          <w:divId w:val="983512340"/>
        </w:trPr>
        <w:tc>
          <w:tcPr>
            <w:tcW w:w="50" w:type="pct"/>
            <w:vAlign w:val="center"/>
            <w:hideMark/>
          </w:tcPr>
          <w:p w:rsidR="00000000" w:rsidRDefault="00C9777F">
            <w:pPr>
              <w:ind w:firstLine="360"/>
              <w:rPr>
                <w:rFonts w:eastAsia="Times New Roman"/>
              </w:rPr>
            </w:pPr>
          </w:p>
        </w:tc>
        <w:tc>
          <w:tcPr>
            <w:tcW w:w="97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91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983512340"/>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DEFAULTS UPON SENIOR SECURITIES.</w:t>
            </w:r>
          </w:p>
        </w:tc>
      </w:tr>
      <w:tr w:rsidR="00000000">
        <w:trPr>
          <w:divId w:val="983512340"/>
        </w:trPr>
        <w:tc>
          <w:tcPr>
            <w:tcW w:w="0" w:type="auto"/>
            <w:gridSpan w:val="3"/>
            <w:vAlign w:val="center"/>
            <w:hideMark/>
          </w:tcPr>
          <w:p w:rsidR="00000000" w:rsidRDefault="00C9777F">
            <w:pPr>
              <w:spacing w:after="100"/>
              <w:rPr>
                <w:rFonts w:eastAsia="Times New Roman"/>
              </w:rPr>
            </w:pPr>
          </w:p>
        </w:tc>
        <w:tc>
          <w:tcPr>
            <w:tcW w:w="0" w:type="auto"/>
            <w:gridSpan w:val="3"/>
            <w:vAlign w:val="center"/>
            <w:hideMark/>
          </w:tcPr>
          <w:p w:rsidR="00000000" w:rsidRDefault="00C9777F">
            <w:pPr>
              <w:spacing w:after="100"/>
              <w:rPr>
                <w:rFonts w:eastAsia="Times New Roman"/>
                <w:sz w:val="20"/>
                <w:szCs w:val="20"/>
              </w:rPr>
            </w:pPr>
          </w:p>
        </w:tc>
      </w:tr>
    </w:tbl>
    <w:p w:rsidR="00000000" w:rsidRDefault="00C9777F">
      <w:pPr>
        <w:ind w:firstLine="360"/>
        <w:divId w:val="1465274843"/>
        <w:rPr>
          <w:rFonts w:eastAsia="Times New Roman"/>
        </w:rPr>
      </w:pPr>
      <w:r>
        <w:rPr>
          <w:rFonts w:eastAsia="Times New Roman"/>
          <w:color w:val="000000"/>
          <w:sz w:val="20"/>
          <w:szCs w:val="20"/>
        </w:rPr>
        <w:t>None.</w:t>
      </w:r>
    </w:p>
    <w:tbl>
      <w:tblPr>
        <w:tblW w:w="2025"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2325"/>
        <w:gridCol w:w="36"/>
      </w:tblGrid>
      <w:tr w:rsidR="00000000">
        <w:trPr>
          <w:divId w:val="1296250276"/>
        </w:trPr>
        <w:tc>
          <w:tcPr>
            <w:tcW w:w="50" w:type="pct"/>
            <w:vAlign w:val="center"/>
            <w:hideMark/>
          </w:tcPr>
          <w:p w:rsidR="00000000" w:rsidRDefault="00C9777F">
            <w:pPr>
              <w:ind w:firstLine="360"/>
              <w:rPr>
                <w:rFonts w:eastAsia="Times New Roman"/>
              </w:rPr>
            </w:pPr>
          </w:p>
        </w:tc>
        <w:tc>
          <w:tcPr>
            <w:tcW w:w="1381"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508"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296250276"/>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MINE SAFETY DISCLOSURES.</w:t>
            </w:r>
          </w:p>
        </w:tc>
      </w:tr>
    </w:tbl>
    <w:p w:rsidR="00000000" w:rsidRDefault="00C9777F">
      <w:pPr>
        <w:ind w:firstLine="360"/>
        <w:divId w:val="1888226257"/>
        <w:rPr>
          <w:rFonts w:eastAsia="Times New Roman"/>
        </w:rPr>
      </w:pPr>
      <w:r>
        <w:rPr>
          <w:rFonts w:eastAsia="Times New Roman"/>
          <w:color w:val="000000"/>
          <w:sz w:val="20"/>
          <w:szCs w:val="20"/>
        </w:rPr>
        <w:t>Not applicable.</w:t>
      </w:r>
    </w:p>
    <w:tbl>
      <w:tblPr>
        <w:tblW w:w="1788"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848"/>
        <w:gridCol w:w="36"/>
      </w:tblGrid>
      <w:tr w:rsidR="00000000">
        <w:trPr>
          <w:divId w:val="2061662255"/>
        </w:trPr>
        <w:tc>
          <w:tcPr>
            <w:tcW w:w="50" w:type="pct"/>
            <w:vAlign w:val="center"/>
            <w:hideMark/>
          </w:tcPr>
          <w:p w:rsidR="00000000" w:rsidRDefault="00C9777F">
            <w:pPr>
              <w:ind w:firstLine="360"/>
              <w:rPr>
                <w:rFonts w:eastAsia="Times New Roman"/>
              </w:rPr>
            </w:pPr>
          </w:p>
        </w:tc>
        <w:tc>
          <w:tcPr>
            <w:tcW w:w="17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3177"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2061662255"/>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OTHER INFORMATION.</w:t>
            </w:r>
          </w:p>
        </w:tc>
      </w:tr>
    </w:tbl>
    <w:p w:rsidR="00000000" w:rsidRDefault="00C9777F">
      <w:pPr>
        <w:ind w:firstLine="360"/>
        <w:jc w:val="center"/>
        <w:divId w:val="1208176502"/>
        <w:rPr>
          <w:rFonts w:eastAsia="Times New Roman"/>
        </w:rPr>
      </w:pPr>
      <w:r>
        <w:rPr>
          <w:rFonts w:eastAsia="Times New Roman"/>
          <w:color w:val="000000"/>
          <w:sz w:val="20"/>
          <w:szCs w:val="20"/>
        </w:rPr>
        <w:t>35</w:t>
      </w:r>
    </w:p>
    <w:p w:rsidR="00000000" w:rsidRDefault="00C9777F">
      <w:pPr>
        <w:rPr>
          <w:rFonts w:eastAsia="Times New Roman"/>
        </w:rPr>
      </w:pPr>
      <w:r>
        <w:rPr>
          <w:rFonts w:eastAsia="Times New Roman"/>
        </w:rPr>
        <w:pict>
          <v:rect id="_x0000_i1062" style="width:0;height:1.5pt" o:hralign="center" o:hrstd="t" o:hr="t" fillcolor="#a0a0a0" stroked="f"/>
        </w:pict>
      </w:r>
    </w:p>
    <w:p w:rsidR="00000000" w:rsidRDefault="00C9777F">
      <w:pPr>
        <w:ind w:firstLine="360"/>
        <w:divId w:val="2030833455"/>
        <w:rPr>
          <w:rFonts w:eastAsia="Times New Roman"/>
        </w:rPr>
      </w:pPr>
    </w:p>
    <w:p w:rsidR="00000000" w:rsidRDefault="00C9777F">
      <w:pPr>
        <w:ind w:firstLine="360"/>
        <w:divId w:val="2086147185"/>
        <w:rPr>
          <w:rFonts w:eastAsia="Times New Roman"/>
        </w:rPr>
      </w:pPr>
      <w:r>
        <w:rPr>
          <w:rFonts w:eastAsia="Times New Roman"/>
          <w:color w:val="000000"/>
          <w:sz w:val="20"/>
          <w:szCs w:val="20"/>
        </w:rPr>
        <w:t>None.</w:t>
      </w:r>
    </w:p>
    <w:p w:rsidR="00000000" w:rsidRDefault="00C9777F">
      <w:pPr>
        <w:ind w:firstLine="360"/>
        <w:divId w:val="1265576383"/>
        <w:rPr>
          <w:rFonts w:eastAsia="Times New Roman"/>
        </w:rPr>
      </w:pPr>
    </w:p>
    <w:tbl>
      <w:tblPr>
        <w:tblW w:w="4906" w:type="pct"/>
        <w:tblCellMar>
          <w:top w:w="15" w:type="dxa"/>
          <w:left w:w="15" w:type="dxa"/>
          <w:bottom w:w="15" w:type="dxa"/>
          <w:right w:w="15" w:type="dxa"/>
        </w:tblCellMar>
        <w:tblLook w:val="04A0" w:firstRow="1" w:lastRow="0" w:firstColumn="1" w:lastColumn="0" w:noHBand="0" w:noVBand="1"/>
      </w:tblPr>
      <w:tblGrid>
        <w:gridCol w:w="67"/>
        <w:gridCol w:w="946"/>
        <w:gridCol w:w="36"/>
        <w:gridCol w:w="68"/>
        <w:gridCol w:w="6997"/>
        <w:gridCol w:w="36"/>
      </w:tblGrid>
      <w:tr w:rsidR="00000000">
        <w:trPr>
          <w:divId w:val="1351445800"/>
        </w:trPr>
        <w:tc>
          <w:tcPr>
            <w:tcW w:w="50" w:type="pct"/>
            <w:vAlign w:val="center"/>
            <w:hideMark/>
          </w:tcPr>
          <w:p w:rsidR="00000000" w:rsidRDefault="00C9777F">
            <w:pPr>
              <w:ind w:firstLine="360"/>
              <w:rPr>
                <w:rFonts w:eastAsia="Times New Roman"/>
              </w:rPr>
            </w:pPr>
          </w:p>
        </w:tc>
        <w:tc>
          <w:tcPr>
            <w:tcW w:w="58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430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1351445800"/>
        </w:trPr>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b/>
                <w:bCs/>
                <w:color w:val="000000"/>
                <w:sz w:val="20"/>
                <w:szCs w:val="20"/>
              </w:rPr>
              <w:t>EXHIBITS.</w:t>
            </w:r>
          </w:p>
        </w:tc>
      </w:tr>
    </w:tbl>
    <w:p w:rsidR="00000000" w:rsidRDefault="00C9777F">
      <w:pPr>
        <w:ind w:firstLine="360"/>
        <w:divId w:val="1365255766"/>
        <w:rPr>
          <w:rFonts w:eastAsia="Times New Roman"/>
        </w:rPr>
      </w:pPr>
      <w:r>
        <w:rPr>
          <w:rFonts w:eastAsia="Times New Roman"/>
          <w:color w:val="000000"/>
          <w:sz w:val="20"/>
          <w:szCs w:val="20"/>
        </w:rPr>
        <w:t>The following exhibits are filed herewith or are incorporated herein by reference to exhibits previously filed with the SEC:</w:t>
      </w:r>
    </w:p>
    <w:p w:rsidR="00000000" w:rsidRDefault="00C9777F">
      <w:pPr>
        <w:ind w:hanging="900"/>
        <w:divId w:val="1469083273"/>
        <w:rPr>
          <w:rFonts w:eastAsia="Times New Roman"/>
        </w:rPr>
      </w:pPr>
      <w:hyperlink r:id="rId5" w:history="1">
        <w:r>
          <w:rPr>
            <w:rStyle w:val="a3"/>
            <w:rFonts w:eastAsia="Times New Roman"/>
            <w:sz w:val="20"/>
            <w:szCs w:val="20"/>
          </w:rPr>
          <w:t xml:space="preserve">(3)(a) Restated </w:t>
        </w:r>
        <w:r>
          <w:rPr>
            <w:rStyle w:val="a3"/>
            <w:rFonts w:eastAsia="Times New Roman"/>
            <w:sz w:val="20"/>
            <w:szCs w:val="20"/>
          </w:rPr>
          <w:t>Certificate of Incorporation of L3Harris Technologies, Inc. (1995), as amended, incorporated herein by reference to Exhibit 3(a) to L3Harris Technologies, Inc.’s Quarterly Report on Form 10-Q filed with the SEC on July 29, 2022. (Commission File Number 1-3</w:t>
        </w:r>
        <w:r>
          <w:rPr>
            <w:rStyle w:val="a3"/>
            <w:rFonts w:eastAsia="Times New Roman"/>
            <w:sz w:val="20"/>
            <w:szCs w:val="20"/>
          </w:rPr>
          <w:t>863)</w:t>
        </w:r>
      </w:hyperlink>
    </w:p>
    <w:p w:rsidR="00000000" w:rsidRDefault="00C9777F">
      <w:pPr>
        <w:ind w:hanging="900"/>
        <w:divId w:val="811485923"/>
        <w:rPr>
          <w:rFonts w:eastAsia="Times New Roman"/>
        </w:rPr>
      </w:pPr>
      <w:hyperlink r:id="rId6" w:history="1">
        <w:r>
          <w:rPr>
            <w:rStyle w:val="a3"/>
            <w:rFonts w:eastAsia="Times New Roman"/>
            <w:sz w:val="20"/>
            <w:szCs w:val="20"/>
          </w:rPr>
          <w:t xml:space="preserve">(3)(b) </w:t>
        </w:r>
        <w:r>
          <w:rPr>
            <w:rStyle w:val="a3"/>
            <w:rFonts w:eastAsia="Times New Roman"/>
            <w:sz w:val="20"/>
            <w:szCs w:val="20"/>
          </w:rPr>
          <w:t>Amended and Restated By-Laws of L3Harris Technologies, Inc., as amended., incorporated herein by reference to Exhibit 3(b) to L3Harris Technologies, Inc.’s Quarterly Report on Form 10-Q filed with the SEC on July 29, 2022. (Commission File Number 1-3863)</w:t>
        </w:r>
      </w:hyperlink>
    </w:p>
    <w:p w:rsidR="00000000" w:rsidRDefault="00C9777F">
      <w:pPr>
        <w:ind w:hanging="900"/>
        <w:divId w:val="226570896"/>
        <w:rPr>
          <w:rFonts w:eastAsia="Times New Roman"/>
        </w:rPr>
      </w:pPr>
      <w:hyperlink r:id="rId7" w:history="1">
        <w:r>
          <w:rPr>
            <w:rStyle w:val="a3"/>
            <w:rFonts w:eastAsia="Times New Roman"/>
            <w:sz w:val="20"/>
            <w:szCs w:val="20"/>
          </w:rPr>
          <w:t>(10.1) Revolving Credit Agreement, dated as of July 29, 2022, by and among L3Harris Technologies, Inc. and the other parties thereto, incorporated her</w:t>
        </w:r>
        <w:r>
          <w:rPr>
            <w:rStyle w:val="a3"/>
            <w:rFonts w:eastAsia="Times New Roman"/>
            <w:sz w:val="20"/>
            <w:szCs w:val="20"/>
          </w:rPr>
          <w:t>ein by reference to Exhibit 10.1 to L3Harris Technologies, Inc.’s Current Report on Form 8-K filed with the SEC on August 4, 2022. (Commission File Number 1-3863)</w:t>
        </w:r>
      </w:hyperlink>
    </w:p>
    <w:p w:rsidR="00000000" w:rsidRDefault="00C9777F">
      <w:pPr>
        <w:ind w:hanging="900"/>
        <w:divId w:val="1321730533"/>
        <w:rPr>
          <w:rFonts w:eastAsia="Times New Roman"/>
        </w:rPr>
      </w:pPr>
      <w:hyperlink r:id="rId8" w:history="1">
        <w:r>
          <w:rPr>
            <w:rStyle w:val="a3"/>
            <w:rFonts w:eastAsia="Times New Roman"/>
            <w:sz w:val="20"/>
            <w:szCs w:val="20"/>
          </w:rPr>
          <w:t xml:space="preserve">(15)    Letter Regarding Unaudited Interim Financial </w:t>
        </w:r>
        <w:r>
          <w:rPr>
            <w:rStyle w:val="a3"/>
            <w:rFonts w:eastAsia="Times New Roman"/>
            <w:sz w:val="20"/>
            <w:szCs w:val="20"/>
          </w:rPr>
          <w:t>Information.</w:t>
        </w:r>
      </w:hyperlink>
    </w:p>
    <w:p w:rsidR="00000000" w:rsidRDefault="00C9777F">
      <w:pPr>
        <w:ind w:hanging="900"/>
        <w:divId w:val="984823280"/>
        <w:rPr>
          <w:rFonts w:eastAsia="Times New Roman"/>
        </w:rPr>
      </w:pPr>
      <w:hyperlink r:id="rId9" w:history="1">
        <w:r>
          <w:rPr>
            <w:rStyle w:val="a3"/>
            <w:rFonts w:eastAsia="Times New Roman"/>
            <w:sz w:val="20"/>
            <w:szCs w:val="20"/>
          </w:rPr>
          <w:t>(31.1)    Rule 13a-14(a)/15d-14(a) Certification of Chief Executive Officer.</w:t>
        </w:r>
      </w:hyperlink>
    </w:p>
    <w:p w:rsidR="00000000" w:rsidRDefault="00C9777F">
      <w:pPr>
        <w:ind w:hanging="900"/>
        <w:divId w:val="1522090840"/>
        <w:rPr>
          <w:rFonts w:eastAsia="Times New Roman"/>
        </w:rPr>
      </w:pPr>
      <w:hyperlink r:id="rId10" w:history="1">
        <w:r>
          <w:rPr>
            <w:rStyle w:val="a3"/>
            <w:rFonts w:eastAsia="Times New Roman"/>
            <w:sz w:val="20"/>
            <w:szCs w:val="20"/>
          </w:rPr>
          <w:t>(31.2)    Rule 13a-14(a)/15d-14(a) Certification of Chief Financial Officer.</w:t>
        </w:r>
      </w:hyperlink>
    </w:p>
    <w:p w:rsidR="00000000" w:rsidRDefault="00C9777F">
      <w:pPr>
        <w:ind w:hanging="900"/>
        <w:divId w:val="800807573"/>
        <w:rPr>
          <w:rFonts w:eastAsia="Times New Roman"/>
        </w:rPr>
      </w:pPr>
      <w:hyperlink r:id="rId11" w:history="1">
        <w:r>
          <w:rPr>
            <w:rStyle w:val="a3"/>
            <w:rFonts w:eastAsia="Times New Roman"/>
            <w:sz w:val="20"/>
            <w:szCs w:val="20"/>
          </w:rPr>
          <w:t>(32.1)    Section 1350 Certification of Chief Executive Officer.</w:t>
        </w:r>
      </w:hyperlink>
    </w:p>
    <w:p w:rsidR="00000000" w:rsidRDefault="00C9777F">
      <w:pPr>
        <w:ind w:hanging="900"/>
        <w:divId w:val="481166753"/>
        <w:rPr>
          <w:rFonts w:eastAsia="Times New Roman"/>
        </w:rPr>
      </w:pPr>
      <w:hyperlink r:id="rId12" w:history="1">
        <w:r>
          <w:rPr>
            <w:rStyle w:val="a3"/>
            <w:rFonts w:eastAsia="Times New Roman"/>
            <w:sz w:val="20"/>
            <w:szCs w:val="20"/>
          </w:rPr>
          <w:t>(32.2)    Section 1350 Certification of Chief Financial Officer.</w:t>
        </w:r>
      </w:hyperlink>
    </w:p>
    <w:p w:rsidR="00000000" w:rsidRDefault="00C9777F">
      <w:pPr>
        <w:ind w:hanging="900"/>
        <w:divId w:val="215775115"/>
        <w:rPr>
          <w:rFonts w:eastAsia="Times New Roman"/>
        </w:rPr>
      </w:pPr>
      <w:r>
        <w:rPr>
          <w:rFonts w:eastAsia="Times New Roman"/>
          <w:color w:val="000000"/>
          <w:sz w:val="20"/>
          <w:szCs w:val="20"/>
        </w:rPr>
        <w:t>(101) The financial information from L3Harris T</w:t>
      </w:r>
      <w:r>
        <w:rPr>
          <w:rFonts w:eastAsia="Times New Roman"/>
          <w:color w:val="000000"/>
          <w:sz w:val="20"/>
          <w:szCs w:val="20"/>
        </w:rPr>
        <w:t>echnologies, Inc.’s Quarterly Report on Form 10-Q for the fiscal quarter ended September 30, 2022 formatted in Inline XBRL (Extensible Business Reporting Language) includes: (i) the Condensed Consolidated Statement of Operations, (ii) the Condensed Consoli</w:t>
      </w:r>
      <w:r>
        <w:rPr>
          <w:rFonts w:eastAsia="Times New Roman"/>
          <w:color w:val="000000"/>
          <w:sz w:val="20"/>
          <w:szCs w:val="20"/>
        </w:rPr>
        <w:t>dated Statement of Comprehensive (Loss)Income, (iii) the Condensed Consolidated Balance Sheet, (iv) the Condensed Consolidated Statement of Cash Flows, (v) the Condensed Consolidated Statement of Equity, and (vi) the Notes to Condensed Consolidated Financi</w:t>
      </w:r>
      <w:r>
        <w:rPr>
          <w:rFonts w:eastAsia="Times New Roman"/>
          <w:color w:val="000000"/>
          <w:sz w:val="20"/>
          <w:szCs w:val="20"/>
        </w:rPr>
        <w:t>al Statements.</w:t>
      </w:r>
    </w:p>
    <w:p w:rsidR="00000000" w:rsidRDefault="00C9777F">
      <w:pPr>
        <w:ind w:hanging="900"/>
        <w:divId w:val="1000549479"/>
        <w:rPr>
          <w:rFonts w:eastAsia="Times New Roman"/>
        </w:rPr>
      </w:pPr>
      <w:r>
        <w:rPr>
          <w:rFonts w:eastAsia="Times New Roman"/>
          <w:color w:val="000000"/>
          <w:sz w:val="20"/>
          <w:szCs w:val="20"/>
        </w:rPr>
        <w:t>(104) Cover Page Interactive Data File formatted in Inline XBRL and contained in Exhibit 101.</w:t>
      </w:r>
    </w:p>
    <w:p w:rsidR="00000000" w:rsidRDefault="00C9777F">
      <w:pPr>
        <w:ind w:firstLine="360"/>
        <w:jc w:val="center"/>
        <w:divId w:val="1929658251"/>
        <w:rPr>
          <w:rFonts w:eastAsia="Times New Roman"/>
        </w:rPr>
      </w:pPr>
      <w:r>
        <w:rPr>
          <w:rFonts w:eastAsia="Times New Roman"/>
          <w:color w:val="000000"/>
          <w:sz w:val="20"/>
          <w:szCs w:val="20"/>
        </w:rPr>
        <w:t>36</w:t>
      </w:r>
    </w:p>
    <w:p w:rsidR="00000000" w:rsidRDefault="00C9777F">
      <w:pPr>
        <w:rPr>
          <w:rFonts w:eastAsia="Times New Roman"/>
        </w:rPr>
      </w:pPr>
      <w:r>
        <w:rPr>
          <w:rFonts w:eastAsia="Times New Roman"/>
        </w:rPr>
        <w:pict>
          <v:rect id="_x0000_i1063" style="width:0;height:1.5pt" o:hralign="center" o:hrstd="t" o:hr="t" fillcolor="#a0a0a0" stroked="f"/>
        </w:pict>
      </w:r>
    </w:p>
    <w:p w:rsidR="00000000" w:rsidRDefault="00C9777F">
      <w:pPr>
        <w:ind w:firstLine="360"/>
        <w:divId w:val="1819685436"/>
        <w:rPr>
          <w:rFonts w:eastAsia="Times New Roman"/>
        </w:rPr>
      </w:pPr>
    </w:p>
    <w:p w:rsidR="00000000" w:rsidRDefault="00C9777F">
      <w:pPr>
        <w:ind w:firstLine="360"/>
        <w:jc w:val="center"/>
        <w:divId w:val="1584215359"/>
        <w:rPr>
          <w:rFonts w:eastAsia="Times New Roman"/>
        </w:rPr>
      </w:pPr>
      <w:r>
        <w:rPr>
          <w:rFonts w:eastAsia="Times New Roman"/>
          <w:b/>
          <w:bCs/>
          <w:color w:val="000000"/>
          <w:sz w:val="20"/>
          <w:szCs w:val="20"/>
        </w:rPr>
        <w:t>SIGNATURES</w:t>
      </w:r>
    </w:p>
    <w:p w:rsidR="00000000" w:rsidRDefault="00C9777F">
      <w:pPr>
        <w:ind w:firstLine="360"/>
        <w:divId w:val="933786120"/>
        <w:rPr>
          <w:rFonts w:eastAsia="Times New Roman"/>
        </w:rPr>
      </w:pPr>
      <w:r>
        <w:rPr>
          <w:rFonts w:eastAsia="Times New Roman"/>
          <w:color w:val="000000"/>
          <w:sz w:val="20"/>
          <w:szCs w:val="20"/>
        </w:rPr>
        <w:t>Pursuant to the requirements of the Securities Exchange Act of 1934, the registrant has duly ca</w:t>
      </w:r>
      <w:r>
        <w:rPr>
          <w:rFonts w:eastAsia="Times New Roman"/>
          <w:color w:val="000000"/>
          <w:sz w:val="20"/>
          <w:szCs w:val="20"/>
        </w:rPr>
        <w:t>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087"/>
        <w:gridCol w:w="36"/>
        <w:gridCol w:w="36"/>
        <w:gridCol w:w="167"/>
        <w:gridCol w:w="36"/>
        <w:gridCol w:w="82"/>
        <w:gridCol w:w="239"/>
        <w:gridCol w:w="37"/>
        <w:gridCol w:w="37"/>
        <w:gridCol w:w="829"/>
        <w:gridCol w:w="36"/>
        <w:gridCol w:w="65"/>
        <w:gridCol w:w="3519"/>
        <w:gridCol w:w="36"/>
      </w:tblGrid>
      <w:tr w:rsidR="00000000">
        <w:trPr>
          <w:divId w:val="411897551"/>
        </w:trPr>
        <w:tc>
          <w:tcPr>
            <w:tcW w:w="50" w:type="pct"/>
            <w:vAlign w:val="center"/>
            <w:hideMark/>
          </w:tcPr>
          <w:p w:rsidR="00000000" w:rsidRDefault="00C9777F">
            <w:pPr>
              <w:ind w:firstLine="360"/>
              <w:rPr>
                <w:rFonts w:eastAsia="Times New Roman"/>
              </w:rPr>
            </w:pPr>
          </w:p>
        </w:tc>
        <w:tc>
          <w:tcPr>
            <w:tcW w:w="1870"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1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146"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512"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c>
          <w:tcPr>
            <w:tcW w:w="50" w:type="pct"/>
            <w:vAlign w:val="center"/>
            <w:hideMark/>
          </w:tcPr>
          <w:p w:rsidR="00000000" w:rsidRDefault="00C9777F">
            <w:pPr>
              <w:spacing w:after="100"/>
              <w:rPr>
                <w:rFonts w:eastAsia="Times New Roman"/>
                <w:sz w:val="20"/>
                <w:szCs w:val="20"/>
              </w:rPr>
            </w:pPr>
          </w:p>
        </w:tc>
        <w:tc>
          <w:tcPr>
            <w:tcW w:w="2129" w:type="pct"/>
            <w:vAlign w:val="center"/>
            <w:hideMark/>
          </w:tcPr>
          <w:p w:rsidR="00000000" w:rsidRDefault="00C9777F">
            <w:pPr>
              <w:spacing w:after="100"/>
              <w:rPr>
                <w:rFonts w:eastAsia="Times New Roman"/>
                <w:sz w:val="20"/>
                <w:szCs w:val="20"/>
              </w:rPr>
            </w:pPr>
          </w:p>
        </w:tc>
        <w:tc>
          <w:tcPr>
            <w:tcW w:w="5" w:type="pct"/>
            <w:vAlign w:val="center"/>
            <w:hideMark/>
          </w:tcPr>
          <w:p w:rsidR="00000000" w:rsidRDefault="00C9777F">
            <w:pPr>
              <w:spacing w:after="100"/>
              <w:rPr>
                <w:rFonts w:eastAsia="Times New Roman"/>
                <w:sz w:val="20"/>
                <w:szCs w:val="20"/>
              </w:rPr>
            </w:pPr>
          </w:p>
        </w:tc>
      </w:tr>
      <w:tr w:rsidR="00000000">
        <w:trPr>
          <w:divId w:val="411897551"/>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b/>
                <w:bCs/>
                <w:color w:val="000000"/>
                <w:sz w:val="20"/>
                <w:szCs w:val="20"/>
              </w:rPr>
              <w:t>L3HARRIS TECHNOLOGIES, INC.</w:t>
            </w:r>
          </w:p>
        </w:tc>
      </w:tr>
      <w:tr w:rsidR="00000000">
        <w:trPr>
          <w:divId w:val="41189755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(Registrant)</w:t>
            </w:r>
          </w:p>
        </w:tc>
      </w:tr>
      <w:tr w:rsidR="00000000">
        <w:trPr>
          <w:divId w:val="411897551"/>
        </w:trPr>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Date: October 31, 2022</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9777F">
            <w:pPr>
              <w:spacing w:after="100"/>
              <w:divId w:val="1082332222"/>
              <w:rPr>
                <w:rFonts w:eastAsia="Times New Roman"/>
              </w:rPr>
            </w:pPr>
            <w:r>
              <w:rPr>
                <w:rFonts w:eastAsia="Times New Roman"/>
                <w:color w:val="000000"/>
                <w:sz w:val="20"/>
                <w:szCs w:val="20"/>
              </w:rPr>
              <w:t>/s/    M</w:t>
            </w:r>
            <w:r>
              <w:rPr>
                <w:rFonts w:eastAsia="Times New Roman"/>
                <w:color w:val="000000"/>
                <w:sz w:val="16"/>
                <w:szCs w:val="16"/>
              </w:rPr>
              <w:t>ICHELLE</w:t>
            </w:r>
            <w:r>
              <w:rPr>
                <w:rFonts w:eastAsia="Times New Roman"/>
                <w:color w:val="000000"/>
                <w:sz w:val="20"/>
                <w:szCs w:val="20"/>
              </w:rPr>
              <w:t xml:space="preserve"> L. T</w:t>
            </w:r>
            <w:r>
              <w:rPr>
                <w:rFonts w:eastAsia="Times New Roman"/>
                <w:color w:val="000000"/>
                <w:sz w:val="16"/>
                <w:szCs w:val="16"/>
              </w:rPr>
              <w:t>URNER</w:t>
            </w:r>
          </w:p>
        </w:tc>
      </w:tr>
      <w:tr w:rsidR="00000000">
        <w:trPr>
          <w:divId w:val="41189755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Michelle L. Turner</w:t>
            </w:r>
          </w:p>
        </w:tc>
      </w:tr>
      <w:tr w:rsidR="00000000">
        <w:trPr>
          <w:divId w:val="411897551"/>
        </w:trPr>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9777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9777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C9777F">
            <w:pPr>
              <w:spacing w:after="100"/>
              <w:rPr>
                <w:rFonts w:eastAsia="Times New Roman"/>
              </w:rPr>
            </w:pPr>
            <w:r>
              <w:rPr>
                <w:rFonts w:eastAsia="Times New Roman"/>
                <w:color w:val="000000"/>
                <w:sz w:val="20"/>
                <w:szCs w:val="20"/>
              </w:rPr>
              <w:t>Senior Vice President and Chief Financial Officer</w:t>
            </w:r>
            <w:r>
              <w:rPr>
                <w:rFonts w:eastAsia="Times New Roman"/>
                <w:color w:val="000000"/>
                <w:sz w:val="20"/>
                <w:szCs w:val="20"/>
              </w:rPr>
              <w:br/>
              <w:t>(Principal Financial Officer)</w:t>
            </w:r>
          </w:p>
        </w:tc>
      </w:tr>
    </w:tbl>
    <w:p w:rsidR="00000000" w:rsidRDefault="00C9777F">
      <w:pPr>
        <w:ind w:firstLine="360"/>
        <w:divId w:val="911350957"/>
        <w:rPr>
          <w:rFonts w:eastAsia="Times New Roman"/>
        </w:rPr>
      </w:pPr>
    </w:p>
    <w:p w:rsidR="00C9777F" w:rsidRDefault="00C9777F">
      <w:pPr>
        <w:ind w:firstLine="360"/>
        <w:jc w:val="center"/>
        <w:divId w:val="714697025"/>
        <w:rPr>
          <w:rFonts w:eastAsia="Times New Roman"/>
        </w:rPr>
      </w:pPr>
      <w:r>
        <w:rPr>
          <w:rFonts w:eastAsia="Times New Roman"/>
          <w:color w:val="000000"/>
          <w:sz w:val="20"/>
          <w:szCs w:val="20"/>
        </w:rPr>
        <w:t>37</w:t>
      </w:r>
    </w:p>
    <w:sectPr w:rsidR="00C9777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777F"/>
    <w:rsid w:val="00C9777F"/>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www.xbrl.org/2003/iso4217"/>
  <w:attachedSchema w:val="http://fasb.org/us-gaap/2022"/>
  <w:attachedSchema w:val="http://www.xbrl.org/2003/instance"/>
  <w:attachedSchema w:val="http://xbrl.sec.gov/country/2022"/>
  <w:attachedSchema w:val="http://xbrl.org/2006/xbrldi"/>
  <w:attachedSchema w:val="http://www.xbrl.org/2003/linkbase"/>
  <w:attachedSchema w:val="http://www.w3.org/1999/xlink"/>
  <w:attachedSchema w:val="http://www.xbrl.org/2013/inlineXBRL"/>
  <w:attachedSchema w:val="http://www.sec.gov/inlineXBRL/transformation/2015-08-31"/>
  <w:attachedSchema w:val="http://harris.com/20220930"/>
  <w:attachedSchema w:val="http://www.xbrl.org/inlineXBRL/transformation/2020-02-12"/>
  <w:attachedSchema w:val="http://xbrl.sec.gov/dei/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51">
      <w:marLeft w:val="0"/>
      <w:marRight w:val="0"/>
      <w:marTop w:val="0"/>
      <w:marBottom w:val="100"/>
      <w:divBdr>
        <w:top w:val="none" w:sz="0" w:space="0" w:color="auto"/>
        <w:left w:val="none" w:sz="0" w:space="0" w:color="auto"/>
        <w:bottom w:val="none" w:sz="0" w:space="0" w:color="auto"/>
        <w:right w:val="none" w:sz="0" w:space="0" w:color="auto"/>
      </w:divBdr>
    </w:div>
    <w:div w:id="3099784">
      <w:marLeft w:val="0"/>
      <w:marRight w:val="0"/>
      <w:marTop w:val="180"/>
      <w:marBottom w:val="0"/>
      <w:divBdr>
        <w:top w:val="none" w:sz="0" w:space="0" w:color="auto"/>
        <w:left w:val="none" w:sz="0" w:space="0" w:color="auto"/>
        <w:bottom w:val="none" w:sz="0" w:space="0" w:color="auto"/>
        <w:right w:val="none" w:sz="0" w:space="0" w:color="auto"/>
      </w:divBdr>
    </w:div>
    <w:div w:id="15693406">
      <w:marLeft w:val="0"/>
      <w:marRight w:val="0"/>
      <w:marTop w:val="180"/>
      <w:marBottom w:val="0"/>
      <w:divBdr>
        <w:top w:val="none" w:sz="0" w:space="0" w:color="auto"/>
        <w:left w:val="none" w:sz="0" w:space="0" w:color="auto"/>
        <w:bottom w:val="none" w:sz="0" w:space="0" w:color="auto"/>
        <w:right w:val="none" w:sz="0" w:space="0" w:color="auto"/>
      </w:divBdr>
    </w:div>
    <w:div w:id="17052727">
      <w:marLeft w:val="0"/>
      <w:marRight w:val="0"/>
      <w:marTop w:val="100"/>
      <w:marBottom w:val="100"/>
      <w:divBdr>
        <w:top w:val="none" w:sz="0" w:space="0" w:color="auto"/>
        <w:left w:val="none" w:sz="0" w:space="0" w:color="auto"/>
        <w:bottom w:val="none" w:sz="0" w:space="0" w:color="auto"/>
        <w:right w:val="none" w:sz="0" w:space="0" w:color="auto"/>
      </w:divBdr>
    </w:div>
    <w:div w:id="33509292">
      <w:marLeft w:val="0"/>
      <w:marRight w:val="0"/>
      <w:marTop w:val="100"/>
      <w:marBottom w:val="100"/>
      <w:divBdr>
        <w:top w:val="none" w:sz="0" w:space="0" w:color="auto"/>
        <w:left w:val="none" w:sz="0" w:space="0" w:color="auto"/>
        <w:bottom w:val="none" w:sz="0" w:space="0" w:color="auto"/>
        <w:right w:val="none" w:sz="0" w:space="0" w:color="auto"/>
      </w:divBdr>
    </w:div>
    <w:div w:id="35084664">
      <w:marLeft w:val="0"/>
      <w:marRight w:val="0"/>
      <w:marTop w:val="180"/>
      <w:marBottom w:val="0"/>
      <w:divBdr>
        <w:top w:val="none" w:sz="0" w:space="0" w:color="auto"/>
        <w:left w:val="none" w:sz="0" w:space="0" w:color="auto"/>
        <w:bottom w:val="none" w:sz="0" w:space="0" w:color="auto"/>
        <w:right w:val="none" w:sz="0" w:space="0" w:color="auto"/>
      </w:divBdr>
    </w:div>
    <w:div w:id="45421167">
      <w:marLeft w:val="0"/>
      <w:marRight w:val="0"/>
      <w:marTop w:val="0"/>
      <w:marBottom w:val="100"/>
      <w:divBdr>
        <w:top w:val="none" w:sz="0" w:space="0" w:color="auto"/>
        <w:left w:val="none" w:sz="0" w:space="0" w:color="auto"/>
        <w:bottom w:val="none" w:sz="0" w:space="0" w:color="auto"/>
        <w:right w:val="none" w:sz="0" w:space="0" w:color="auto"/>
      </w:divBdr>
    </w:div>
    <w:div w:id="58408002">
      <w:marLeft w:val="0"/>
      <w:marRight w:val="0"/>
      <w:marTop w:val="180"/>
      <w:marBottom w:val="0"/>
      <w:divBdr>
        <w:top w:val="none" w:sz="0" w:space="0" w:color="auto"/>
        <w:left w:val="none" w:sz="0" w:space="0" w:color="auto"/>
        <w:bottom w:val="none" w:sz="0" w:space="0" w:color="auto"/>
        <w:right w:val="none" w:sz="0" w:space="0" w:color="auto"/>
      </w:divBdr>
    </w:div>
    <w:div w:id="62332843">
      <w:marLeft w:val="0"/>
      <w:marRight w:val="0"/>
      <w:marTop w:val="180"/>
      <w:marBottom w:val="0"/>
      <w:divBdr>
        <w:top w:val="none" w:sz="0" w:space="0" w:color="auto"/>
        <w:left w:val="none" w:sz="0" w:space="0" w:color="auto"/>
        <w:bottom w:val="none" w:sz="0" w:space="0" w:color="auto"/>
        <w:right w:val="none" w:sz="0" w:space="0" w:color="auto"/>
      </w:divBdr>
      <w:divsChild>
        <w:div w:id="895362921">
          <w:marLeft w:val="0"/>
          <w:marRight w:val="0"/>
          <w:marTop w:val="100"/>
          <w:marBottom w:val="0"/>
          <w:divBdr>
            <w:top w:val="none" w:sz="0" w:space="0" w:color="auto"/>
            <w:left w:val="none" w:sz="0" w:space="0" w:color="auto"/>
            <w:bottom w:val="none" w:sz="0" w:space="0" w:color="auto"/>
            <w:right w:val="none" w:sz="0" w:space="0" w:color="auto"/>
          </w:divBdr>
        </w:div>
      </w:divsChild>
    </w:div>
    <w:div w:id="66003543">
      <w:marLeft w:val="0"/>
      <w:marRight w:val="0"/>
      <w:marTop w:val="0"/>
      <w:marBottom w:val="100"/>
      <w:divBdr>
        <w:top w:val="none" w:sz="0" w:space="0" w:color="auto"/>
        <w:left w:val="none" w:sz="0" w:space="0" w:color="auto"/>
        <w:bottom w:val="none" w:sz="0" w:space="0" w:color="auto"/>
        <w:right w:val="none" w:sz="0" w:space="0" w:color="auto"/>
      </w:divBdr>
    </w:div>
    <w:div w:id="66878045">
      <w:marLeft w:val="0"/>
      <w:marRight w:val="0"/>
      <w:marTop w:val="100"/>
      <w:marBottom w:val="100"/>
      <w:divBdr>
        <w:top w:val="none" w:sz="0" w:space="0" w:color="auto"/>
        <w:left w:val="none" w:sz="0" w:space="0" w:color="auto"/>
        <w:bottom w:val="none" w:sz="0" w:space="0" w:color="auto"/>
        <w:right w:val="none" w:sz="0" w:space="0" w:color="auto"/>
      </w:divBdr>
    </w:div>
    <w:div w:id="70929735">
      <w:marLeft w:val="0"/>
      <w:marRight w:val="0"/>
      <w:marTop w:val="180"/>
      <w:marBottom w:val="0"/>
      <w:divBdr>
        <w:top w:val="none" w:sz="0" w:space="0" w:color="auto"/>
        <w:left w:val="none" w:sz="0" w:space="0" w:color="auto"/>
        <w:bottom w:val="none" w:sz="0" w:space="0" w:color="auto"/>
        <w:right w:val="none" w:sz="0" w:space="0" w:color="auto"/>
      </w:divBdr>
    </w:div>
    <w:div w:id="72166782">
      <w:marLeft w:val="0"/>
      <w:marRight w:val="0"/>
      <w:marTop w:val="0"/>
      <w:marBottom w:val="0"/>
      <w:divBdr>
        <w:top w:val="none" w:sz="0" w:space="0" w:color="auto"/>
        <w:left w:val="none" w:sz="0" w:space="0" w:color="auto"/>
        <w:bottom w:val="none" w:sz="0" w:space="0" w:color="auto"/>
        <w:right w:val="none" w:sz="0" w:space="0" w:color="auto"/>
      </w:divBdr>
    </w:div>
    <w:div w:id="79958660">
      <w:marLeft w:val="0"/>
      <w:marRight w:val="0"/>
      <w:marTop w:val="0"/>
      <w:marBottom w:val="0"/>
      <w:divBdr>
        <w:top w:val="none" w:sz="0" w:space="0" w:color="auto"/>
        <w:left w:val="none" w:sz="0" w:space="0" w:color="auto"/>
        <w:bottom w:val="none" w:sz="0" w:space="0" w:color="auto"/>
        <w:right w:val="none" w:sz="0" w:space="0" w:color="auto"/>
      </w:divBdr>
      <w:divsChild>
        <w:div w:id="1748188151">
          <w:marLeft w:val="0"/>
          <w:marRight w:val="0"/>
          <w:marTop w:val="0"/>
          <w:marBottom w:val="0"/>
          <w:divBdr>
            <w:top w:val="none" w:sz="0" w:space="0" w:color="auto"/>
            <w:left w:val="none" w:sz="0" w:space="0" w:color="auto"/>
            <w:bottom w:val="none" w:sz="0" w:space="0" w:color="auto"/>
            <w:right w:val="none" w:sz="0" w:space="0" w:color="auto"/>
          </w:divBdr>
          <w:divsChild>
            <w:div w:id="8745867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0641580">
      <w:marLeft w:val="0"/>
      <w:marRight w:val="0"/>
      <w:marTop w:val="180"/>
      <w:marBottom w:val="100"/>
      <w:divBdr>
        <w:top w:val="none" w:sz="0" w:space="0" w:color="auto"/>
        <w:left w:val="none" w:sz="0" w:space="0" w:color="auto"/>
        <w:bottom w:val="none" w:sz="0" w:space="0" w:color="auto"/>
        <w:right w:val="none" w:sz="0" w:space="0" w:color="auto"/>
      </w:divBdr>
    </w:div>
    <w:div w:id="92015025">
      <w:marLeft w:val="0"/>
      <w:marRight w:val="0"/>
      <w:marTop w:val="100"/>
      <w:marBottom w:val="60"/>
      <w:divBdr>
        <w:top w:val="none" w:sz="0" w:space="0" w:color="auto"/>
        <w:left w:val="none" w:sz="0" w:space="0" w:color="auto"/>
        <w:bottom w:val="none" w:sz="0" w:space="0" w:color="auto"/>
        <w:right w:val="none" w:sz="0" w:space="0" w:color="auto"/>
      </w:divBdr>
    </w:div>
    <w:div w:id="94175522">
      <w:marLeft w:val="0"/>
      <w:marRight w:val="0"/>
      <w:marTop w:val="0"/>
      <w:marBottom w:val="100"/>
      <w:divBdr>
        <w:top w:val="none" w:sz="0" w:space="0" w:color="auto"/>
        <w:left w:val="none" w:sz="0" w:space="0" w:color="auto"/>
        <w:bottom w:val="none" w:sz="0" w:space="0" w:color="auto"/>
        <w:right w:val="none" w:sz="0" w:space="0" w:color="auto"/>
      </w:divBdr>
    </w:div>
    <w:div w:id="102700596">
      <w:marLeft w:val="0"/>
      <w:marRight w:val="0"/>
      <w:marTop w:val="0"/>
      <w:marBottom w:val="100"/>
      <w:divBdr>
        <w:top w:val="none" w:sz="0" w:space="0" w:color="auto"/>
        <w:left w:val="none" w:sz="0" w:space="0" w:color="auto"/>
        <w:bottom w:val="none" w:sz="0" w:space="0" w:color="auto"/>
        <w:right w:val="none" w:sz="0" w:space="0" w:color="auto"/>
      </w:divBdr>
    </w:div>
    <w:div w:id="106974739">
      <w:marLeft w:val="0"/>
      <w:marRight w:val="0"/>
      <w:marTop w:val="0"/>
      <w:marBottom w:val="0"/>
      <w:divBdr>
        <w:top w:val="none" w:sz="0" w:space="0" w:color="auto"/>
        <w:left w:val="none" w:sz="0" w:space="0" w:color="auto"/>
        <w:bottom w:val="none" w:sz="0" w:space="0" w:color="auto"/>
        <w:right w:val="none" w:sz="0" w:space="0" w:color="auto"/>
      </w:divBdr>
      <w:divsChild>
        <w:div w:id="1509523342">
          <w:marLeft w:val="0"/>
          <w:marRight w:val="0"/>
          <w:marTop w:val="0"/>
          <w:marBottom w:val="0"/>
          <w:divBdr>
            <w:top w:val="none" w:sz="0" w:space="0" w:color="auto"/>
            <w:left w:val="none" w:sz="0" w:space="0" w:color="auto"/>
            <w:bottom w:val="none" w:sz="0" w:space="0" w:color="auto"/>
            <w:right w:val="none" w:sz="0" w:space="0" w:color="auto"/>
          </w:divBdr>
          <w:divsChild>
            <w:div w:id="4423069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0632658">
      <w:marLeft w:val="0"/>
      <w:marRight w:val="0"/>
      <w:marTop w:val="0"/>
      <w:marBottom w:val="100"/>
      <w:divBdr>
        <w:top w:val="none" w:sz="0" w:space="0" w:color="auto"/>
        <w:left w:val="none" w:sz="0" w:space="0" w:color="auto"/>
        <w:bottom w:val="none" w:sz="0" w:space="0" w:color="auto"/>
        <w:right w:val="none" w:sz="0" w:space="0" w:color="auto"/>
      </w:divBdr>
    </w:div>
    <w:div w:id="110828993">
      <w:marLeft w:val="0"/>
      <w:marRight w:val="0"/>
      <w:marTop w:val="100"/>
      <w:marBottom w:val="100"/>
      <w:divBdr>
        <w:top w:val="none" w:sz="0" w:space="0" w:color="auto"/>
        <w:left w:val="none" w:sz="0" w:space="0" w:color="auto"/>
        <w:bottom w:val="none" w:sz="0" w:space="0" w:color="auto"/>
        <w:right w:val="none" w:sz="0" w:space="0" w:color="auto"/>
      </w:divBdr>
    </w:div>
    <w:div w:id="112948238">
      <w:marLeft w:val="0"/>
      <w:marRight w:val="0"/>
      <w:marTop w:val="0"/>
      <w:marBottom w:val="0"/>
      <w:divBdr>
        <w:top w:val="none" w:sz="0" w:space="0" w:color="auto"/>
        <w:left w:val="none" w:sz="0" w:space="0" w:color="auto"/>
        <w:bottom w:val="none" w:sz="0" w:space="0" w:color="auto"/>
        <w:right w:val="none" w:sz="0" w:space="0" w:color="auto"/>
      </w:divBdr>
      <w:divsChild>
        <w:div w:id="1913470793">
          <w:marLeft w:val="0"/>
          <w:marRight w:val="0"/>
          <w:marTop w:val="0"/>
          <w:marBottom w:val="100"/>
          <w:divBdr>
            <w:top w:val="none" w:sz="0" w:space="0" w:color="auto"/>
            <w:left w:val="none" w:sz="0" w:space="0" w:color="auto"/>
            <w:bottom w:val="none" w:sz="0" w:space="0" w:color="auto"/>
            <w:right w:val="none" w:sz="0" w:space="0" w:color="auto"/>
          </w:divBdr>
        </w:div>
        <w:div w:id="1828663229">
          <w:marLeft w:val="0"/>
          <w:marRight w:val="0"/>
          <w:marTop w:val="0"/>
          <w:marBottom w:val="100"/>
          <w:divBdr>
            <w:top w:val="none" w:sz="0" w:space="0" w:color="auto"/>
            <w:left w:val="none" w:sz="0" w:space="0" w:color="auto"/>
            <w:bottom w:val="none" w:sz="0" w:space="0" w:color="auto"/>
            <w:right w:val="none" w:sz="0" w:space="0" w:color="auto"/>
          </w:divBdr>
        </w:div>
      </w:divsChild>
    </w:div>
    <w:div w:id="118763766">
      <w:marLeft w:val="0"/>
      <w:marRight w:val="0"/>
      <w:marTop w:val="0"/>
      <w:marBottom w:val="0"/>
      <w:divBdr>
        <w:top w:val="none" w:sz="0" w:space="0" w:color="auto"/>
        <w:left w:val="none" w:sz="0" w:space="0" w:color="auto"/>
        <w:bottom w:val="none" w:sz="0" w:space="0" w:color="auto"/>
        <w:right w:val="none" w:sz="0" w:space="0" w:color="auto"/>
      </w:divBdr>
    </w:div>
    <w:div w:id="119538253">
      <w:marLeft w:val="0"/>
      <w:marRight w:val="0"/>
      <w:marTop w:val="180"/>
      <w:marBottom w:val="0"/>
      <w:divBdr>
        <w:top w:val="none" w:sz="0" w:space="0" w:color="auto"/>
        <w:left w:val="none" w:sz="0" w:space="0" w:color="auto"/>
        <w:bottom w:val="none" w:sz="0" w:space="0" w:color="auto"/>
        <w:right w:val="none" w:sz="0" w:space="0" w:color="auto"/>
      </w:divBdr>
    </w:div>
    <w:div w:id="136993269">
      <w:marLeft w:val="0"/>
      <w:marRight w:val="0"/>
      <w:marTop w:val="0"/>
      <w:marBottom w:val="0"/>
      <w:divBdr>
        <w:top w:val="none" w:sz="0" w:space="0" w:color="auto"/>
        <w:left w:val="none" w:sz="0" w:space="0" w:color="auto"/>
        <w:bottom w:val="none" w:sz="0" w:space="0" w:color="auto"/>
        <w:right w:val="none" w:sz="0" w:space="0" w:color="auto"/>
      </w:divBdr>
      <w:divsChild>
        <w:div w:id="1602184393">
          <w:marLeft w:val="0"/>
          <w:marRight w:val="0"/>
          <w:marTop w:val="0"/>
          <w:marBottom w:val="0"/>
          <w:divBdr>
            <w:top w:val="none" w:sz="0" w:space="0" w:color="auto"/>
            <w:left w:val="none" w:sz="0" w:space="0" w:color="auto"/>
            <w:bottom w:val="none" w:sz="0" w:space="0" w:color="auto"/>
            <w:right w:val="none" w:sz="0" w:space="0" w:color="auto"/>
          </w:divBdr>
          <w:divsChild>
            <w:div w:id="11928365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7499713">
      <w:marLeft w:val="0"/>
      <w:marRight w:val="0"/>
      <w:marTop w:val="0"/>
      <w:marBottom w:val="100"/>
      <w:divBdr>
        <w:top w:val="none" w:sz="0" w:space="0" w:color="auto"/>
        <w:left w:val="none" w:sz="0" w:space="0" w:color="auto"/>
        <w:bottom w:val="none" w:sz="0" w:space="0" w:color="auto"/>
        <w:right w:val="none" w:sz="0" w:space="0" w:color="auto"/>
      </w:divBdr>
    </w:div>
    <w:div w:id="138348466">
      <w:marLeft w:val="0"/>
      <w:marRight w:val="0"/>
      <w:marTop w:val="0"/>
      <w:marBottom w:val="0"/>
      <w:divBdr>
        <w:top w:val="none" w:sz="0" w:space="0" w:color="auto"/>
        <w:left w:val="none" w:sz="0" w:space="0" w:color="auto"/>
        <w:bottom w:val="none" w:sz="0" w:space="0" w:color="auto"/>
        <w:right w:val="none" w:sz="0" w:space="0" w:color="auto"/>
      </w:divBdr>
    </w:div>
    <w:div w:id="142044568">
      <w:marLeft w:val="0"/>
      <w:marRight w:val="0"/>
      <w:marTop w:val="180"/>
      <w:marBottom w:val="0"/>
      <w:divBdr>
        <w:top w:val="none" w:sz="0" w:space="0" w:color="auto"/>
        <w:left w:val="none" w:sz="0" w:space="0" w:color="auto"/>
        <w:bottom w:val="none" w:sz="0" w:space="0" w:color="auto"/>
        <w:right w:val="none" w:sz="0" w:space="0" w:color="auto"/>
      </w:divBdr>
    </w:div>
    <w:div w:id="143357194">
      <w:marLeft w:val="0"/>
      <w:marRight w:val="0"/>
      <w:marTop w:val="0"/>
      <w:marBottom w:val="0"/>
      <w:divBdr>
        <w:top w:val="none" w:sz="0" w:space="0" w:color="auto"/>
        <w:left w:val="none" w:sz="0" w:space="0" w:color="auto"/>
        <w:bottom w:val="none" w:sz="0" w:space="0" w:color="auto"/>
        <w:right w:val="none" w:sz="0" w:space="0" w:color="auto"/>
      </w:divBdr>
    </w:div>
    <w:div w:id="149443592">
      <w:marLeft w:val="0"/>
      <w:marRight w:val="0"/>
      <w:marTop w:val="180"/>
      <w:marBottom w:val="0"/>
      <w:divBdr>
        <w:top w:val="none" w:sz="0" w:space="0" w:color="auto"/>
        <w:left w:val="none" w:sz="0" w:space="0" w:color="auto"/>
        <w:bottom w:val="none" w:sz="0" w:space="0" w:color="auto"/>
        <w:right w:val="none" w:sz="0" w:space="0" w:color="auto"/>
      </w:divBdr>
    </w:div>
    <w:div w:id="151726495">
      <w:marLeft w:val="0"/>
      <w:marRight w:val="0"/>
      <w:marTop w:val="100"/>
      <w:marBottom w:val="100"/>
      <w:divBdr>
        <w:top w:val="none" w:sz="0" w:space="0" w:color="auto"/>
        <w:left w:val="none" w:sz="0" w:space="0" w:color="auto"/>
        <w:bottom w:val="none" w:sz="0" w:space="0" w:color="auto"/>
        <w:right w:val="none" w:sz="0" w:space="0" w:color="auto"/>
      </w:divBdr>
    </w:div>
    <w:div w:id="154956694">
      <w:marLeft w:val="0"/>
      <w:marRight w:val="0"/>
      <w:marTop w:val="100"/>
      <w:marBottom w:val="100"/>
      <w:divBdr>
        <w:top w:val="none" w:sz="0" w:space="0" w:color="auto"/>
        <w:left w:val="none" w:sz="0" w:space="0" w:color="auto"/>
        <w:bottom w:val="none" w:sz="0" w:space="0" w:color="auto"/>
        <w:right w:val="none" w:sz="0" w:space="0" w:color="auto"/>
      </w:divBdr>
    </w:div>
    <w:div w:id="156070849">
      <w:marLeft w:val="0"/>
      <w:marRight w:val="0"/>
      <w:marTop w:val="0"/>
      <w:marBottom w:val="100"/>
      <w:divBdr>
        <w:top w:val="none" w:sz="0" w:space="0" w:color="auto"/>
        <w:left w:val="none" w:sz="0" w:space="0" w:color="auto"/>
        <w:bottom w:val="none" w:sz="0" w:space="0" w:color="auto"/>
        <w:right w:val="none" w:sz="0" w:space="0" w:color="auto"/>
      </w:divBdr>
    </w:div>
    <w:div w:id="156726898">
      <w:marLeft w:val="0"/>
      <w:marRight w:val="0"/>
      <w:marTop w:val="0"/>
      <w:marBottom w:val="0"/>
      <w:divBdr>
        <w:top w:val="none" w:sz="0" w:space="0" w:color="auto"/>
        <w:left w:val="none" w:sz="0" w:space="0" w:color="auto"/>
        <w:bottom w:val="none" w:sz="0" w:space="0" w:color="auto"/>
        <w:right w:val="none" w:sz="0" w:space="0" w:color="auto"/>
      </w:divBdr>
      <w:divsChild>
        <w:div w:id="1839420332">
          <w:marLeft w:val="0"/>
          <w:marRight w:val="0"/>
          <w:marTop w:val="0"/>
          <w:marBottom w:val="0"/>
          <w:divBdr>
            <w:top w:val="none" w:sz="0" w:space="0" w:color="auto"/>
            <w:left w:val="none" w:sz="0" w:space="0" w:color="auto"/>
            <w:bottom w:val="none" w:sz="0" w:space="0" w:color="auto"/>
            <w:right w:val="none" w:sz="0" w:space="0" w:color="auto"/>
          </w:divBdr>
          <w:divsChild>
            <w:div w:id="20625140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7699353">
      <w:marLeft w:val="0"/>
      <w:marRight w:val="0"/>
      <w:marTop w:val="0"/>
      <w:marBottom w:val="100"/>
      <w:divBdr>
        <w:top w:val="none" w:sz="0" w:space="0" w:color="auto"/>
        <w:left w:val="none" w:sz="0" w:space="0" w:color="auto"/>
        <w:bottom w:val="none" w:sz="0" w:space="0" w:color="auto"/>
        <w:right w:val="none" w:sz="0" w:space="0" w:color="auto"/>
      </w:divBdr>
    </w:div>
    <w:div w:id="164708048">
      <w:marLeft w:val="0"/>
      <w:marRight w:val="0"/>
      <w:marTop w:val="0"/>
      <w:marBottom w:val="100"/>
      <w:divBdr>
        <w:top w:val="none" w:sz="0" w:space="0" w:color="auto"/>
        <w:left w:val="none" w:sz="0" w:space="0" w:color="auto"/>
        <w:bottom w:val="none" w:sz="0" w:space="0" w:color="auto"/>
        <w:right w:val="none" w:sz="0" w:space="0" w:color="auto"/>
      </w:divBdr>
    </w:div>
    <w:div w:id="166405414">
      <w:marLeft w:val="0"/>
      <w:marRight w:val="0"/>
      <w:marTop w:val="100"/>
      <w:marBottom w:val="100"/>
      <w:divBdr>
        <w:top w:val="none" w:sz="0" w:space="0" w:color="auto"/>
        <w:left w:val="none" w:sz="0" w:space="0" w:color="auto"/>
        <w:bottom w:val="none" w:sz="0" w:space="0" w:color="auto"/>
        <w:right w:val="none" w:sz="0" w:space="0" w:color="auto"/>
      </w:divBdr>
    </w:div>
    <w:div w:id="169294632">
      <w:marLeft w:val="0"/>
      <w:marRight w:val="0"/>
      <w:marTop w:val="0"/>
      <w:marBottom w:val="0"/>
      <w:divBdr>
        <w:top w:val="none" w:sz="0" w:space="0" w:color="auto"/>
        <w:left w:val="none" w:sz="0" w:space="0" w:color="auto"/>
        <w:bottom w:val="none" w:sz="0" w:space="0" w:color="auto"/>
        <w:right w:val="none" w:sz="0" w:space="0" w:color="auto"/>
      </w:divBdr>
    </w:div>
    <w:div w:id="176122983">
      <w:marLeft w:val="0"/>
      <w:marRight w:val="0"/>
      <w:marTop w:val="180"/>
      <w:marBottom w:val="100"/>
      <w:divBdr>
        <w:top w:val="none" w:sz="0" w:space="0" w:color="auto"/>
        <w:left w:val="none" w:sz="0" w:space="0" w:color="auto"/>
        <w:bottom w:val="none" w:sz="0" w:space="0" w:color="auto"/>
        <w:right w:val="none" w:sz="0" w:space="0" w:color="auto"/>
      </w:divBdr>
    </w:div>
    <w:div w:id="178005919">
      <w:marLeft w:val="0"/>
      <w:marRight w:val="0"/>
      <w:marTop w:val="180"/>
      <w:marBottom w:val="0"/>
      <w:divBdr>
        <w:top w:val="none" w:sz="0" w:space="0" w:color="auto"/>
        <w:left w:val="none" w:sz="0" w:space="0" w:color="auto"/>
        <w:bottom w:val="none" w:sz="0" w:space="0" w:color="auto"/>
        <w:right w:val="none" w:sz="0" w:space="0" w:color="auto"/>
      </w:divBdr>
      <w:divsChild>
        <w:div w:id="1002272367">
          <w:marLeft w:val="0"/>
          <w:marRight w:val="0"/>
          <w:marTop w:val="0"/>
          <w:marBottom w:val="0"/>
          <w:divBdr>
            <w:top w:val="none" w:sz="0" w:space="0" w:color="auto"/>
            <w:left w:val="none" w:sz="0" w:space="0" w:color="auto"/>
            <w:bottom w:val="none" w:sz="0" w:space="0" w:color="auto"/>
            <w:right w:val="none" w:sz="0" w:space="0" w:color="auto"/>
          </w:divBdr>
        </w:div>
      </w:divsChild>
    </w:div>
    <w:div w:id="184028709">
      <w:marLeft w:val="0"/>
      <w:marRight w:val="0"/>
      <w:marTop w:val="80"/>
      <w:marBottom w:val="100"/>
      <w:divBdr>
        <w:top w:val="none" w:sz="0" w:space="0" w:color="auto"/>
        <w:left w:val="none" w:sz="0" w:space="0" w:color="auto"/>
        <w:bottom w:val="none" w:sz="0" w:space="0" w:color="auto"/>
        <w:right w:val="none" w:sz="0" w:space="0" w:color="auto"/>
      </w:divBdr>
    </w:div>
    <w:div w:id="189806155">
      <w:marLeft w:val="0"/>
      <w:marRight w:val="0"/>
      <w:marTop w:val="180"/>
      <w:marBottom w:val="0"/>
      <w:divBdr>
        <w:top w:val="none" w:sz="0" w:space="0" w:color="auto"/>
        <w:left w:val="none" w:sz="0" w:space="0" w:color="auto"/>
        <w:bottom w:val="none" w:sz="0" w:space="0" w:color="auto"/>
        <w:right w:val="none" w:sz="0" w:space="0" w:color="auto"/>
      </w:divBdr>
    </w:div>
    <w:div w:id="199323531">
      <w:marLeft w:val="0"/>
      <w:marRight w:val="0"/>
      <w:marTop w:val="180"/>
      <w:marBottom w:val="0"/>
      <w:divBdr>
        <w:top w:val="none" w:sz="0" w:space="0" w:color="auto"/>
        <w:left w:val="none" w:sz="0" w:space="0" w:color="auto"/>
        <w:bottom w:val="none" w:sz="0" w:space="0" w:color="auto"/>
        <w:right w:val="none" w:sz="0" w:space="0" w:color="auto"/>
      </w:divBdr>
    </w:div>
    <w:div w:id="200093672">
      <w:marLeft w:val="0"/>
      <w:marRight w:val="0"/>
      <w:marTop w:val="100"/>
      <w:marBottom w:val="100"/>
      <w:divBdr>
        <w:top w:val="none" w:sz="0" w:space="0" w:color="auto"/>
        <w:left w:val="none" w:sz="0" w:space="0" w:color="auto"/>
        <w:bottom w:val="none" w:sz="0" w:space="0" w:color="auto"/>
        <w:right w:val="none" w:sz="0" w:space="0" w:color="auto"/>
      </w:divBdr>
    </w:div>
    <w:div w:id="202669118">
      <w:marLeft w:val="0"/>
      <w:marRight w:val="0"/>
      <w:marTop w:val="180"/>
      <w:marBottom w:val="0"/>
      <w:divBdr>
        <w:top w:val="none" w:sz="0" w:space="0" w:color="auto"/>
        <w:left w:val="none" w:sz="0" w:space="0" w:color="auto"/>
        <w:bottom w:val="none" w:sz="0" w:space="0" w:color="auto"/>
        <w:right w:val="none" w:sz="0" w:space="0" w:color="auto"/>
      </w:divBdr>
    </w:div>
    <w:div w:id="212542125">
      <w:marLeft w:val="0"/>
      <w:marRight w:val="0"/>
      <w:marTop w:val="0"/>
      <w:marBottom w:val="0"/>
      <w:divBdr>
        <w:top w:val="none" w:sz="0" w:space="0" w:color="auto"/>
        <w:left w:val="none" w:sz="0" w:space="0" w:color="auto"/>
        <w:bottom w:val="none" w:sz="0" w:space="0" w:color="auto"/>
        <w:right w:val="none" w:sz="0" w:space="0" w:color="auto"/>
      </w:divBdr>
    </w:div>
    <w:div w:id="214584061">
      <w:marLeft w:val="0"/>
      <w:marRight w:val="0"/>
      <w:marTop w:val="0"/>
      <w:marBottom w:val="0"/>
      <w:divBdr>
        <w:top w:val="none" w:sz="0" w:space="0" w:color="auto"/>
        <w:left w:val="none" w:sz="0" w:space="0" w:color="auto"/>
        <w:bottom w:val="none" w:sz="0" w:space="0" w:color="auto"/>
        <w:right w:val="none" w:sz="0" w:space="0" w:color="auto"/>
      </w:divBdr>
    </w:div>
    <w:div w:id="215775115">
      <w:marLeft w:val="0"/>
      <w:marRight w:val="0"/>
      <w:marTop w:val="0"/>
      <w:marBottom w:val="100"/>
      <w:divBdr>
        <w:top w:val="none" w:sz="0" w:space="0" w:color="auto"/>
        <w:left w:val="none" w:sz="0" w:space="0" w:color="auto"/>
        <w:bottom w:val="none" w:sz="0" w:space="0" w:color="auto"/>
        <w:right w:val="none" w:sz="0" w:space="0" w:color="auto"/>
      </w:divBdr>
    </w:div>
    <w:div w:id="215820637">
      <w:marLeft w:val="0"/>
      <w:marRight w:val="0"/>
      <w:marTop w:val="0"/>
      <w:marBottom w:val="100"/>
      <w:divBdr>
        <w:top w:val="none" w:sz="0" w:space="0" w:color="auto"/>
        <w:left w:val="none" w:sz="0" w:space="0" w:color="auto"/>
        <w:bottom w:val="none" w:sz="0" w:space="0" w:color="auto"/>
        <w:right w:val="none" w:sz="0" w:space="0" w:color="auto"/>
      </w:divBdr>
    </w:div>
    <w:div w:id="216205976">
      <w:marLeft w:val="0"/>
      <w:marRight w:val="0"/>
      <w:marTop w:val="0"/>
      <w:marBottom w:val="0"/>
      <w:divBdr>
        <w:top w:val="none" w:sz="0" w:space="0" w:color="auto"/>
        <w:left w:val="none" w:sz="0" w:space="0" w:color="auto"/>
        <w:bottom w:val="none" w:sz="0" w:space="0" w:color="auto"/>
        <w:right w:val="none" w:sz="0" w:space="0" w:color="auto"/>
      </w:divBdr>
    </w:div>
    <w:div w:id="224099520">
      <w:marLeft w:val="0"/>
      <w:marRight w:val="0"/>
      <w:marTop w:val="100"/>
      <w:marBottom w:val="100"/>
      <w:divBdr>
        <w:top w:val="none" w:sz="0" w:space="0" w:color="auto"/>
        <w:left w:val="none" w:sz="0" w:space="0" w:color="auto"/>
        <w:bottom w:val="none" w:sz="0" w:space="0" w:color="auto"/>
        <w:right w:val="none" w:sz="0" w:space="0" w:color="auto"/>
      </w:divBdr>
    </w:div>
    <w:div w:id="224535198">
      <w:marLeft w:val="0"/>
      <w:marRight w:val="0"/>
      <w:marTop w:val="0"/>
      <w:marBottom w:val="0"/>
      <w:divBdr>
        <w:top w:val="none" w:sz="0" w:space="0" w:color="auto"/>
        <w:left w:val="none" w:sz="0" w:space="0" w:color="auto"/>
        <w:bottom w:val="none" w:sz="0" w:space="0" w:color="auto"/>
        <w:right w:val="none" w:sz="0" w:space="0" w:color="auto"/>
      </w:divBdr>
    </w:div>
    <w:div w:id="226570896">
      <w:marLeft w:val="0"/>
      <w:marRight w:val="0"/>
      <w:marTop w:val="0"/>
      <w:marBottom w:val="100"/>
      <w:divBdr>
        <w:top w:val="none" w:sz="0" w:space="0" w:color="auto"/>
        <w:left w:val="none" w:sz="0" w:space="0" w:color="auto"/>
        <w:bottom w:val="none" w:sz="0" w:space="0" w:color="auto"/>
        <w:right w:val="none" w:sz="0" w:space="0" w:color="auto"/>
      </w:divBdr>
    </w:div>
    <w:div w:id="238058326">
      <w:marLeft w:val="0"/>
      <w:marRight w:val="0"/>
      <w:marTop w:val="0"/>
      <w:marBottom w:val="0"/>
      <w:divBdr>
        <w:top w:val="none" w:sz="0" w:space="0" w:color="auto"/>
        <w:left w:val="none" w:sz="0" w:space="0" w:color="auto"/>
        <w:bottom w:val="none" w:sz="0" w:space="0" w:color="auto"/>
        <w:right w:val="none" w:sz="0" w:space="0" w:color="auto"/>
      </w:divBdr>
      <w:divsChild>
        <w:div w:id="1987272904">
          <w:marLeft w:val="0"/>
          <w:marRight w:val="0"/>
          <w:marTop w:val="0"/>
          <w:marBottom w:val="0"/>
          <w:divBdr>
            <w:top w:val="none" w:sz="0" w:space="0" w:color="auto"/>
            <w:left w:val="none" w:sz="0" w:space="0" w:color="auto"/>
            <w:bottom w:val="none" w:sz="0" w:space="0" w:color="auto"/>
            <w:right w:val="none" w:sz="0" w:space="0" w:color="auto"/>
          </w:divBdr>
          <w:divsChild>
            <w:div w:id="5981044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38832360">
      <w:marLeft w:val="0"/>
      <w:marRight w:val="0"/>
      <w:marTop w:val="0"/>
      <w:marBottom w:val="0"/>
      <w:divBdr>
        <w:top w:val="none" w:sz="0" w:space="0" w:color="auto"/>
        <w:left w:val="none" w:sz="0" w:space="0" w:color="auto"/>
        <w:bottom w:val="none" w:sz="0" w:space="0" w:color="auto"/>
        <w:right w:val="none" w:sz="0" w:space="0" w:color="auto"/>
      </w:divBdr>
    </w:div>
    <w:div w:id="251933747">
      <w:marLeft w:val="0"/>
      <w:marRight w:val="0"/>
      <w:marTop w:val="0"/>
      <w:marBottom w:val="0"/>
      <w:divBdr>
        <w:top w:val="none" w:sz="0" w:space="0" w:color="auto"/>
        <w:left w:val="none" w:sz="0" w:space="0" w:color="auto"/>
        <w:bottom w:val="none" w:sz="0" w:space="0" w:color="auto"/>
        <w:right w:val="none" w:sz="0" w:space="0" w:color="auto"/>
      </w:divBdr>
    </w:div>
    <w:div w:id="254829182">
      <w:marLeft w:val="0"/>
      <w:marRight w:val="0"/>
      <w:marTop w:val="100"/>
      <w:marBottom w:val="0"/>
      <w:divBdr>
        <w:top w:val="none" w:sz="0" w:space="0" w:color="auto"/>
        <w:left w:val="none" w:sz="0" w:space="0" w:color="auto"/>
        <w:bottom w:val="none" w:sz="0" w:space="0" w:color="auto"/>
        <w:right w:val="none" w:sz="0" w:space="0" w:color="auto"/>
      </w:divBdr>
      <w:divsChild>
        <w:div w:id="776413044">
          <w:marLeft w:val="0"/>
          <w:marRight w:val="0"/>
          <w:marTop w:val="0"/>
          <w:marBottom w:val="0"/>
          <w:divBdr>
            <w:top w:val="none" w:sz="0" w:space="0" w:color="auto"/>
            <w:left w:val="none" w:sz="0" w:space="0" w:color="auto"/>
            <w:bottom w:val="none" w:sz="0" w:space="0" w:color="auto"/>
            <w:right w:val="none" w:sz="0" w:space="0" w:color="auto"/>
          </w:divBdr>
        </w:div>
        <w:div w:id="868952856">
          <w:marLeft w:val="0"/>
          <w:marRight w:val="0"/>
          <w:marTop w:val="0"/>
          <w:marBottom w:val="0"/>
          <w:divBdr>
            <w:top w:val="none" w:sz="0" w:space="0" w:color="auto"/>
            <w:left w:val="none" w:sz="0" w:space="0" w:color="auto"/>
            <w:bottom w:val="none" w:sz="0" w:space="0" w:color="auto"/>
            <w:right w:val="none" w:sz="0" w:space="0" w:color="auto"/>
          </w:divBdr>
        </w:div>
      </w:divsChild>
    </w:div>
    <w:div w:id="257644122">
      <w:marLeft w:val="0"/>
      <w:marRight w:val="0"/>
      <w:marTop w:val="100"/>
      <w:marBottom w:val="100"/>
      <w:divBdr>
        <w:top w:val="none" w:sz="0" w:space="0" w:color="auto"/>
        <w:left w:val="none" w:sz="0" w:space="0" w:color="auto"/>
        <w:bottom w:val="none" w:sz="0" w:space="0" w:color="auto"/>
        <w:right w:val="none" w:sz="0" w:space="0" w:color="auto"/>
      </w:divBdr>
    </w:div>
    <w:div w:id="259945723">
      <w:marLeft w:val="0"/>
      <w:marRight w:val="0"/>
      <w:marTop w:val="180"/>
      <w:marBottom w:val="0"/>
      <w:divBdr>
        <w:top w:val="none" w:sz="0" w:space="0" w:color="auto"/>
        <w:left w:val="none" w:sz="0" w:space="0" w:color="auto"/>
        <w:bottom w:val="none" w:sz="0" w:space="0" w:color="auto"/>
        <w:right w:val="none" w:sz="0" w:space="0" w:color="auto"/>
      </w:divBdr>
    </w:div>
    <w:div w:id="262229051">
      <w:marLeft w:val="0"/>
      <w:marRight w:val="0"/>
      <w:marTop w:val="0"/>
      <w:marBottom w:val="100"/>
      <w:divBdr>
        <w:top w:val="none" w:sz="0" w:space="0" w:color="auto"/>
        <w:left w:val="none" w:sz="0" w:space="0" w:color="auto"/>
        <w:bottom w:val="none" w:sz="0" w:space="0" w:color="auto"/>
        <w:right w:val="none" w:sz="0" w:space="0" w:color="auto"/>
      </w:divBdr>
    </w:div>
    <w:div w:id="268860257">
      <w:marLeft w:val="0"/>
      <w:marRight w:val="0"/>
      <w:marTop w:val="180"/>
      <w:marBottom w:val="0"/>
      <w:divBdr>
        <w:top w:val="none" w:sz="0" w:space="0" w:color="auto"/>
        <w:left w:val="none" w:sz="0" w:space="0" w:color="auto"/>
        <w:bottom w:val="none" w:sz="0" w:space="0" w:color="auto"/>
        <w:right w:val="none" w:sz="0" w:space="0" w:color="auto"/>
      </w:divBdr>
    </w:div>
    <w:div w:id="271212791">
      <w:marLeft w:val="0"/>
      <w:marRight w:val="0"/>
      <w:marTop w:val="0"/>
      <w:marBottom w:val="100"/>
      <w:divBdr>
        <w:top w:val="none" w:sz="0" w:space="0" w:color="auto"/>
        <w:left w:val="none" w:sz="0" w:space="0" w:color="auto"/>
        <w:bottom w:val="none" w:sz="0" w:space="0" w:color="auto"/>
        <w:right w:val="none" w:sz="0" w:space="0" w:color="auto"/>
      </w:divBdr>
    </w:div>
    <w:div w:id="276106773">
      <w:marLeft w:val="0"/>
      <w:marRight w:val="0"/>
      <w:marTop w:val="0"/>
      <w:marBottom w:val="100"/>
      <w:divBdr>
        <w:top w:val="none" w:sz="0" w:space="0" w:color="auto"/>
        <w:left w:val="none" w:sz="0" w:space="0" w:color="auto"/>
        <w:bottom w:val="none" w:sz="0" w:space="0" w:color="auto"/>
        <w:right w:val="none" w:sz="0" w:space="0" w:color="auto"/>
      </w:divBdr>
    </w:div>
    <w:div w:id="278995688">
      <w:marLeft w:val="0"/>
      <w:marRight w:val="0"/>
      <w:marTop w:val="180"/>
      <w:marBottom w:val="0"/>
      <w:divBdr>
        <w:top w:val="none" w:sz="0" w:space="0" w:color="auto"/>
        <w:left w:val="none" w:sz="0" w:space="0" w:color="auto"/>
        <w:bottom w:val="none" w:sz="0" w:space="0" w:color="auto"/>
        <w:right w:val="none" w:sz="0" w:space="0" w:color="auto"/>
      </w:divBdr>
    </w:div>
    <w:div w:id="286861810">
      <w:marLeft w:val="0"/>
      <w:marRight w:val="0"/>
      <w:marTop w:val="100"/>
      <w:marBottom w:val="100"/>
      <w:divBdr>
        <w:top w:val="none" w:sz="0" w:space="0" w:color="auto"/>
        <w:left w:val="none" w:sz="0" w:space="0" w:color="auto"/>
        <w:bottom w:val="none" w:sz="0" w:space="0" w:color="auto"/>
        <w:right w:val="none" w:sz="0" w:space="0" w:color="auto"/>
      </w:divBdr>
    </w:div>
    <w:div w:id="289171988">
      <w:marLeft w:val="0"/>
      <w:marRight w:val="0"/>
      <w:marTop w:val="180"/>
      <w:marBottom w:val="0"/>
      <w:divBdr>
        <w:top w:val="none" w:sz="0" w:space="0" w:color="auto"/>
        <w:left w:val="none" w:sz="0" w:space="0" w:color="auto"/>
        <w:bottom w:val="none" w:sz="0" w:space="0" w:color="auto"/>
        <w:right w:val="none" w:sz="0" w:space="0" w:color="auto"/>
      </w:divBdr>
    </w:div>
    <w:div w:id="300817554">
      <w:marLeft w:val="0"/>
      <w:marRight w:val="0"/>
      <w:marTop w:val="0"/>
      <w:marBottom w:val="0"/>
      <w:divBdr>
        <w:top w:val="none" w:sz="0" w:space="0" w:color="auto"/>
        <w:left w:val="none" w:sz="0" w:space="0" w:color="auto"/>
        <w:bottom w:val="none" w:sz="0" w:space="0" w:color="auto"/>
        <w:right w:val="none" w:sz="0" w:space="0" w:color="auto"/>
      </w:divBdr>
    </w:div>
    <w:div w:id="300883568">
      <w:marLeft w:val="0"/>
      <w:marRight w:val="0"/>
      <w:marTop w:val="180"/>
      <w:marBottom w:val="0"/>
      <w:divBdr>
        <w:top w:val="none" w:sz="0" w:space="0" w:color="auto"/>
        <w:left w:val="none" w:sz="0" w:space="0" w:color="auto"/>
        <w:bottom w:val="none" w:sz="0" w:space="0" w:color="auto"/>
        <w:right w:val="none" w:sz="0" w:space="0" w:color="auto"/>
      </w:divBdr>
      <w:divsChild>
        <w:div w:id="662851484">
          <w:marLeft w:val="0"/>
          <w:marRight w:val="0"/>
          <w:marTop w:val="0"/>
          <w:marBottom w:val="0"/>
          <w:divBdr>
            <w:top w:val="none" w:sz="0" w:space="0" w:color="auto"/>
            <w:left w:val="none" w:sz="0" w:space="0" w:color="auto"/>
            <w:bottom w:val="none" w:sz="0" w:space="0" w:color="auto"/>
            <w:right w:val="none" w:sz="0" w:space="0" w:color="auto"/>
          </w:divBdr>
        </w:div>
        <w:div w:id="996690590">
          <w:marLeft w:val="0"/>
          <w:marRight w:val="0"/>
          <w:marTop w:val="0"/>
          <w:marBottom w:val="0"/>
          <w:divBdr>
            <w:top w:val="none" w:sz="0" w:space="0" w:color="auto"/>
            <w:left w:val="none" w:sz="0" w:space="0" w:color="auto"/>
            <w:bottom w:val="none" w:sz="0" w:space="0" w:color="auto"/>
            <w:right w:val="none" w:sz="0" w:space="0" w:color="auto"/>
          </w:divBdr>
        </w:div>
        <w:div w:id="555240420">
          <w:marLeft w:val="0"/>
          <w:marRight w:val="0"/>
          <w:marTop w:val="0"/>
          <w:marBottom w:val="0"/>
          <w:divBdr>
            <w:top w:val="none" w:sz="0" w:space="0" w:color="auto"/>
            <w:left w:val="none" w:sz="0" w:space="0" w:color="auto"/>
            <w:bottom w:val="none" w:sz="0" w:space="0" w:color="auto"/>
            <w:right w:val="none" w:sz="0" w:space="0" w:color="auto"/>
          </w:divBdr>
        </w:div>
      </w:divsChild>
    </w:div>
    <w:div w:id="309864284">
      <w:marLeft w:val="0"/>
      <w:marRight w:val="0"/>
      <w:marTop w:val="0"/>
      <w:marBottom w:val="100"/>
      <w:divBdr>
        <w:top w:val="none" w:sz="0" w:space="0" w:color="auto"/>
        <w:left w:val="none" w:sz="0" w:space="0" w:color="auto"/>
        <w:bottom w:val="none" w:sz="0" w:space="0" w:color="auto"/>
        <w:right w:val="none" w:sz="0" w:space="0" w:color="auto"/>
      </w:divBdr>
    </w:div>
    <w:div w:id="313721948">
      <w:marLeft w:val="0"/>
      <w:marRight w:val="0"/>
      <w:marTop w:val="180"/>
      <w:marBottom w:val="0"/>
      <w:divBdr>
        <w:top w:val="none" w:sz="0" w:space="0" w:color="auto"/>
        <w:left w:val="none" w:sz="0" w:space="0" w:color="auto"/>
        <w:bottom w:val="none" w:sz="0" w:space="0" w:color="auto"/>
        <w:right w:val="none" w:sz="0" w:space="0" w:color="auto"/>
      </w:divBdr>
    </w:div>
    <w:div w:id="313918476">
      <w:marLeft w:val="0"/>
      <w:marRight w:val="0"/>
      <w:marTop w:val="180"/>
      <w:marBottom w:val="0"/>
      <w:divBdr>
        <w:top w:val="none" w:sz="0" w:space="0" w:color="auto"/>
        <w:left w:val="none" w:sz="0" w:space="0" w:color="auto"/>
        <w:bottom w:val="none" w:sz="0" w:space="0" w:color="auto"/>
        <w:right w:val="none" w:sz="0" w:space="0" w:color="auto"/>
      </w:divBdr>
    </w:div>
    <w:div w:id="313948106">
      <w:marLeft w:val="0"/>
      <w:marRight w:val="0"/>
      <w:marTop w:val="180"/>
      <w:marBottom w:val="0"/>
      <w:divBdr>
        <w:top w:val="none" w:sz="0" w:space="0" w:color="auto"/>
        <w:left w:val="none" w:sz="0" w:space="0" w:color="auto"/>
        <w:bottom w:val="none" w:sz="0" w:space="0" w:color="auto"/>
        <w:right w:val="none" w:sz="0" w:space="0" w:color="auto"/>
      </w:divBdr>
    </w:div>
    <w:div w:id="315454943">
      <w:marLeft w:val="0"/>
      <w:marRight w:val="0"/>
      <w:marTop w:val="0"/>
      <w:marBottom w:val="0"/>
      <w:divBdr>
        <w:top w:val="none" w:sz="0" w:space="0" w:color="auto"/>
        <w:left w:val="none" w:sz="0" w:space="0" w:color="auto"/>
        <w:bottom w:val="none" w:sz="0" w:space="0" w:color="auto"/>
        <w:right w:val="none" w:sz="0" w:space="0" w:color="auto"/>
      </w:divBdr>
    </w:div>
    <w:div w:id="326716099">
      <w:marLeft w:val="0"/>
      <w:marRight w:val="0"/>
      <w:marTop w:val="0"/>
      <w:marBottom w:val="100"/>
      <w:divBdr>
        <w:top w:val="none" w:sz="0" w:space="0" w:color="auto"/>
        <w:left w:val="none" w:sz="0" w:space="0" w:color="auto"/>
        <w:bottom w:val="none" w:sz="0" w:space="0" w:color="auto"/>
        <w:right w:val="none" w:sz="0" w:space="0" w:color="auto"/>
      </w:divBdr>
    </w:div>
    <w:div w:id="328560402">
      <w:marLeft w:val="0"/>
      <w:marRight w:val="0"/>
      <w:marTop w:val="0"/>
      <w:marBottom w:val="100"/>
      <w:divBdr>
        <w:top w:val="none" w:sz="0" w:space="0" w:color="auto"/>
        <w:left w:val="none" w:sz="0" w:space="0" w:color="auto"/>
        <w:bottom w:val="none" w:sz="0" w:space="0" w:color="auto"/>
        <w:right w:val="none" w:sz="0" w:space="0" w:color="auto"/>
      </w:divBdr>
    </w:div>
    <w:div w:id="331644910">
      <w:marLeft w:val="0"/>
      <w:marRight w:val="0"/>
      <w:marTop w:val="0"/>
      <w:marBottom w:val="100"/>
      <w:divBdr>
        <w:top w:val="none" w:sz="0" w:space="0" w:color="auto"/>
        <w:left w:val="none" w:sz="0" w:space="0" w:color="auto"/>
        <w:bottom w:val="none" w:sz="0" w:space="0" w:color="auto"/>
        <w:right w:val="none" w:sz="0" w:space="0" w:color="auto"/>
      </w:divBdr>
    </w:div>
    <w:div w:id="337081407">
      <w:marLeft w:val="0"/>
      <w:marRight w:val="0"/>
      <w:marTop w:val="0"/>
      <w:marBottom w:val="100"/>
      <w:divBdr>
        <w:top w:val="none" w:sz="0" w:space="0" w:color="auto"/>
        <w:left w:val="none" w:sz="0" w:space="0" w:color="auto"/>
        <w:bottom w:val="none" w:sz="0" w:space="0" w:color="auto"/>
        <w:right w:val="none" w:sz="0" w:space="0" w:color="auto"/>
      </w:divBdr>
    </w:div>
    <w:div w:id="338655546">
      <w:marLeft w:val="0"/>
      <w:marRight w:val="0"/>
      <w:marTop w:val="0"/>
      <w:marBottom w:val="0"/>
      <w:divBdr>
        <w:top w:val="none" w:sz="0" w:space="0" w:color="auto"/>
        <w:left w:val="none" w:sz="0" w:space="0" w:color="auto"/>
        <w:bottom w:val="none" w:sz="0" w:space="0" w:color="auto"/>
        <w:right w:val="none" w:sz="0" w:space="0" w:color="auto"/>
      </w:divBdr>
    </w:div>
    <w:div w:id="347870787">
      <w:marLeft w:val="0"/>
      <w:marRight w:val="0"/>
      <w:marTop w:val="0"/>
      <w:marBottom w:val="0"/>
      <w:divBdr>
        <w:top w:val="none" w:sz="0" w:space="0" w:color="auto"/>
        <w:left w:val="none" w:sz="0" w:space="0" w:color="auto"/>
        <w:bottom w:val="none" w:sz="0" w:space="0" w:color="auto"/>
        <w:right w:val="none" w:sz="0" w:space="0" w:color="auto"/>
      </w:divBdr>
    </w:div>
    <w:div w:id="353727669">
      <w:marLeft w:val="0"/>
      <w:marRight w:val="0"/>
      <w:marTop w:val="0"/>
      <w:marBottom w:val="0"/>
      <w:divBdr>
        <w:top w:val="none" w:sz="0" w:space="0" w:color="auto"/>
        <w:left w:val="none" w:sz="0" w:space="0" w:color="auto"/>
        <w:bottom w:val="none" w:sz="0" w:space="0" w:color="auto"/>
        <w:right w:val="none" w:sz="0" w:space="0" w:color="auto"/>
      </w:divBdr>
    </w:div>
    <w:div w:id="354500124">
      <w:marLeft w:val="0"/>
      <w:marRight w:val="0"/>
      <w:marTop w:val="180"/>
      <w:marBottom w:val="0"/>
      <w:divBdr>
        <w:top w:val="none" w:sz="0" w:space="0" w:color="auto"/>
        <w:left w:val="none" w:sz="0" w:space="0" w:color="auto"/>
        <w:bottom w:val="none" w:sz="0" w:space="0" w:color="auto"/>
        <w:right w:val="none" w:sz="0" w:space="0" w:color="auto"/>
      </w:divBdr>
    </w:div>
    <w:div w:id="369650694">
      <w:marLeft w:val="0"/>
      <w:marRight w:val="0"/>
      <w:marTop w:val="0"/>
      <w:marBottom w:val="0"/>
      <w:divBdr>
        <w:top w:val="none" w:sz="0" w:space="0" w:color="auto"/>
        <w:left w:val="none" w:sz="0" w:space="0" w:color="auto"/>
        <w:bottom w:val="none" w:sz="0" w:space="0" w:color="auto"/>
        <w:right w:val="none" w:sz="0" w:space="0" w:color="auto"/>
      </w:divBdr>
    </w:div>
    <w:div w:id="384107550">
      <w:marLeft w:val="0"/>
      <w:marRight w:val="0"/>
      <w:marTop w:val="0"/>
      <w:marBottom w:val="0"/>
      <w:divBdr>
        <w:top w:val="none" w:sz="0" w:space="0" w:color="auto"/>
        <w:left w:val="none" w:sz="0" w:space="0" w:color="auto"/>
        <w:bottom w:val="none" w:sz="0" w:space="0" w:color="auto"/>
        <w:right w:val="none" w:sz="0" w:space="0" w:color="auto"/>
      </w:divBdr>
      <w:divsChild>
        <w:div w:id="607543904">
          <w:marLeft w:val="0"/>
          <w:marRight w:val="0"/>
          <w:marTop w:val="0"/>
          <w:marBottom w:val="100"/>
          <w:divBdr>
            <w:top w:val="none" w:sz="0" w:space="0" w:color="auto"/>
            <w:left w:val="none" w:sz="0" w:space="0" w:color="auto"/>
            <w:bottom w:val="none" w:sz="0" w:space="0" w:color="auto"/>
            <w:right w:val="none" w:sz="0" w:space="0" w:color="auto"/>
          </w:divBdr>
        </w:div>
      </w:divsChild>
    </w:div>
    <w:div w:id="388503092">
      <w:marLeft w:val="0"/>
      <w:marRight w:val="0"/>
      <w:marTop w:val="180"/>
      <w:marBottom w:val="100"/>
      <w:divBdr>
        <w:top w:val="none" w:sz="0" w:space="0" w:color="auto"/>
        <w:left w:val="none" w:sz="0" w:space="0" w:color="auto"/>
        <w:bottom w:val="none" w:sz="0" w:space="0" w:color="auto"/>
        <w:right w:val="none" w:sz="0" w:space="0" w:color="auto"/>
      </w:divBdr>
    </w:div>
    <w:div w:id="394200439">
      <w:marLeft w:val="0"/>
      <w:marRight w:val="0"/>
      <w:marTop w:val="100"/>
      <w:marBottom w:val="0"/>
      <w:divBdr>
        <w:top w:val="none" w:sz="0" w:space="0" w:color="auto"/>
        <w:left w:val="none" w:sz="0" w:space="0" w:color="auto"/>
        <w:bottom w:val="none" w:sz="0" w:space="0" w:color="auto"/>
        <w:right w:val="none" w:sz="0" w:space="0" w:color="auto"/>
      </w:divBdr>
    </w:div>
    <w:div w:id="395319052">
      <w:marLeft w:val="0"/>
      <w:marRight w:val="0"/>
      <w:marTop w:val="0"/>
      <w:marBottom w:val="0"/>
      <w:divBdr>
        <w:top w:val="none" w:sz="0" w:space="0" w:color="auto"/>
        <w:left w:val="none" w:sz="0" w:space="0" w:color="auto"/>
        <w:bottom w:val="none" w:sz="0" w:space="0" w:color="auto"/>
        <w:right w:val="none" w:sz="0" w:space="0" w:color="auto"/>
      </w:divBdr>
      <w:divsChild>
        <w:div w:id="1315797008">
          <w:marLeft w:val="0"/>
          <w:marRight w:val="0"/>
          <w:marTop w:val="0"/>
          <w:marBottom w:val="0"/>
          <w:divBdr>
            <w:top w:val="none" w:sz="0" w:space="0" w:color="auto"/>
            <w:left w:val="none" w:sz="0" w:space="0" w:color="auto"/>
            <w:bottom w:val="none" w:sz="0" w:space="0" w:color="auto"/>
            <w:right w:val="none" w:sz="0" w:space="0" w:color="auto"/>
          </w:divBdr>
          <w:divsChild>
            <w:div w:id="30450796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10853500">
      <w:marLeft w:val="0"/>
      <w:marRight w:val="0"/>
      <w:marTop w:val="100"/>
      <w:marBottom w:val="100"/>
      <w:divBdr>
        <w:top w:val="none" w:sz="0" w:space="0" w:color="auto"/>
        <w:left w:val="none" w:sz="0" w:space="0" w:color="auto"/>
        <w:bottom w:val="none" w:sz="0" w:space="0" w:color="auto"/>
        <w:right w:val="none" w:sz="0" w:space="0" w:color="auto"/>
      </w:divBdr>
      <w:divsChild>
        <w:div w:id="922835751">
          <w:marLeft w:val="0"/>
          <w:marRight w:val="0"/>
          <w:marTop w:val="0"/>
          <w:marBottom w:val="0"/>
          <w:divBdr>
            <w:top w:val="none" w:sz="0" w:space="0" w:color="auto"/>
            <w:left w:val="none" w:sz="0" w:space="0" w:color="auto"/>
            <w:bottom w:val="none" w:sz="0" w:space="0" w:color="auto"/>
            <w:right w:val="none" w:sz="0" w:space="0" w:color="auto"/>
          </w:divBdr>
        </w:div>
        <w:div w:id="222646733">
          <w:marLeft w:val="0"/>
          <w:marRight w:val="0"/>
          <w:marTop w:val="0"/>
          <w:marBottom w:val="0"/>
          <w:divBdr>
            <w:top w:val="none" w:sz="0" w:space="0" w:color="auto"/>
            <w:left w:val="none" w:sz="0" w:space="0" w:color="auto"/>
            <w:bottom w:val="none" w:sz="0" w:space="0" w:color="auto"/>
            <w:right w:val="none" w:sz="0" w:space="0" w:color="auto"/>
          </w:divBdr>
        </w:div>
        <w:div w:id="1344238092">
          <w:marLeft w:val="0"/>
          <w:marRight w:val="0"/>
          <w:marTop w:val="0"/>
          <w:marBottom w:val="0"/>
          <w:divBdr>
            <w:top w:val="none" w:sz="0" w:space="0" w:color="auto"/>
            <w:left w:val="none" w:sz="0" w:space="0" w:color="auto"/>
            <w:bottom w:val="none" w:sz="0" w:space="0" w:color="auto"/>
            <w:right w:val="none" w:sz="0" w:space="0" w:color="auto"/>
          </w:divBdr>
        </w:div>
        <w:div w:id="1572235282">
          <w:marLeft w:val="0"/>
          <w:marRight w:val="0"/>
          <w:marTop w:val="0"/>
          <w:marBottom w:val="0"/>
          <w:divBdr>
            <w:top w:val="none" w:sz="0" w:space="0" w:color="auto"/>
            <w:left w:val="none" w:sz="0" w:space="0" w:color="auto"/>
            <w:bottom w:val="none" w:sz="0" w:space="0" w:color="auto"/>
            <w:right w:val="none" w:sz="0" w:space="0" w:color="auto"/>
          </w:divBdr>
        </w:div>
        <w:div w:id="712000887">
          <w:marLeft w:val="0"/>
          <w:marRight w:val="0"/>
          <w:marTop w:val="0"/>
          <w:marBottom w:val="0"/>
          <w:divBdr>
            <w:top w:val="none" w:sz="0" w:space="0" w:color="auto"/>
            <w:left w:val="none" w:sz="0" w:space="0" w:color="auto"/>
            <w:bottom w:val="none" w:sz="0" w:space="0" w:color="auto"/>
            <w:right w:val="none" w:sz="0" w:space="0" w:color="auto"/>
          </w:divBdr>
        </w:div>
        <w:div w:id="133106481">
          <w:marLeft w:val="0"/>
          <w:marRight w:val="0"/>
          <w:marTop w:val="0"/>
          <w:marBottom w:val="0"/>
          <w:divBdr>
            <w:top w:val="none" w:sz="0" w:space="0" w:color="auto"/>
            <w:left w:val="none" w:sz="0" w:space="0" w:color="auto"/>
            <w:bottom w:val="none" w:sz="0" w:space="0" w:color="auto"/>
            <w:right w:val="none" w:sz="0" w:space="0" w:color="auto"/>
          </w:divBdr>
        </w:div>
        <w:div w:id="1719402541">
          <w:marLeft w:val="0"/>
          <w:marRight w:val="0"/>
          <w:marTop w:val="0"/>
          <w:marBottom w:val="0"/>
          <w:divBdr>
            <w:top w:val="none" w:sz="0" w:space="0" w:color="auto"/>
            <w:left w:val="none" w:sz="0" w:space="0" w:color="auto"/>
            <w:bottom w:val="none" w:sz="0" w:space="0" w:color="auto"/>
            <w:right w:val="none" w:sz="0" w:space="0" w:color="auto"/>
          </w:divBdr>
        </w:div>
        <w:div w:id="1120996125">
          <w:marLeft w:val="0"/>
          <w:marRight w:val="0"/>
          <w:marTop w:val="0"/>
          <w:marBottom w:val="0"/>
          <w:divBdr>
            <w:top w:val="none" w:sz="0" w:space="0" w:color="auto"/>
            <w:left w:val="none" w:sz="0" w:space="0" w:color="auto"/>
            <w:bottom w:val="none" w:sz="0" w:space="0" w:color="auto"/>
            <w:right w:val="none" w:sz="0" w:space="0" w:color="auto"/>
          </w:divBdr>
        </w:div>
        <w:div w:id="1820002633">
          <w:marLeft w:val="0"/>
          <w:marRight w:val="0"/>
          <w:marTop w:val="0"/>
          <w:marBottom w:val="0"/>
          <w:divBdr>
            <w:top w:val="none" w:sz="0" w:space="0" w:color="auto"/>
            <w:left w:val="none" w:sz="0" w:space="0" w:color="auto"/>
            <w:bottom w:val="none" w:sz="0" w:space="0" w:color="auto"/>
            <w:right w:val="none" w:sz="0" w:space="0" w:color="auto"/>
          </w:divBdr>
        </w:div>
        <w:div w:id="1306274945">
          <w:marLeft w:val="0"/>
          <w:marRight w:val="0"/>
          <w:marTop w:val="0"/>
          <w:marBottom w:val="0"/>
          <w:divBdr>
            <w:top w:val="none" w:sz="0" w:space="0" w:color="auto"/>
            <w:left w:val="none" w:sz="0" w:space="0" w:color="auto"/>
            <w:bottom w:val="none" w:sz="0" w:space="0" w:color="auto"/>
            <w:right w:val="none" w:sz="0" w:space="0" w:color="auto"/>
          </w:divBdr>
        </w:div>
        <w:div w:id="1964916921">
          <w:marLeft w:val="0"/>
          <w:marRight w:val="0"/>
          <w:marTop w:val="0"/>
          <w:marBottom w:val="0"/>
          <w:divBdr>
            <w:top w:val="none" w:sz="0" w:space="0" w:color="auto"/>
            <w:left w:val="none" w:sz="0" w:space="0" w:color="auto"/>
            <w:bottom w:val="none" w:sz="0" w:space="0" w:color="auto"/>
            <w:right w:val="none" w:sz="0" w:space="0" w:color="auto"/>
          </w:divBdr>
        </w:div>
        <w:div w:id="641276991">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203254079">
          <w:marLeft w:val="0"/>
          <w:marRight w:val="0"/>
          <w:marTop w:val="0"/>
          <w:marBottom w:val="0"/>
          <w:divBdr>
            <w:top w:val="none" w:sz="0" w:space="0" w:color="auto"/>
            <w:left w:val="none" w:sz="0" w:space="0" w:color="auto"/>
            <w:bottom w:val="none" w:sz="0" w:space="0" w:color="auto"/>
            <w:right w:val="none" w:sz="0" w:space="0" w:color="auto"/>
          </w:divBdr>
        </w:div>
        <w:div w:id="1314944137">
          <w:marLeft w:val="0"/>
          <w:marRight w:val="0"/>
          <w:marTop w:val="0"/>
          <w:marBottom w:val="0"/>
          <w:divBdr>
            <w:top w:val="none" w:sz="0" w:space="0" w:color="auto"/>
            <w:left w:val="none" w:sz="0" w:space="0" w:color="auto"/>
            <w:bottom w:val="none" w:sz="0" w:space="0" w:color="auto"/>
            <w:right w:val="none" w:sz="0" w:space="0" w:color="auto"/>
          </w:divBdr>
        </w:div>
        <w:div w:id="1699770302">
          <w:marLeft w:val="0"/>
          <w:marRight w:val="0"/>
          <w:marTop w:val="0"/>
          <w:marBottom w:val="0"/>
          <w:divBdr>
            <w:top w:val="none" w:sz="0" w:space="0" w:color="auto"/>
            <w:left w:val="none" w:sz="0" w:space="0" w:color="auto"/>
            <w:bottom w:val="none" w:sz="0" w:space="0" w:color="auto"/>
            <w:right w:val="none" w:sz="0" w:space="0" w:color="auto"/>
          </w:divBdr>
        </w:div>
        <w:div w:id="1893812221">
          <w:marLeft w:val="0"/>
          <w:marRight w:val="0"/>
          <w:marTop w:val="0"/>
          <w:marBottom w:val="0"/>
          <w:divBdr>
            <w:top w:val="none" w:sz="0" w:space="0" w:color="auto"/>
            <w:left w:val="none" w:sz="0" w:space="0" w:color="auto"/>
            <w:bottom w:val="none" w:sz="0" w:space="0" w:color="auto"/>
            <w:right w:val="none" w:sz="0" w:space="0" w:color="auto"/>
          </w:divBdr>
        </w:div>
        <w:div w:id="1262226031">
          <w:marLeft w:val="0"/>
          <w:marRight w:val="0"/>
          <w:marTop w:val="0"/>
          <w:marBottom w:val="0"/>
          <w:divBdr>
            <w:top w:val="none" w:sz="0" w:space="0" w:color="auto"/>
            <w:left w:val="none" w:sz="0" w:space="0" w:color="auto"/>
            <w:bottom w:val="none" w:sz="0" w:space="0" w:color="auto"/>
            <w:right w:val="none" w:sz="0" w:space="0" w:color="auto"/>
          </w:divBdr>
        </w:div>
      </w:divsChild>
    </w:div>
    <w:div w:id="411897551">
      <w:marLeft w:val="0"/>
      <w:marRight w:val="0"/>
      <w:marTop w:val="100"/>
      <w:marBottom w:val="100"/>
      <w:divBdr>
        <w:top w:val="none" w:sz="0" w:space="0" w:color="auto"/>
        <w:left w:val="none" w:sz="0" w:space="0" w:color="auto"/>
        <w:bottom w:val="none" w:sz="0" w:space="0" w:color="auto"/>
        <w:right w:val="none" w:sz="0" w:space="0" w:color="auto"/>
      </w:divBdr>
      <w:divsChild>
        <w:div w:id="1082332222">
          <w:marLeft w:val="0"/>
          <w:marRight w:val="0"/>
          <w:marTop w:val="0"/>
          <w:marBottom w:val="0"/>
          <w:divBdr>
            <w:top w:val="none" w:sz="0" w:space="0" w:color="auto"/>
            <w:left w:val="none" w:sz="0" w:space="0" w:color="auto"/>
            <w:bottom w:val="none" w:sz="0" w:space="0" w:color="auto"/>
            <w:right w:val="none" w:sz="0" w:space="0" w:color="auto"/>
          </w:divBdr>
        </w:div>
      </w:divsChild>
    </w:div>
    <w:div w:id="416022907">
      <w:marLeft w:val="0"/>
      <w:marRight w:val="0"/>
      <w:marTop w:val="0"/>
      <w:marBottom w:val="0"/>
      <w:divBdr>
        <w:top w:val="none" w:sz="0" w:space="0" w:color="auto"/>
        <w:left w:val="none" w:sz="0" w:space="0" w:color="auto"/>
        <w:bottom w:val="none" w:sz="0" w:space="0" w:color="auto"/>
        <w:right w:val="none" w:sz="0" w:space="0" w:color="auto"/>
      </w:divBdr>
    </w:div>
    <w:div w:id="419987225">
      <w:marLeft w:val="0"/>
      <w:marRight w:val="0"/>
      <w:marTop w:val="0"/>
      <w:marBottom w:val="100"/>
      <w:divBdr>
        <w:top w:val="none" w:sz="0" w:space="0" w:color="auto"/>
        <w:left w:val="none" w:sz="0" w:space="0" w:color="auto"/>
        <w:bottom w:val="none" w:sz="0" w:space="0" w:color="auto"/>
        <w:right w:val="none" w:sz="0" w:space="0" w:color="auto"/>
      </w:divBdr>
    </w:div>
    <w:div w:id="422187891">
      <w:marLeft w:val="0"/>
      <w:marRight w:val="0"/>
      <w:marTop w:val="180"/>
      <w:marBottom w:val="0"/>
      <w:divBdr>
        <w:top w:val="none" w:sz="0" w:space="0" w:color="auto"/>
        <w:left w:val="none" w:sz="0" w:space="0" w:color="auto"/>
        <w:bottom w:val="none" w:sz="0" w:space="0" w:color="auto"/>
        <w:right w:val="none" w:sz="0" w:space="0" w:color="auto"/>
      </w:divBdr>
    </w:div>
    <w:div w:id="426661675">
      <w:marLeft w:val="0"/>
      <w:marRight w:val="0"/>
      <w:marTop w:val="0"/>
      <w:marBottom w:val="0"/>
      <w:divBdr>
        <w:top w:val="none" w:sz="0" w:space="0" w:color="auto"/>
        <w:left w:val="none" w:sz="0" w:space="0" w:color="auto"/>
        <w:bottom w:val="none" w:sz="0" w:space="0" w:color="auto"/>
        <w:right w:val="none" w:sz="0" w:space="0" w:color="auto"/>
      </w:divBdr>
      <w:divsChild>
        <w:div w:id="1226838441">
          <w:marLeft w:val="0"/>
          <w:marRight w:val="0"/>
          <w:marTop w:val="0"/>
          <w:marBottom w:val="0"/>
          <w:divBdr>
            <w:top w:val="none" w:sz="0" w:space="0" w:color="auto"/>
            <w:left w:val="none" w:sz="0" w:space="0" w:color="auto"/>
            <w:bottom w:val="none" w:sz="0" w:space="0" w:color="auto"/>
            <w:right w:val="none" w:sz="0" w:space="0" w:color="auto"/>
          </w:divBdr>
          <w:divsChild>
            <w:div w:id="1494505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29350710">
      <w:marLeft w:val="0"/>
      <w:marRight w:val="0"/>
      <w:marTop w:val="0"/>
      <w:marBottom w:val="0"/>
      <w:divBdr>
        <w:top w:val="none" w:sz="0" w:space="0" w:color="auto"/>
        <w:left w:val="none" w:sz="0" w:space="0" w:color="auto"/>
        <w:bottom w:val="none" w:sz="0" w:space="0" w:color="auto"/>
        <w:right w:val="none" w:sz="0" w:space="0" w:color="auto"/>
      </w:divBdr>
    </w:div>
    <w:div w:id="430856400">
      <w:marLeft w:val="0"/>
      <w:marRight w:val="0"/>
      <w:marTop w:val="0"/>
      <w:marBottom w:val="100"/>
      <w:divBdr>
        <w:top w:val="none" w:sz="0" w:space="0" w:color="auto"/>
        <w:left w:val="none" w:sz="0" w:space="0" w:color="auto"/>
        <w:bottom w:val="none" w:sz="0" w:space="0" w:color="auto"/>
        <w:right w:val="none" w:sz="0" w:space="0" w:color="auto"/>
      </w:divBdr>
    </w:div>
    <w:div w:id="449321120">
      <w:marLeft w:val="0"/>
      <w:marRight w:val="0"/>
      <w:marTop w:val="0"/>
      <w:marBottom w:val="0"/>
      <w:divBdr>
        <w:top w:val="none" w:sz="0" w:space="0" w:color="auto"/>
        <w:left w:val="none" w:sz="0" w:space="0" w:color="auto"/>
        <w:bottom w:val="none" w:sz="0" w:space="0" w:color="auto"/>
        <w:right w:val="none" w:sz="0" w:space="0" w:color="auto"/>
      </w:divBdr>
      <w:divsChild>
        <w:div w:id="2063407984">
          <w:marLeft w:val="0"/>
          <w:marRight w:val="0"/>
          <w:marTop w:val="0"/>
          <w:marBottom w:val="100"/>
          <w:divBdr>
            <w:top w:val="none" w:sz="0" w:space="0" w:color="auto"/>
            <w:left w:val="none" w:sz="0" w:space="0" w:color="auto"/>
            <w:bottom w:val="none" w:sz="0" w:space="0" w:color="auto"/>
            <w:right w:val="none" w:sz="0" w:space="0" w:color="auto"/>
          </w:divBdr>
        </w:div>
      </w:divsChild>
    </w:div>
    <w:div w:id="452090124">
      <w:marLeft w:val="0"/>
      <w:marRight w:val="0"/>
      <w:marTop w:val="0"/>
      <w:marBottom w:val="0"/>
      <w:divBdr>
        <w:top w:val="none" w:sz="0" w:space="0" w:color="auto"/>
        <w:left w:val="none" w:sz="0" w:space="0" w:color="auto"/>
        <w:bottom w:val="none" w:sz="0" w:space="0" w:color="auto"/>
        <w:right w:val="none" w:sz="0" w:space="0" w:color="auto"/>
      </w:divBdr>
    </w:div>
    <w:div w:id="452098244">
      <w:marLeft w:val="0"/>
      <w:marRight w:val="0"/>
      <w:marTop w:val="0"/>
      <w:marBottom w:val="0"/>
      <w:divBdr>
        <w:top w:val="none" w:sz="0" w:space="0" w:color="auto"/>
        <w:left w:val="none" w:sz="0" w:space="0" w:color="auto"/>
        <w:bottom w:val="none" w:sz="0" w:space="0" w:color="auto"/>
        <w:right w:val="none" w:sz="0" w:space="0" w:color="auto"/>
      </w:divBdr>
    </w:div>
    <w:div w:id="458962666">
      <w:marLeft w:val="0"/>
      <w:marRight w:val="0"/>
      <w:marTop w:val="0"/>
      <w:marBottom w:val="100"/>
      <w:divBdr>
        <w:top w:val="none" w:sz="0" w:space="0" w:color="auto"/>
        <w:left w:val="none" w:sz="0" w:space="0" w:color="auto"/>
        <w:bottom w:val="none" w:sz="0" w:space="0" w:color="auto"/>
        <w:right w:val="none" w:sz="0" w:space="0" w:color="auto"/>
      </w:divBdr>
    </w:div>
    <w:div w:id="465200745">
      <w:marLeft w:val="0"/>
      <w:marRight w:val="0"/>
      <w:marTop w:val="180"/>
      <w:marBottom w:val="0"/>
      <w:divBdr>
        <w:top w:val="none" w:sz="0" w:space="0" w:color="auto"/>
        <w:left w:val="none" w:sz="0" w:space="0" w:color="auto"/>
        <w:bottom w:val="none" w:sz="0" w:space="0" w:color="auto"/>
        <w:right w:val="none" w:sz="0" w:space="0" w:color="auto"/>
      </w:divBdr>
      <w:divsChild>
        <w:div w:id="676418436">
          <w:marLeft w:val="0"/>
          <w:marRight w:val="0"/>
          <w:marTop w:val="100"/>
          <w:marBottom w:val="0"/>
          <w:divBdr>
            <w:top w:val="none" w:sz="0" w:space="0" w:color="auto"/>
            <w:left w:val="none" w:sz="0" w:space="0" w:color="auto"/>
            <w:bottom w:val="none" w:sz="0" w:space="0" w:color="auto"/>
            <w:right w:val="none" w:sz="0" w:space="0" w:color="auto"/>
          </w:divBdr>
        </w:div>
      </w:divsChild>
    </w:div>
    <w:div w:id="468061019">
      <w:marLeft w:val="0"/>
      <w:marRight w:val="0"/>
      <w:marTop w:val="100"/>
      <w:marBottom w:val="100"/>
      <w:divBdr>
        <w:top w:val="none" w:sz="0" w:space="0" w:color="auto"/>
        <w:left w:val="none" w:sz="0" w:space="0" w:color="auto"/>
        <w:bottom w:val="none" w:sz="0" w:space="0" w:color="auto"/>
        <w:right w:val="none" w:sz="0" w:space="0" w:color="auto"/>
      </w:divBdr>
    </w:div>
    <w:div w:id="471408205">
      <w:marLeft w:val="0"/>
      <w:marRight w:val="0"/>
      <w:marTop w:val="0"/>
      <w:marBottom w:val="0"/>
      <w:divBdr>
        <w:top w:val="none" w:sz="0" w:space="0" w:color="auto"/>
        <w:left w:val="none" w:sz="0" w:space="0" w:color="auto"/>
        <w:bottom w:val="none" w:sz="0" w:space="0" w:color="auto"/>
        <w:right w:val="none" w:sz="0" w:space="0" w:color="auto"/>
      </w:divBdr>
      <w:divsChild>
        <w:div w:id="2031909237">
          <w:marLeft w:val="0"/>
          <w:marRight w:val="0"/>
          <w:marTop w:val="0"/>
          <w:marBottom w:val="0"/>
          <w:divBdr>
            <w:top w:val="none" w:sz="0" w:space="0" w:color="auto"/>
            <w:left w:val="none" w:sz="0" w:space="0" w:color="auto"/>
            <w:bottom w:val="none" w:sz="0" w:space="0" w:color="auto"/>
            <w:right w:val="none" w:sz="0" w:space="0" w:color="auto"/>
          </w:divBdr>
          <w:divsChild>
            <w:div w:id="13834106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78694750">
      <w:marLeft w:val="0"/>
      <w:marRight w:val="0"/>
      <w:marTop w:val="180"/>
      <w:marBottom w:val="0"/>
      <w:divBdr>
        <w:top w:val="none" w:sz="0" w:space="0" w:color="auto"/>
        <w:left w:val="none" w:sz="0" w:space="0" w:color="auto"/>
        <w:bottom w:val="none" w:sz="0" w:space="0" w:color="auto"/>
        <w:right w:val="none" w:sz="0" w:space="0" w:color="auto"/>
      </w:divBdr>
    </w:div>
    <w:div w:id="481166753">
      <w:marLeft w:val="0"/>
      <w:marRight w:val="0"/>
      <w:marTop w:val="0"/>
      <w:marBottom w:val="100"/>
      <w:divBdr>
        <w:top w:val="none" w:sz="0" w:space="0" w:color="auto"/>
        <w:left w:val="none" w:sz="0" w:space="0" w:color="auto"/>
        <w:bottom w:val="none" w:sz="0" w:space="0" w:color="auto"/>
        <w:right w:val="none" w:sz="0" w:space="0" w:color="auto"/>
      </w:divBdr>
    </w:div>
    <w:div w:id="489561517">
      <w:marLeft w:val="0"/>
      <w:marRight w:val="0"/>
      <w:marTop w:val="180"/>
      <w:marBottom w:val="0"/>
      <w:divBdr>
        <w:top w:val="none" w:sz="0" w:space="0" w:color="auto"/>
        <w:left w:val="none" w:sz="0" w:space="0" w:color="auto"/>
        <w:bottom w:val="none" w:sz="0" w:space="0" w:color="auto"/>
        <w:right w:val="none" w:sz="0" w:space="0" w:color="auto"/>
      </w:divBdr>
    </w:div>
    <w:div w:id="490214914">
      <w:marLeft w:val="0"/>
      <w:marRight w:val="0"/>
      <w:marTop w:val="100"/>
      <w:marBottom w:val="100"/>
      <w:divBdr>
        <w:top w:val="none" w:sz="0" w:space="0" w:color="auto"/>
        <w:left w:val="none" w:sz="0" w:space="0" w:color="auto"/>
        <w:bottom w:val="none" w:sz="0" w:space="0" w:color="auto"/>
        <w:right w:val="none" w:sz="0" w:space="0" w:color="auto"/>
      </w:divBdr>
    </w:div>
    <w:div w:id="490676065">
      <w:marLeft w:val="0"/>
      <w:marRight w:val="0"/>
      <w:marTop w:val="180"/>
      <w:marBottom w:val="0"/>
      <w:divBdr>
        <w:top w:val="none" w:sz="0" w:space="0" w:color="auto"/>
        <w:left w:val="none" w:sz="0" w:space="0" w:color="auto"/>
        <w:bottom w:val="none" w:sz="0" w:space="0" w:color="auto"/>
        <w:right w:val="none" w:sz="0" w:space="0" w:color="auto"/>
      </w:divBdr>
    </w:div>
    <w:div w:id="504246973">
      <w:marLeft w:val="0"/>
      <w:marRight w:val="0"/>
      <w:marTop w:val="0"/>
      <w:marBottom w:val="100"/>
      <w:divBdr>
        <w:top w:val="none" w:sz="0" w:space="0" w:color="auto"/>
        <w:left w:val="none" w:sz="0" w:space="0" w:color="auto"/>
        <w:bottom w:val="none" w:sz="0" w:space="0" w:color="auto"/>
        <w:right w:val="none" w:sz="0" w:space="0" w:color="auto"/>
      </w:divBdr>
    </w:div>
    <w:div w:id="512111612">
      <w:marLeft w:val="0"/>
      <w:marRight w:val="0"/>
      <w:marTop w:val="0"/>
      <w:marBottom w:val="0"/>
      <w:divBdr>
        <w:top w:val="none" w:sz="0" w:space="0" w:color="auto"/>
        <w:left w:val="none" w:sz="0" w:space="0" w:color="auto"/>
        <w:bottom w:val="none" w:sz="0" w:space="0" w:color="auto"/>
        <w:right w:val="none" w:sz="0" w:space="0" w:color="auto"/>
      </w:divBdr>
    </w:div>
    <w:div w:id="512186018">
      <w:marLeft w:val="0"/>
      <w:marRight w:val="0"/>
      <w:marTop w:val="0"/>
      <w:marBottom w:val="0"/>
      <w:divBdr>
        <w:top w:val="none" w:sz="0" w:space="0" w:color="auto"/>
        <w:left w:val="none" w:sz="0" w:space="0" w:color="auto"/>
        <w:bottom w:val="none" w:sz="0" w:space="0" w:color="auto"/>
        <w:right w:val="none" w:sz="0" w:space="0" w:color="auto"/>
      </w:divBdr>
    </w:div>
    <w:div w:id="513805392">
      <w:marLeft w:val="0"/>
      <w:marRight w:val="0"/>
      <w:marTop w:val="0"/>
      <w:marBottom w:val="120"/>
      <w:divBdr>
        <w:top w:val="none" w:sz="0" w:space="0" w:color="auto"/>
        <w:left w:val="none" w:sz="0" w:space="0" w:color="auto"/>
        <w:bottom w:val="none" w:sz="0" w:space="0" w:color="auto"/>
        <w:right w:val="none" w:sz="0" w:space="0" w:color="auto"/>
      </w:divBdr>
    </w:div>
    <w:div w:id="516700236">
      <w:marLeft w:val="0"/>
      <w:marRight w:val="0"/>
      <w:marTop w:val="0"/>
      <w:marBottom w:val="100"/>
      <w:divBdr>
        <w:top w:val="none" w:sz="0" w:space="0" w:color="auto"/>
        <w:left w:val="none" w:sz="0" w:space="0" w:color="auto"/>
        <w:bottom w:val="none" w:sz="0" w:space="0" w:color="auto"/>
        <w:right w:val="none" w:sz="0" w:space="0" w:color="auto"/>
      </w:divBdr>
    </w:div>
    <w:div w:id="516970390">
      <w:marLeft w:val="0"/>
      <w:marRight w:val="0"/>
      <w:marTop w:val="0"/>
      <w:marBottom w:val="0"/>
      <w:divBdr>
        <w:top w:val="none" w:sz="0" w:space="0" w:color="auto"/>
        <w:left w:val="none" w:sz="0" w:space="0" w:color="auto"/>
        <w:bottom w:val="none" w:sz="0" w:space="0" w:color="auto"/>
        <w:right w:val="none" w:sz="0" w:space="0" w:color="auto"/>
      </w:divBdr>
    </w:div>
    <w:div w:id="517619295">
      <w:marLeft w:val="0"/>
      <w:marRight w:val="0"/>
      <w:marTop w:val="100"/>
      <w:marBottom w:val="0"/>
      <w:divBdr>
        <w:top w:val="none" w:sz="0" w:space="0" w:color="auto"/>
        <w:left w:val="none" w:sz="0" w:space="0" w:color="auto"/>
        <w:bottom w:val="none" w:sz="0" w:space="0" w:color="auto"/>
        <w:right w:val="none" w:sz="0" w:space="0" w:color="auto"/>
      </w:divBdr>
    </w:div>
    <w:div w:id="519005788">
      <w:marLeft w:val="0"/>
      <w:marRight w:val="0"/>
      <w:marTop w:val="0"/>
      <w:marBottom w:val="100"/>
      <w:divBdr>
        <w:top w:val="none" w:sz="0" w:space="0" w:color="auto"/>
        <w:left w:val="none" w:sz="0" w:space="0" w:color="auto"/>
        <w:bottom w:val="none" w:sz="0" w:space="0" w:color="auto"/>
        <w:right w:val="none" w:sz="0" w:space="0" w:color="auto"/>
      </w:divBdr>
    </w:div>
    <w:div w:id="522281095">
      <w:marLeft w:val="0"/>
      <w:marRight w:val="0"/>
      <w:marTop w:val="0"/>
      <w:marBottom w:val="0"/>
      <w:divBdr>
        <w:top w:val="none" w:sz="0" w:space="0" w:color="auto"/>
        <w:left w:val="none" w:sz="0" w:space="0" w:color="auto"/>
        <w:bottom w:val="none" w:sz="0" w:space="0" w:color="auto"/>
        <w:right w:val="none" w:sz="0" w:space="0" w:color="auto"/>
      </w:divBdr>
      <w:divsChild>
        <w:div w:id="1072123984">
          <w:marLeft w:val="0"/>
          <w:marRight w:val="0"/>
          <w:marTop w:val="0"/>
          <w:marBottom w:val="100"/>
          <w:divBdr>
            <w:top w:val="none" w:sz="0" w:space="0" w:color="auto"/>
            <w:left w:val="none" w:sz="0" w:space="0" w:color="auto"/>
            <w:bottom w:val="none" w:sz="0" w:space="0" w:color="auto"/>
            <w:right w:val="none" w:sz="0" w:space="0" w:color="auto"/>
          </w:divBdr>
        </w:div>
      </w:divsChild>
    </w:div>
    <w:div w:id="527107760">
      <w:marLeft w:val="0"/>
      <w:marRight w:val="0"/>
      <w:marTop w:val="100"/>
      <w:marBottom w:val="100"/>
      <w:divBdr>
        <w:top w:val="none" w:sz="0" w:space="0" w:color="auto"/>
        <w:left w:val="none" w:sz="0" w:space="0" w:color="auto"/>
        <w:bottom w:val="none" w:sz="0" w:space="0" w:color="auto"/>
        <w:right w:val="none" w:sz="0" w:space="0" w:color="auto"/>
      </w:divBdr>
    </w:div>
    <w:div w:id="536360670">
      <w:marLeft w:val="0"/>
      <w:marRight w:val="0"/>
      <w:marTop w:val="100"/>
      <w:marBottom w:val="0"/>
      <w:divBdr>
        <w:top w:val="none" w:sz="0" w:space="0" w:color="auto"/>
        <w:left w:val="none" w:sz="0" w:space="0" w:color="auto"/>
        <w:bottom w:val="none" w:sz="0" w:space="0" w:color="auto"/>
        <w:right w:val="none" w:sz="0" w:space="0" w:color="auto"/>
      </w:divBdr>
    </w:div>
    <w:div w:id="537476080">
      <w:marLeft w:val="0"/>
      <w:marRight w:val="0"/>
      <w:marTop w:val="0"/>
      <w:marBottom w:val="0"/>
      <w:divBdr>
        <w:top w:val="none" w:sz="0" w:space="0" w:color="auto"/>
        <w:left w:val="none" w:sz="0" w:space="0" w:color="auto"/>
        <w:bottom w:val="none" w:sz="0" w:space="0" w:color="auto"/>
        <w:right w:val="none" w:sz="0" w:space="0" w:color="auto"/>
      </w:divBdr>
    </w:div>
    <w:div w:id="547885160">
      <w:marLeft w:val="0"/>
      <w:marRight w:val="0"/>
      <w:marTop w:val="0"/>
      <w:marBottom w:val="0"/>
      <w:divBdr>
        <w:top w:val="none" w:sz="0" w:space="0" w:color="auto"/>
        <w:left w:val="none" w:sz="0" w:space="0" w:color="auto"/>
        <w:bottom w:val="none" w:sz="0" w:space="0" w:color="auto"/>
        <w:right w:val="none" w:sz="0" w:space="0" w:color="auto"/>
      </w:divBdr>
      <w:divsChild>
        <w:div w:id="1468819534">
          <w:marLeft w:val="0"/>
          <w:marRight w:val="0"/>
          <w:marTop w:val="0"/>
          <w:marBottom w:val="0"/>
          <w:divBdr>
            <w:top w:val="none" w:sz="0" w:space="0" w:color="auto"/>
            <w:left w:val="none" w:sz="0" w:space="0" w:color="auto"/>
            <w:bottom w:val="none" w:sz="0" w:space="0" w:color="auto"/>
            <w:right w:val="none" w:sz="0" w:space="0" w:color="auto"/>
          </w:divBdr>
          <w:divsChild>
            <w:div w:id="41078218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49272153">
      <w:marLeft w:val="0"/>
      <w:marRight w:val="0"/>
      <w:marTop w:val="180"/>
      <w:marBottom w:val="0"/>
      <w:divBdr>
        <w:top w:val="none" w:sz="0" w:space="0" w:color="auto"/>
        <w:left w:val="none" w:sz="0" w:space="0" w:color="auto"/>
        <w:bottom w:val="none" w:sz="0" w:space="0" w:color="auto"/>
        <w:right w:val="none" w:sz="0" w:space="0" w:color="auto"/>
      </w:divBdr>
      <w:divsChild>
        <w:div w:id="1024555416">
          <w:marLeft w:val="0"/>
          <w:marRight w:val="0"/>
          <w:marTop w:val="0"/>
          <w:marBottom w:val="0"/>
          <w:divBdr>
            <w:top w:val="none" w:sz="0" w:space="0" w:color="auto"/>
            <w:left w:val="none" w:sz="0" w:space="0" w:color="auto"/>
            <w:bottom w:val="none" w:sz="0" w:space="0" w:color="auto"/>
            <w:right w:val="none" w:sz="0" w:space="0" w:color="auto"/>
          </w:divBdr>
        </w:div>
      </w:divsChild>
    </w:div>
    <w:div w:id="551422860">
      <w:marLeft w:val="0"/>
      <w:marRight w:val="0"/>
      <w:marTop w:val="100"/>
      <w:marBottom w:val="100"/>
      <w:divBdr>
        <w:top w:val="none" w:sz="0" w:space="0" w:color="auto"/>
        <w:left w:val="none" w:sz="0" w:space="0" w:color="auto"/>
        <w:bottom w:val="none" w:sz="0" w:space="0" w:color="auto"/>
        <w:right w:val="none" w:sz="0" w:space="0" w:color="auto"/>
      </w:divBdr>
    </w:div>
    <w:div w:id="552622217">
      <w:marLeft w:val="0"/>
      <w:marRight w:val="0"/>
      <w:marTop w:val="100"/>
      <w:marBottom w:val="100"/>
      <w:divBdr>
        <w:top w:val="none" w:sz="0" w:space="0" w:color="auto"/>
        <w:left w:val="none" w:sz="0" w:space="0" w:color="auto"/>
        <w:bottom w:val="none" w:sz="0" w:space="0" w:color="auto"/>
        <w:right w:val="none" w:sz="0" w:space="0" w:color="auto"/>
      </w:divBdr>
    </w:div>
    <w:div w:id="558908101">
      <w:marLeft w:val="0"/>
      <w:marRight w:val="0"/>
      <w:marTop w:val="0"/>
      <w:marBottom w:val="100"/>
      <w:divBdr>
        <w:top w:val="none" w:sz="0" w:space="0" w:color="auto"/>
        <w:left w:val="none" w:sz="0" w:space="0" w:color="auto"/>
        <w:bottom w:val="none" w:sz="0" w:space="0" w:color="auto"/>
        <w:right w:val="none" w:sz="0" w:space="0" w:color="auto"/>
      </w:divBdr>
    </w:div>
    <w:div w:id="560139912">
      <w:marLeft w:val="0"/>
      <w:marRight w:val="0"/>
      <w:marTop w:val="0"/>
      <w:marBottom w:val="0"/>
      <w:divBdr>
        <w:top w:val="none" w:sz="0" w:space="0" w:color="auto"/>
        <w:left w:val="none" w:sz="0" w:space="0" w:color="auto"/>
        <w:bottom w:val="none" w:sz="0" w:space="0" w:color="auto"/>
        <w:right w:val="none" w:sz="0" w:space="0" w:color="auto"/>
      </w:divBdr>
      <w:divsChild>
        <w:div w:id="4593870">
          <w:marLeft w:val="0"/>
          <w:marRight w:val="0"/>
          <w:marTop w:val="0"/>
          <w:marBottom w:val="100"/>
          <w:divBdr>
            <w:top w:val="none" w:sz="0" w:space="0" w:color="auto"/>
            <w:left w:val="none" w:sz="0" w:space="0" w:color="auto"/>
            <w:bottom w:val="none" w:sz="0" w:space="0" w:color="auto"/>
            <w:right w:val="none" w:sz="0" w:space="0" w:color="auto"/>
          </w:divBdr>
        </w:div>
      </w:divsChild>
    </w:div>
    <w:div w:id="562448382">
      <w:marLeft w:val="0"/>
      <w:marRight w:val="0"/>
      <w:marTop w:val="180"/>
      <w:marBottom w:val="0"/>
      <w:divBdr>
        <w:top w:val="none" w:sz="0" w:space="0" w:color="auto"/>
        <w:left w:val="none" w:sz="0" w:space="0" w:color="auto"/>
        <w:bottom w:val="none" w:sz="0" w:space="0" w:color="auto"/>
        <w:right w:val="none" w:sz="0" w:space="0" w:color="auto"/>
      </w:divBdr>
      <w:divsChild>
        <w:div w:id="892159522">
          <w:marLeft w:val="0"/>
          <w:marRight w:val="0"/>
          <w:marTop w:val="180"/>
          <w:marBottom w:val="0"/>
          <w:divBdr>
            <w:top w:val="none" w:sz="0" w:space="0" w:color="auto"/>
            <w:left w:val="none" w:sz="0" w:space="0" w:color="auto"/>
            <w:bottom w:val="none" w:sz="0" w:space="0" w:color="auto"/>
            <w:right w:val="none" w:sz="0" w:space="0" w:color="auto"/>
          </w:divBdr>
        </w:div>
      </w:divsChild>
    </w:div>
    <w:div w:id="565726946">
      <w:marLeft w:val="0"/>
      <w:marRight w:val="0"/>
      <w:marTop w:val="180"/>
      <w:marBottom w:val="100"/>
      <w:divBdr>
        <w:top w:val="none" w:sz="0" w:space="0" w:color="auto"/>
        <w:left w:val="none" w:sz="0" w:space="0" w:color="auto"/>
        <w:bottom w:val="none" w:sz="0" w:space="0" w:color="auto"/>
        <w:right w:val="none" w:sz="0" w:space="0" w:color="auto"/>
      </w:divBdr>
    </w:div>
    <w:div w:id="566571496">
      <w:marLeft w:val="0"/>
      <w:marRight w:val="0"/>
      <w:marTop w:val="0"/>
      <w:marBottom w:val="0"/>
      <w:divBdr>
        <w:top w:val="none" w:sz="0" w:space="0" w:color="auto"/>
        <w:left w:val="none" w:sz="0" w:space="0" w:color="auto"/>
        <w:bottom w:val="none" w:sz="0" w:space="0" w:color="auto"/>
        <w:right w:val="none" w:sz="0" w:space="0" w:color="auto"/>
      </w:divBdr>
      <w:divsChild>
        <w:div w:id="1388185731">
          <w:marLeft w:val="0"/>
          <w:marRight w:val="0"/>
          <w:marTop w:val="0"/>
          <w:marBottom w:val="0"/>
          <w:divBdr>
            <w:top w:val="none" w:sz="0" w:space="0" w:color="auto"/>
            <w:left w:val="none" w:sz="0" w:space="0" w:color="auto"/>
            <w:bottom w:val="none" w:sz="0" w:space="0" w:color="auto"/>
            <w:right w:val="none" w:sz="0" w:space="0" w:color="auto"/>
          </w:divBdr>
          <w:divsChild>
            <w:div w:id="132369708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69654419">
      <w:marLeft w:val="0"/>
      <w:marRight w:val="0"/>
      <w:marTop w:val="0"/>
      <w:marBottom w:val="100"/>
      <w:divBdr>
        <w:top w:val="none" w:sz="0" w:space="0" w:color="auto"/>
        <w:left w:val="none" w:sz="0" w:space="0" w:color="auto"/>
        <w:bottom w:val="none" w:sz="0" w:space="0" w:color="auto"/>
        <w:right w:val="none" w:sz="0" w:space="0" w:color="auto"/>
      </w:divBdr>
    </w:div>
    <w:div w:id="574320918">
      <w:marLeft w:val="0"/>
      <w:marRight w:val="0"/>
      <w:marTop w:val="180"/>
      <w:marBottom w:val="0"/>
      <w:divBdr>
        <w:top w:val="none" w:sz="0" w:space="0" w:color="auto"/>
        <w:left w:val="none" w:sz="0" w:space="0" w:color="auto"/>
        <w:bottom w:val="none" w:sz="0" w:space="0" w:color="auto"/>
        <w:right w:val="none" w:sz="0" w:space="0" w:color="auto"/>
      </w:divBdr>
    </w:div>
    <w:div w:id="580600789">
      <w:marLeft w:val="0"/>
      <w:marRight w:val="0"/>
      <w:marTop w:val="0"/>
      <w:marBottom w:val="0"/>
      <w:divBdr>
        <w:top w:val="none" w:sz="0" w:space="0" w:color="auto"/>
        <w:left w:val="none" w:sz="0" w:space="0" w:color="auto"/>
        <w:bottom w:val="none" w:sz="0" w:space="0" w:color="auto"/>
        <w:right w:val="none" w:sz="0" w:space="0" w:color="auto"/>
      </w:divBdr>
    </w:div>
    <w:div w:id="582035630">
      <w:marLeft w:val="0"/>
      <w:marRight w:val="0"/>
      <w:marTop w:val="180"/>
      <w:marBottom w:val="100"/>
      <w:divBdr>
        <w:top w:val="none" w:sz="0" w:space="0" w:color="auto"/>
        <w:left w:val="none" w:sz="0" w:space="0" w:color="auto"/>
        <w:bottom w:val="none" w:sz="0" w:space="0" w:color="auto"/>
        <w:right w:val="none" w:sz="0" w:space="0" w:color="auto"/>
      </w:divBdr>
    </w:div>
    <w:div w:id="582103361">
      <w:marLeft w:val="0"/>
      <w:marRight w:val="0"/>
      <w:marTop w:val="100"/>
      <w:marBottom w:val="0"/>
      <w:divBdr>
        <w:top w:val="none" w:sz="0" w:space="0" w:color="auto"/>
        <w:left w:val="none" w:sz="0" w:space="0" w:color="auto"/>
        <w:bottom w:val="none" w:sz="0" w:space="0" w:color="auto"/>
        <w:right w:val="none" w:sz="0" w:space="0" w:color="auto"/>
      </w:divBdr>
      <w:divsChild>
        <w:div w:id="847911798">
          <w:marLeft w:val="0"/>
          <w:marRight w:val="0"/>
          <w:marTop w:val="0"/>
          <w:marBottom w:val="0"/>
          <w:divBdr>
            <w:top w:val="none" w:sz="0" w:space="0" w:color="auto"/>
            <w:left w:val="none" w:sz="0" w:space="0" w:color="auto"/>
            <w:bottom w:val="none" w:sz="0" w:space="0" w:color="auto"/>
            <w:right w:val="none" w:sz="0" w:space="0" w:color="auto"/>
          </w:divBdr>
        </w:div>
      </w:divsChild>
    </w:div>
    <w:div w:id="586309720">
      <w:marLeft w:val="0"/>
      <w:marRight w:val="0"/>
      <w:marTop w:val="180"/>
      <w:marBottom w:val="100"/>
      <w:divBdr>
        <w:top w:val="none" w:sz="0" w:space="0" w:color="auto"/>
        <w:left w:val="none" w:sz="0" w:space="0" w:color="auto"/>
        <w:bottom w:val="none" w:sz="0" w:space="0" w:color="auto"/>
        <w:right w:val="none" w:sz="0" w:space="0" w:color="auto"/>
      </w:divBdr>
    </w:div>
    <w:div w:id="588386735">
      <w:marLeft w:val="0"/>
      <w:marRight w:val="0"/>
      <w:marTop w:val="180"/>
      <w:marBottom w:val="0"/>
      <w:divBdr>
        <w:top w:val="none" w:sz="0" w:space="0" w:color="auto"/>
        <w:left w:val="none" w:sz="0" w:space="0" w:color="auto"/>
        <w:bottom w:val="none" w:sz="0" w:space="0" w:color="auto"/>
        <w:right w:val="none" w:sz="0" w:space="0" w:color="auto"/>
      </w:divBdr>
    </w:div>
    <w:div w:id="597062627">
      <w:marLeft w:val="0"/>
      <w:marRight w:val="0"/>
      <w:marTop w:val="0"/>
      <w:marBottom w:val="0"/>
      <w:divBdr>
        <w:top w:val="none" w:sz="0" w:space="0" w:color="auto"/>
        <w:left w:val="none" w:sz="0" w:space="0" w:color="auto"/>
        <w:bottom w:val="none" w:sz="0" w:space="0" w:color="auto"/>
        <w:right w:val="none" w:sz="0" w:space="0" w:color="auto"/>
      </w:divBdr>
      <w:divsChild>
        <w:div w:id="1704284363">
          <w:marLeft w:val="0"/>
          <w:marRight w:val="0"/>
          <w:marTop w:val="0"/>
          <w:marBottom w:val="0"/>
          <w:divBdr>
            <w:top w:val="none" w:sz="0" w:space="0" w:color="auto"/>
            <w:left w:val="none" w:sz="0" w:space="0" w:color="auto"/>
            <w:bottom w:val="none" w:sz="0" w:space="0" w:color="auto"/>
            <w:right w:val="none" w:sz="0" w:space="0" w:color="auto"/>
          </w:divBdr>
          <w:divsChild>
            <w:div w:id="17792574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9025744">
      <w:marLeft w:val="0"/>
      <w:marRight w:val="0"/>
      <w:marTop w:val="0"/>
      <w:marBottom w:val="100"/>
      <w:divBdr>
        <w:top w:val="none" w:sz="0" w:space="0" w:color="auto"/>
        <w:left w:val="none" w:sz="0" w:space="0" w:color="auto"/>
        <w:bottom w:val="none" w:sz="0" w:space="0" w:color="auto"/>
        <w:right w:val="none" w:sz="0" w:space="0" w:color="auto"/>
      </w:divBdr>
    </w:div>
    <w:div w:id="599686031">
      <w:marLeft w:val="0"/>
      <w:marRight w:val="0"/>
      <w:marTop w:val="180"/>
      <w:marBottom w:val="0"/>
      <w:divBdr>
        <w:top w:val="none" w:sz="0" w:space="0" w:color="auto"/>
        <w:left w:val="none" w:sz="0" w:space="0" w:color="auto"/>
        <w:bottom w:val="none" w:sz="0" w:space="0" w:color="auto"/>
        <w:right w:val="none" w:sz="0" w:space="0" w:color="auto"/>
      </w:divBdr>
    </w:div>
    <w:div w:id="604733160">
      <w:marLeft w:val="0"/>
      <w:marRight w:val="0"/>
      <w:marTop w:val="100"/>
      <w:marBottom w:val="0"/>
      <w:divBdr>
        <w:top w:val="none" w:sz="0" w:space="0" w:color="auto"/>
        <w:left w:val="none" w:sz="0" w:space="0" w:color="auto"/>
        <w:bottom w:val="none" w:sz="0" w:space="0" w:color="auto"/>
        <w:right w:val="none" w:sz="0" w:space="0" w:color="auto"/>
      </w:divBdr>
    </w:div>
    <w:div w:id="613908342">
      <w:marLeft w:val="0"/>
      <w:marRight w:val="0"/>
      <w:marTop w:val="0"/>
      <w:marBottom w:val="0"/>
      <w:divBdr>
        <w:top w:val="none" w:sz="0" w:space="0" w:color="auto"/>
        <w:left w:val="none" w:sz="0" w:space="0" w:color="auto"/>
        <w:bottom w:val="none" w:sz="0" w:space="0" w:color="auto"/>
        <w:right w:val="none" w:sz="0" w:space="0" w:color="auto"/>
      </w:divBdr>
    </w:div>
    <w:div w:id="614873916">
      <w:marLeft w:val="0"/>
      <w:marRight w:val="0"/>
      <w:marTop w:val="0"/>
      <w:marBottom w:val="0"/>
      <w:divBdr>
        <w:top w:val="none" w:sz="0" w:space="0" w:color="auto"/>
        <w:left w:val="none" w:sz="0" w:space="0" w:color="auto"/>
        <w:bottom w:val="none" w:sz="0" w:space="0" w:color="auto"/>
        <w:right w:val="none" w:sz="0" w:space="0" w:color="auto"/>
      </w:divBdr>
      <w:divsChild>
        <w:div w:id="79759158">
          <w:marLeft w:val="0"/>
          <w:marRight w:val="0"/>
          <w:marTop w:val="0"/>
          <w:marBottom w:val="0"/>
          <w:divBdr>
            <w:top w:val="none" w:sz="0" w:space="0" w:color="auto"/>
            <w:left w:val="none" w:sz="0" w:space="0" w:color="auto"/>
            <w:bottom w:val="none" w:sz="0" w:space="0" w:color="auto"/>
            <w:right w:val="none" w:sz="0" w:space="0" w:color="auto"/>
          </w:divBdr>
          <w:divsChild>
            <w:div w:id="123431739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20454064">
      <w:marLeft w:val="0"/>
      <w:marRight w:val="0"/>
      <w:marTop w:val="100"/>
      <w:marBottom w:val="100"/>
      <w:divBdr>
        <w:top w:val="none" w:sz="0" w:space="0" w:color="auto"/>
        <w:left w:val="none" w:sz="0" w:space="0" w:color="auto"/>
        <w:bottom w:val="none" w:sz="0" w:space="0" w:color="auto"/>
        <w:right w:val="none" w:sz="0" w:space="0" w:color="auto"/>
      </w:divBdr>
    </w:div>
    <w:div w:id="622082444">
      <w:marLeft w:val="0"/>
      <w:marRight w:val="0"/>
      <w:marTop w:val="0"/>
      <w:marBottom w:val="100"/>
      <w:divBdr>
        <w:top w:val="none" w:sz="0" w:space="0" w:color="auto"/>
        <w:left w:val="none" w:sz="0" w:space="0" w:color="auto"/>
        <w:bottom w:val="none" w:sz="0" w:space="0" w:color="auto"/>
        <w:right w:val="none" w:sz="0" w:space="0" w:color="auto"/>
      </w:divBdr>
    </w:div>
    <w:div w:id="631711285">
      <w:marLeft w:val="0"/>
      <w:marRight w:val="0"/>
      <w:marTop w:val="0"/>
      <w:marBottom w:val="0"/>
      <w:divBdr>
        <w:top w:val="none" w:sz="0" w:space="0" w:color="auto"/>
        <w:left w:val="none" w:sz="0" w:space="0" w:color="auto"/>
        <w:bottom w:val="none" w:sz="0" w:space="0" w:color="auto"/>
        <w:right w:val="none" w:sz="0" w:space="0" w:color="auto"/>
      </w:divBdr>
    </w:div>
    <w:div w:id="632518992">
      <w:marLeft w:val="0"/>
      <w:marRight w:val="0"/>
      <w:marTop w:val="180"/>
      <w:marBottom w:val="0"/>
      <w:divBdr>
        <w:top w:val="none" w:sz="0" w:space="0" w:color="auto"/>
        <w:left w:val="none" w:sz="0" w:space="0" w:color="auto"/>
        <w:bottom w:val="none" w:sz="0" w:space="0" w:color="auto"/>
        <w:right w:val="none" w:sz="0" w:space="0" w:color="auto"/>
      </w:divBdr>
    </w:div>
    <w:div w:id="633609116">
      <w:marLeft w:val="0"/>
      <w:marRight w:val="0"/>
      <w:marTop w:val="100"/>
      <w:marBottom w:val="100"/>
      <w:divBdr>
        <w:top w:val="none" w:sz="0" w:space="0" w:color="auto"/>
        <w:left w:val="none" w:sz="0" w:space="0" w:color="auto"/>
        <w:bottom w:val="none" w:sz="0" w:space="0" w:color="auto"/>
        <w:right w:val="none" w:sz="0" w:space="0" w:color="auto"/>
      </w:divBdr>
    </w:div>
    <w:div w:id="636379766">
      <w:marLeft w:val="0"/>
      <w:marRight w:val="0"/>
      <w:marTop w:val="100"/>
      <w:marBottom w:val="100"/>
      <w:divBdr>
        <w:top w:val="none" w:sz="0" w:space="0" w:color="auto"/>
        <w:left w:val="none" w:sz="0" w:space="0" w:color="auto"/>
        <w:bottom w:val="none" w:sz="0" w:space="0" w:color="auto"/>
        <w:right w:val="none" w:sz="0" w:space="0" w:color="auto"/>
      </w:divBdr>
    </w:div>
    <w:div w:id="637076447">
      <w:marLeft w:val="0"/>
      <w:marRight w:val="0"/>
      <w:marTop w:val="0"/>
      <w:marBottom w:val="100"/>
      <w:divBdr>
        <w:top w:val="none" w:sz="0" w:space="0" w:color="auto"/>
        <w:left w:val="none" w:sz="0" w:space="0" w:color="auto"/>
        <w:bottom w:val="none" w:sz="0" w:space="0" w:color="auto"/>
        <w:right w:val="none" w:sz="0" w:space="0" w:color="auto"/>
      </w:divBdr>
    </w:div>
    <w:div w:id="643583008">
      <w:marLeft w:val="0"/>
      <w:marRight w:val="0"/>
      <w:marTop w:val="0"/>
      <w:marBottom w:val="0"/>
      <w:divBdr>
        <w:top w:val="none" w:sz="0" w:space="0" w:color="auto"/>
        <w:left w:val="none" w:sz="0" w:space="0" w:color="auto"/>
        <w:bottom w:val="none" w:sz="0" w:space="0" w:color="auto"/>
        <w:right w:val="none" w:sz="0" w:space="0" w:color="auto"/>
      </w:divBdr>
    </w:div>
    <w:div w:id="647133977">
      <w:marLeft w:val="0"/>
      <w:marRight w:val="0"/>
      <w:marTop w:val="100"/>
      <w:marBottom w:val="100"/>
      <w:divBdr>
        <w:top w:val="none" w:sz="0" w:space="0" w:color="auto"/>
        <w:left w:val="none" w:sz="0" w:space="0" w:color="auto"/>
        <w:bottom w:val="none" w:sz="0" w:space="0" w:color="auto"/>
        <w:right w:val="none" w:sz="0" w:space="0" w:color="auto"/>
      </w:divBdr>
    </w:div>
    <w:div w:id="648634710">
      <w:marLeft w:val="0"/>
      <w:marRight w:val="0"/>
      <w:marTop w:val="0"/>
      <w:marBottom w:val="0"/>
      <w:divBdr>
        <w:top w:val="none" w:sz="0" w:space="0" w:color="auto"/>
        <w:left w:val="none" w:sz="0" w:space="0" w:color="auto"/>
        <w:bottom w:val="none" w:sz="0" w:space="0" w:color="auto"/>
        <w:right w:val="none" w:sz="0" w:space="0" w:color="auto"/>
      </w:divBdr>
    </w:div>
    <w:div w:id="651982921">
      <w:marLeft w:val="0"/>
      <w:marRight w:val="0"/>
      <w:marTop w:val="180"/>
      <w:marBottom w:val="120"/>
      <w:divBdr>
        <w:top w:val="none" w:sz="0" w:space="0" w:color="auto"/>
        <w:left w:val="none" w:sz="0" w:space="0" w:color="auto"/>
        <w:bottom w:val="none" w:sz="0" w:space="0" w:color="auto"/>
        <w:right w:val="none" w:sz="0" w:space="0" w:color="auto"/>
      </w:divBdr>
    </w:div>
    <w:div w:id="654770364">
      <w:marLeft w:val="0"/>
      <w:marRight w:val="0"/>
      <w:marTop w:val="0"/>
      <w:marBottom w:val="100"/>
      <w:divBdr>
        <w:top w:val="none" w:sz="0" w:space="0" w:color="auto"/>
        <w:left w:val="none" w:sz="0" w:space="0" w:color="auto"/>
        <w:bottom w:val="none" w:sz="0" w:space="0" w:color="auto"/>
        <w:right w:val="none" w:sz="0" w:space="0" w:color="auto"/>
      </w:divBdr>
    </w:div>
    <w:div w:id="656615487">
      <w:marLeft w:val="0"/>
      <w:marRight w:val="0"/>
      <w:marTop w:val="180"/>
      <w:marBottom w:val="0"/>
      <w:divBdr>
        <w:top w:val="none" w:sz="0" w:space="0" w:color="auto"/>
        <w:left w:val="none" w:sz="0" w:space="0" w:color="auto"/>
        <w:bottom w:val="none" w:sz="0" w:space="0" w:color="auto"/>
        <w:right w:val="none" w:sz="0" w:space="0" w:color="auto"/>
      </w:divBdr>
    </w:div>
    <w:div w:id="657882975">
      <w:marLeft w:val="0"/>
      <w:marRight w:val="0"/>
      <w:marTop w:val="100"/>
      <w:marBottom w:val="100"/>
      <w:divBdr>
        <w:top w:val="none" w:sz="0" w:space="0" w:color="auto"/>
        <w:left w:val="none" w:sz="0" w:space="0" w:color="auto"/>
        <w:bottom w:val="none" w:sz="0" w:space="0" w:color="auto"/>
        <w:right w:val="none" w:sz="0" w:space="0" w:color="auto"/>
      </w:divBdr>
    </w:div>
    <w:div w:id="659038819">
      <w:marLeft w:val="0"/>
      <w:marRight w:val="0"/>
      <w:marTop w:val="180"/>
      <w:marBottom w:val="0"/>
      <w:divBdr>
        <w:top w:val="none" w:sz="0" w:space="0" w:color="auto"/>
        <w:left w:val="none" w:sz="0" w:space="0" w:color="auto"/>
        <w:bottom w:val="none" w:sz="0" w:space="0" w:color="auto"/>
        <w:right w:val="none" w:sz="0" w:space="0" w:color="auto"/>
      </w:divBdr>
    </w:div>
    <w:div w:id="666322480">
      <w:marLeft w:val="0"/>
      <w:marRight w:val="0"/>
      <w:marTop w:val="0"/>
      <w:marBottom w:val="100"/>
      <w:divBdr>
        <w:top w:val="none" w:sz="0" w:space="0" w:color="auto"/>
        <w:left w:val="none" w:sz="0" w:space="0" w:color="auto"/>
        <w:bottom w:val="none" w:sz="0" w:space="0" w:color="auto"/>
        <w:right w:val="none" w:sz="0" w:space="0" w:color="auto"/>
      </w:divBdr>
    </w:div>
    <w:div w:id="667712332">
      <w:marLeft w:val="0"/>
      <w:marRight w:val="0"/>
      <w:marTop w:val="180"/>
      <w:marBottom w:val="0"/>
      <w:divBdr>
        <w:top w:val="none" w:sz="0" w:space="0" w:color="auto"/>
        <w:left w:val="none" w:sz="0" w:space="0" w:color="auto"/>
        <w:bottom w:val="none" w:sz="0" w:space="0" w:color="auto"/>
        <w:right w:val="none" w:sz="0" w:space="0" w:color="auto"/>
      </w:divBdr>
    </w:div>
    <w:div w:id="670257058">
      <w:marLeft w:val="0"/>
      <w:marRight w:val="0"/>
      <w:marTop w:val="0"/>
      <w:marBottom w:val="100"/>
      <w:divBdr>
        <w:top w:val="none" w:sz="0" w:space="0" w:color="auto"/>
        <w:left w:val="none" w:sz="0" w:space="0" w:color="auto"/>
        <w:bottom w:val="none" w:sz="0" w:space="0" w:color="auto"/>
        <w:right w:val="none" w:sz="0" w:space="0" w:color="auto"/>
      </w:divBdr>
    </w:div>
    <w:div w:id="673844637">
      <w:marLeft w:val="0"/>
      <w:marRight w:val="0"/>
      <w:marTop w:val="100"/>
      <w:marBottom w:val="100"/>
      <w:divBdr>
        <w:top w:val="none" w:sz="0" w:space="0" w:color="auto"/>
        <w:left w:val="none" w:sz="0" w:space="0" w:color="auto"/>
        <w:bottom w:val="none" w:sz="0" w:space="0" w:color="auto"/>
        <w:right w:val="none" w:sz="0" w:space="0" w:color="auto"/>
      </w:divBdr>
    </w:div>
    <w:div w:id="678850372">
      <w:marLeft w:val="0"/>
      <w:marRight w:val="0"/>
      <w:marTop w:val="180"/>
      <w:marBottom w:val="0"/>
      <w:divBdr>
        <w:top w:val="none" w:sz="0" w:space="0" w:color="auto"/>
        <w:left w:val="none" w:sz="0" w:space="0" w:color="auto"/>
        <w:bottom w:val="none" w:sz="0" w:space="0" w:color="auto"/>
        <w:right w:val="none" w:sz="0" w:space="0" w:color="auto"/>
      </w:divBdr>
    </w:div>
    <w:div w:id="682434553">
      <w:marLeft w:val="0"/>
      <w:marRight w:val="0"/>
      <w:marTop w:val="180"/>
      <w:marBottom w:val="0"/>
      <w:divBdr>
        <w:top w:val="none" w:sz="0" w:space="0" w:color="auto"/>
        <w:left w:val="none" w:sz="0" w:space="0" w:color="auto"/>
        <w:bottom w:val="none" w:sz="0" w:space="0" w:color="auto"/>
        <w:right w:val="none" w:sz="0" w:space="0" w:color="auto"/>
      </w:divBdr>
    </w:div>
    <w:div w:id="684093439">
      <w:marLeft w:val="0"/>
      <w:marRight w:val="0"/>
      <w:marTop w:val="100"/>
      <w:marBottom w:val="100"/>
      <w:divBdr>
        <w:top w:val="none" w:sz="0" w:space="0" w:color="auto"/>
        <w:left w:val="none" w:sz="0" w:space="0" w:color="auto"/>
        <w:bottom w:val="none" w:sz="0" w:space="0" w:color="auto"/>
        <w:right w:val="none" w:sz="0" w:space="0" w:color="auto"/>
      </w:divBdr>
    </w:div>
    <w:div w:id="697663094">
      <w:marLeft w:val="0"/>
      <w:marRight w:val="0"/>
      <w:marTop w:val="0"/>
      <w:marBottom w:val="120"/>
      <w:divBdr>
        <w:top w:val="none" w:sz="0" w:space="0" w:color="auto"/>
        <w:left w:val="none" w:sz="0" w:space="0" w:color="auto"/>
        <w:bottom w:val="none" w:sz="0" w:space="0" w:color="auto"/>
        <w:right w:val="none" w:sz="0" w:space="0" w:color="auto"/>
      </w:divBdr>
    </w:div>
    <w:div w:id="701981798">
      <w:marLeft w:val="0"/>
      <w:marRight w:val="0"/>
      <w:marTop w:val="280"/>
      <w:marBottom w:val="100"/>
      <w:divBdr>
        <w:top w:val="none" w:sz="0" w:space="0" w:color="auto"/>
        <w:left w:val="none" w:sz="0" w:space="0" w:color="auto"/>
        <w:bottom w:val="none" w:sz="0" w:space="0" w:color="auto"/>
        <w:right w:val="none" w:sz="0" w:space="0" w:color="auto"/>
      </w:divBdr>
    </w:div>
    <w:div w:id="703947683">
      <w:marLeft w:val="0"/>
      <w:marRight w:val="0"/>
      <w:marTop w:val="180"/>
      <w:marBottom w:val="0"/>
      <w:divBdr>
        <w:top w:val="none" w:sz="0" w:space="0" w:color="auto"/>
        <w:left w:val="none" w:sz="0" w:space="0" w:color="auto"/>
        <w:bottom w:val="none" w:sz="0" w:space="0" w:color="auto"/>
        <w:right w:val="none" w:sz="0" w:space="0" w:color="auto"/>
      </w:divBdr>
    </w:div>
    <w:div w:id="704788752">
      <w:marLeft w:val="0"/>
      <w:marRight w:val="0"/>
      <w:marTop w:val="0"/>
      <w:marBottom w:val="0"/>
      <w:divBdr>
        <w:top w:val="none" w:sz="0" w:space="0" w:color="auto"/>
        <w:left w:val="none" w:sz="0" w:space="0" w:color="auto"/>
        <w:bottom w:val="none" w:sz="0" w:space="0" w:color="auto"/>
        <w:right w:val="none" w:sz="0" w:space="0" w:color="auto"/>
      </w:divBdr>
    </w:div>
    <w:div w:id="707531958">
      <w:marLeft w:val="0"/>
      <w:marRight w:val="0"/>
      <w:marTop w:val="0"/>
      <w:marBottom w:val="100"/>
      <w:divBdr>
        <w:top w:val="none" w:sz="0" w:space="0" w:color="auto"/>
        <w:left w:val="none" w:sz="0" w:space="0" w:color="auto"/>
        <w:bottom w:val="none" w:sz="0" w:space="0" w:color="auto"/>
        <w:right w:val="none" w:sz="0" w:space="0" w:color="auto"/>
      </w:divBdr>
    </w:div>
    <w:div w:id="714544324">
      <w:marLeft w:val="0"/>
      <w:marRight w:val="0"/>
      <w:marTop w:val="0"/>
      <w:marBottom w:val="0"/>
      <w:divBdr>
        <w:top w:val="none" w:sz="0" w:space="0" w:color="auto"/>
        <w:left w:val="none" w:sz="0" w:space="0" w:color="auto"/>
        <w:bottom w:val="none" w:sz="0" w:space="0" w:color="auto"/>
        <w:right w:val="none" w:sz="0" w:space="0" w:color="auto"/>
      </w:divBdr>
      <w:divsChild>
        <w:div w:id="192618583">
          <w:marLeft w:val="0"/>
          <w:marRight w:val="0"/>
          <w:marTop w:val="0"/>
          <w:marBottom w:val="0"/>
          <w:divBdr>
            <w:top w:val="none" w:sz="0" w:space="0" w:color="auto"/>
            <w:left w:val="none" w:sz="0" w:space="0" w:color="auto"/>
            <w:bottom w:val="none" w:sz="0" w:space="0" w:color="auto"/>
            <w:right w:val="none" w:sz="0" w:space="0" w:color="auto"/>
          </w:divBdr>
          <w:divsChild>
            <w:div w:id="18021413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7901223">
      <w:marLeft w:val="0"/>
      <w:marRight w:val="0"/>
      <w:marTop w:val="180"/>
      <w:marBottom w:val="0"/>
      <w:divBdr>
        <w:top w:val="none" w:sz="0" w:space="0" w:color="auto"/>
        <w:left w:val="none" w:sz="0" w:space="0" w:color="auto"/>
        <w:bottom w:val="none" w:sz="0" w:space="0" w:color="auto"/>
        <w:right w:val="none" w:sz="0" w:space="0" w:color="auto"/>
      </w:divBdr>
    </w:div>
    <w:div w:id="720981188">
      <w:marLeft w:val="0"/>
      <w:marRight w:val="0"/>
      <w:marTop w:val="0"/>
      <w:marBottom w:val="120"/>
      <w:divBdr>
        <w:top w:val="none" w:sz="0" w:space="0" w:color="auto"/>
        <w:left w:val="none" w:sz="0" w:space="0" w:color="auto"/>
        <w:bottom w:val="none" w:sz="0" w:space="0" w:color="auto"/>
        <w:right w:val="none" w:sz="0" w:space="0" w:color="auto"/>
      </w:divBdr>
    </w:div>
    <w:div w:id="723454663">
      <w:marLeft w:val="0"/>
      <w:marRight w:val="0"/>
      <w:marTop w:val="0"/>
      <w:marBottom w:val="0"/>
      <w:divBdr>
        <w:top w:val="none" w:sz="0" w:space="0" w:color="auto"/>
        <w:left w:val="none" w:sz="0" w:space="0" w:color="auto"/>
        <w:bottom w:val="none" w:sz="0" w:space="0" w:color="auto"/>
        <w:right w:val="none" w:sz="0" w:space="0" w:color="auto"/>
      </w:divBdr>
    </w:div>
    <w:div w:id="725958990">
      <w:marLeft w:val="0"/>
      <w:marRight w:val="0"/>
      <w:marTop w:val="0"/>
      <w:marBottom w:val="0"/>
      <w:divBdr>
        <w:top w:val="none" w:sz="0" w:space="0" w:color="auto"/>
        <w:left w:val="none" w:sz="0" w:space="0" w:color="auto"/>
        <w:bottom w:val="none" w:sz="0" w:space="0" w:color="auto"/>
        <w:right w:val="none" w:sz="0" w:space="0" w:color="auto"/>
      </w:divBdr>
      <w:divsChild>
        <w:div w:id="1072236799">
          <w:marLeft w:val="0"/>
          <w:marRight w:val="0"/>
          <w:marTop w:val="0"/>
          <w:marBottom w:val="0"/>
          <w:divBdr>
            <w:top w:val="none" w:sz="0" w:space="0" w:color="auto"/>
            <w:left w:val="none" w:sz="0" w:space="0" w:color="auto"/>
            <w:bottom w:val="none" w:sz="0" w:space="0" w:color="auto"/>
            <w:right w:val="none" w:sz="0" w:space="0" w:color="auto"/>
          </w:divBdr>
          <w:divsChild>
            <w:div w:id="11425069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26076598">
      <w:marLeft w:val="0"/>
      <w:marRight w:val="0"/>
      <w:marTop w:val="100"/>
      <w:marBottom w:val="100"/>
      <w:divBdr>
        <w:top w:val="none" w:sz="0" w:space="0" w:color="auto"/>
        <w:left w:val="none" w:sz="0" w:space="0" w:color="auto"/>
        <w:bottom w:val="none" w:sz="0" w:space="0" w:color="auto"/>
        <w:right w:val="none" w:sz="0" w:space="0" w:color="auto"/>
      </w:divBdr>
    </w:div>
    <w:div w:id="728306513">
      <w:marLeft w:val="0"/>
      <w:marRight w:val="0"/>
      <w:marTop w:val="0"/>
      <w:marBottom w:val="100"/>
      <w:divBdr>
        <w:top w:val="none" w:sz="0" w:space="0" w:color="auto"/>
        <w:left w:val="none" w:sz="0" w:space="0" w:color="auto"/>
        <w:bottom w:val="none" w:sz="0" w:space="0" w:color="auto"/>
        <w:right w:val="none" w:sz="0" w:space="0" w:color="auto"/>
      </w:divBdr>
    </w:div>
    <w:div w:id="731122932">
      <w:marLeft w:val="0"/>
      <w:marRight w:val="0"/>
      <w:marTop w:val="180"/>
      <w:marBottom w:val="0"/>
      <w:divBdr>
        <w:top w:val="none" w:sz="0" w:space="0" w:color="auto"/>
        <w:left w:val="none" w:sz="0" w:space="0" w:color="auto"/>
        <w:bottom w:val="none" w:sz="0" w:space="0" w:color="auto"/>
        <w:right w:val="none" w:sz="0" w:space="0" w:color="auto"/>
      </w:divBdr>
    </w:div>
    <w:div w:id="740061966">
      <w:marLeft w:val="0"/>
      <w:marRight w:val="0"/>
      <w:marTop w:val="0"/>
      <w:marBottom w:val="0"/>
      <w:divBdr>
        <w:top w:val="none" w:sz="0" w:space="0" w:color="auto"/>
        <w:left w:val="none" w:sz="0" w:space="0" w:color="auto"/>
        <w:bottom w:val="none" w:sz="0" w:space="0" w:color="auto"/>
        <w:right w:val="none" w:sz="0" w:space="0" w:color="auto"/>
      </w:divBdr>
      <w:divsChild>
        <w:div w:id="700976487">
          <w:marLeft w:val="0"/>
          <w:marRight w:val="0"/>
          <w:marTop w:val="0"/>
          <w:marBottom w:val="0"/>
          <w:divBdr>
            <w:top w:val="none" w:sz="0" w:space="0" w:color="auto"/>
            <w:left w:val="none" w:sz="0" w:space="0" w:color="auto"/>
            <w:bottom w:val="none" w:sz="0" w:space="0" w:color="auto"/>
            <w:right w:val="none" w:sz="0" w:space="0" w:color="auto"/>
          </w:divBdr>
          <w:divsChild>
            <w:div w:id="34402148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40636170">
      <w:marLeft w:val="0"/>
      <w:marRight w:val="0"/>
      <w:marTop w:val="0"/>
      <w:marBottom w:val="0"/>
      <w:divBdr>
        <w:top w:val="none" w:sz="0" w:space="0" w:color="auto"/>
        <w:left w:val="none" w:sz="0" w:space="0" w:color="auto"/>
        <w:bottom w:val="none" w:sz="0" w:space="0" w:color="auto"/>
        <w:right w:val="none" w:sz="0" w:space="0" w:color="auto"/>
      </w:divBdr>
    </w:div>
    <w:div w:id="740755016">
      <w:marLeft w:val="0"/>
      <w:marRight w:val="0"/>
      <w:marTop w:val="180"/>
      <w:marBottom w:val="0"/>
      <w:divBdr>
        <w:top w:val="none" w:sz="0" w:space="0" w:color="auto"/>
        <w:left w:val="none" w:sz="0" w:space="0" w:color="auto"/>
        <w:bottom w:val="none" w:sz="0" w:space="0" w:color="auto"/>
        <w:right w:val="none" w:sz="0" w:space="0" w:color="auto"/>
      </w:divBdr>
    </w:div>
    <w:div w:id="751395303">
      <w:marLeft w:val="0"/>
      <w:marRight w:val="0"/>
      <w:marTop w:val="0"/>
      <w:marBottom w:val="0"/>
      <w:divBdr>
        <w:top w:val="none" w:sz="0" w:space="0" w:color="auto"/>
        <w:left w:val="none" w:sz="0" w:space="0" w:color="auto"/>
        <w:bottom w:val="none" w:sz="0" w:space="0" w:color="auto"/>
        <w:right w:val="none" w:sz="0" w:space="0" w:color="auto"/>
      </w:divBdr>
    </w:div>
    <w:div w:id="757025890">
      <w:marLeft w:val="0"/>
      <w:marRight w:val="0"/>
      <w:marTop w:val="0"/>
      <w:marBottom w:val="0"/>
      <w:divBdr>
        <w:top w:val="none" w:sz="0" w:space="0" w:color="auto"/>
        <w:left w:val="none" w:sz="0" w:space="0" w:color="auto"/>
        <w:bottom w:val="none" w:sz="0" w:space="0" w:color="auto"/>
        <w:right w:val="none" w:sz="0" w:space="0" w:color="auto"/>
      </w:divBdr>
      <w:divsChild>
        <w:div w:id="691691751">
          <w:marLeft w:val="0"/>
          <w:marRight w:val="0"/>
          <w:marTop w:val="0"/>
          <w:marBottom w:val="0"/>
          <w:divBdr>
            <w:top w:val="none" w:sz="0" w:space="0" w:color="auto"/>
            <w:left w:val="none" w:sz="0" w:space="0" w:color="auto"/>
            <w:bottom w:val="none" w:sz="0" w:space="0" w:color="auto"/>
            <w:right w:val="none" w:sz="0" w:space="0" w:color="auto"/>
          </w:divBdr>
          <w:divsChild>
            <w:div w:id="3585107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59253957">
      <w:marLeft w:val="0"/>
      <w:marRight w:val="0"/>
      <w:marTop w:val="100"/>
      <w:marBottom w:val="100"/>
      <w:divBdr>
        <w:top w:val="none" w:sz="0" w:space="0" w:color="auto"/>
        <w:left w:val="none" w:sz="0" w:space="0" w:color="auto"/>
        <w:bottom w:val="none" w:sz="0" w:space="0" w:color="auto"/>
        <w:right w:val="none" w:sz="0" w:space="0" w:color="auto"/>
      </w:divBdr>
    </w:div>
    <w:div w:id="759717404">
      <w:marLeft w:val="0"/>
      <w:marRight w:val="0"/>
      <w:marTop w:val="0"/>
      <w:marBottom w:val="0"/>
      <w:divBdr>
        <w:top w:val="none" w:sz="0" w:space="0" w:color="auto"/>
        <w:left w:val="none" w:sz="0" w:space="0" w:color="auto"/>
        <w:bottom w:val="none" w:sz="0" w:space="0" w:color="auto"/>
        <w:right w:val="none" w:sz="0" w:space="0" w:color="auto"/>
      </w:divBdr>
    </w:div>
    <w:div w:id="762528948">
      <w:marLeft w:val="0"/>
      <w:marRight w:val="0"/>
      <w:marTop w:val="0"/>
      <w:marBottom w:val="0"/>
      <w:divBdr>
        <w:top w:val="none" w:sz="0" w:space="0" w:color="auto"/>
        <w:left w:val="none" w:sz="0" w:space="0" w:color="auto"/>
        <w:bottom w:val="none" w:sz="0" w:space="0" w:color="auto"/>
        <w:right w:val="none" w:sz="0" w:space="0" w:color="auto"/>
      </w:divBdr>
      <w:divsChild>
        <w:div w:id="2079285850">
          <w:marLeft w:val="0"/>
          <w:marRight w:val="0"/>
          <w:marTop w:val="0"/>
          <w:marBottom w:val="0"/>
          <w:divBdr>
            <w:top w:val="none" w:sz="0" w:space="0" w:color="auto"/>
            <w:left w:val="none" w:sz="0" w:space="0" w:color="auto"/>
            <w:bottom w:val="none" w:sz="0" w:space="0" w:color="auto"/>
            <w:right w:val="none" w:sz="0" w:space="0" w:color="auto"/>
          </w:divBdr>
          <w:divsChild>
            <w:div w:id="71469702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63694411">
      <w:marLeft w:val="0"/>
      <w:marRight w:val="0"/>
      <w:marTop w:val="100"/>
      <w:marBottom w:val="0"/>
      <w:divBdr>
        <w:top w:val="none" w:sz="0" w:space="0" w:color="auto"/>
        <w:left w:val="none" w:sz="0" w:space="0" w:color="auto"/>
        <w:bottom w:val="none" w:sz="0" w:space="0" w:color="auto"/>
        <w:right w:val="none" w:sz="0" w:space="0" w:color="auto"/>
      </w:divBdr>
    </w:div>
    <w:div w:id="775443917">
      <w:marLeft w:val="0"/>
      <w:marRight w:val="0"/>
      <w:marTop w:val="180"/>
      <w:marBottom w:val="0"/>
      <w:divBdr>
        <w:top w:val="none" w:sz="0" w:space="0" w:color="auto"/>
        <w:left w:val="none" w:sz="0" w:space="0" w:color="auto"/>
        <w:bottom w:val="none" w:sz="0" w:space="0" w:color="auto"/>
        <w:right w:val="none" w:sz="0" w:space="0" w:color="auto"/>
      </w:divBdr>
    </w:div>
    <w:div w:id="777411183">
      <w:marLeft w:val="0"/>
      <w:marRight w:val="0"/>
      <w:marTop w:val="0"/>
      <w:marBottom w:val="0"/>
      <w:divBdr>
        <w:top w:val="none" w:sz="0" w:space="0" w:color="auto"/>
        <w:left w:val="none" w:sz="0" w:space="0" w:color="auto"/>
        <w:bottom w:val="none" w:sz="0" w:space="0" w:color="auto"/>
        <w:right w:val="none" w:sz="0" w:space="0" w:color="auto"/>
      </w:divBdr>
      <w:divsChild>
        <w:div w:id="929968910">
          <w:marLeft w:val="0"/>
          <w:marRight w:val="0"/>
          <w:marTop w:val="0"/>
          <w:marBottom w:val="0"/>
          <w:divBdr>
            <w:top w:val="none" w:sz="0" w:space="0" w:color="auto"/>
            <w:left w:val="none" w:sz="0" w:space="0" w:color="auto"/>
            <w:bottom w:val="none" w:sz="0" w:space="0" w:color="auto"/>
            <w:right w:val="none" w:sz="0" w:space="0" w:color="auto"/>
          </w:divBdr>
          <w:divsChild>
            <w:div w:id="15973230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84925585">
      <w:marLeft w:val="0"/>
      <w:marRight w:val="0"/>
      <w:marTop w:val="0"/>
      <w:marBottom w:val="0"/>
      <w:divBdr>
        <w:top w:val="none" w:sz="0" w:space="0" w:color="auto"/>
        <w:left w:val="none" w:sz="0" w:space="0" w:color="auto"/>
        <w:bottom w:val="none" w:sz="0" w:space="0" w:color="auto"/>
        <w:right w:val="none" w:sz="0" w:space="0" w:color="auto"/>
      </w:divBdr>
    </w:div>
    <w:div w:id="786702912">
      <w:marLeft w:val="0"/>
      <w:marRight w:val="0"/>
      <w:marTop w:val="180"/>
      <w:marBottom w:val="0"/>
      <w:divBdr>
        <w:top w:val="none" w:sz="0" w:space="0" w:color="auto"/>
        <w:left w:val="none" w:sz="0" w:space="0" w:color="auto"/>
        <w:bottom w:val="none" w:sz="0" w:space="0" w:color="auto"/>
        <w:right w:val="none" w:sz="0" w:space="0" w:color="auto"/>
      </w:divBdr>
    </w:div>
    <w:div w:id="800807573">
      <w:marLeft w:val="0"/>
      <w:marRight w:val="0"/>
      <w:marTop w:val="0"/>
      <w:marBottom w:val="100"/>
      <w:divBdr>
        <w:top w:val="none" w:sz="0" w:space="0" w:color="auto"/>
        <w:left w:val="none" w:sz="0" w:space="0" w:color="auto"/>
        <w:bottom w:val="none" w:sz="0" w:space="0" w:color="auto"/>
        <w:right w:val="none" w:sz="0" w:space="0" w:color="auto"/>
      </w:divBdr>
    </w:div>
    <w:div w:id="807674776">
      <w:marLeft w:val="0"/>
      <w:marRight w:val="0"/>
      <w:marTop w:val="180"/>
      <w:marBottom w:val="0"/>
      <w:divBdr>
        <w:top w:val="none" w:sz="0" w:space="0" w:color="auto"/>
        <w:left w:val="none" w:sz="0" w:space="0" w:color="auto"/>
        <w:bottom w:val="none" w:sz="0" w:space="0" w:color="auto"/>
        <w:right w:val="none" w:sz="0" w:space="0" w:color="auto"/>
      </w:divBdr>
    </w:div>
    <w:div w:id="811485923">
      <w:marLeft w:val="0"/>
      <w:marRight w:val="0"/>
      <w:marTop w:val="0"/>
      <w:marBottom w:val="100"/>
      <w:divBdr>
        <w:top w:val="none" w:sz="0" w:space="0" w:color="auto"/>
        <w:left w:val="none" w:sz="0" w:space="0" w:color="auto"/>
        <w:bottom w:val="none" w:sz="0" w:space="0" w:color="auto"/>
        <w:right w:val="none" w:sz="0" w:space="0" w:color="auto"/>
      </w:divBdr>
    </w:div>
    <w:div w:id="812219091">
      <w:marLeft w:val="0"/>
      <w:marRight w:val="0"/>
      <w:marTop w:val="100"/>
      <w:marBottom w:val="100"/>
      <w:divBdr>
        <w:top w:val="none" w:sz="0" w:space="0" w:color="auto"/>
        <w:left w:val="none" w:sz="0" w:space="0" w:color="auto"/>
        <w:bottom w:val="none" w:sz="0" w:space="0" w:color="auto"/>
        <w:right w:val="none" w:sz="0" w:space="0" w:color="auto"/>
      </w:divBdr>
      <w:divsChild>
        <w:div w:id="592250061">
          <w:marLeft w:val="0"/>
          <w:marRight w:val="0"/>
          <w:marTop w:val="0"/>
          <w:marBottom w:val="0"/>
          <w:divBdr>
            <w:top w:val="none" w:sz="0" w:space="0" w:color="auto"/>
            <w:left w:val="none" w:sz="0" w:space="0" w:color="auto"/>
            <w:bottom w:val="none" w:sz="0" w:space="0" w:color="auto"/>
            <w:right w:val="none" w:sz="0" w:space="0" w:color="auto"/>
          </w:divBdr>
        </w:div>
      </w:divsChild>
    </w:div>
    <w:div w:id="812530539">
      <w:marLeft w:val="0"/>
      <w:marRight w:val="0"/>
      <w:marTop w:val="0"/>
      <w:marBottom w:val="0"/>
      <w:divBdr>
        <w:top w:val="none" w:sz="0" w:space="0" w:color="auto"/>
        <w:left w:val="none" w:sz="0" w:space="0" w:color="auto"/>
        <w:bottom w:val="none" w:sz="0" w:space="0" w:color="auto"/>
        <w:right w:val="none" w:sz="0" w:space="0" w:color="auto"/>
      </w:divBdr>
      <w:divsChild>
        <w:div w:id="497573282">
          <w:marLeft w:val="0"/>
          <w:marRight w:val="0"/>
          <w:marTop w:val="0"/>
          <w:marBottom w:val="100"/>
          <w:divBdr>
            <w:top w:val="none" w:sz="0" w:space="0" w:color="auto"/>
            <w:left w:val="none" w:sz="0" w:space="0" w:color="auto"/>
            <w:bottom w:val="none" w:sz="0" w:space="0" w:color="auto"/>
            <w:right w:val="none" w:sz="0" w:space="0" w:color="auto"/>
          </w:divBdr>
        </w:div>
      </w:divsChild>
    </w:div>
    <w:div w:id="814490270">
      <w:marLeft w:val="0"/>
      <w:marRight w:val="0"/>
      <w:marTop w:val="0"/>
      <w:marBottom w:val="0"/>
      <w:divBdr>
        <w:top w:val="none" w:sz="0" w:space="0" w:color="auto"/>
        <w:left w:val="none" w:sz="0" w:space="0" w:color="auto"/>
        <w:bottom w:val="none" w:sz="0" w:space="0" w:color="auto"/>
        <w:right w:val="none" w:sz="0" w:space="0" w:color="auto"/>
      </w:divBdr>
    </w:div>
    <w:div w:id="815217671">
      <w:marLeft w:val="0"/>
      <w:marRight w:val="0"/>
      <w:marTop w:val="0"/>
      <w:marBottom w:val="0"/>
      <w:divBdr>
        <w:top w:val="none" w:sz="0" w:space="0" w:color="auto"/>
        <w:left w:val="none" w:sz="0" w:space="0" w:color="auto"/>
        <w:bottom w:val="none" w:sz="0" w:space="0" w:color="auto"/>
        <w:right w:val="none" w:sz="0" w:space="0" w:color="auto"/>
      </w:divBdr>
      <w:divsChild>
        <w:div w:id="277372505">
          <w:marLeft w:val="0"/>
          <w:marRight w:val="0"/>
          <w:marTop w:val="0"/>
          <w:marBottom w:val="100"/>
          <w:divBdr>
            <w:top w:val="none" w:sz="0" w:space="0" w:color="auto"/>
            <w:left w:val="none" w:sz="0" w:space="0" w:color="auto"/>
            <w:bottom w:val="none" w:sz="0" w:space="0" w:color="auto"/>
            <w:right w:val="none" w:sz="0" w:space="0" w:color="auto"/>
          </w:divBdr>
        </w:div>
      </w:divsChild>
    </w:div>
    <w:div w:id="827093859">
      <w:marLeft w:val="0"/>
      <w:marRight w:val="0"/>
      <w:marTop w:val="100"/>
      <w:marBottom w:val="0"/>
      <w:divBdr>
        <w:top w:val="none" w:sz="0" w:space="0" w:color="auto"/>
        <w:left w:val="none" w:sz="0" w:space="0" w:color="auto"/>
        <w:bottom w:val="none" w:sz="0" w:space="0" w:color="auto"/>
        <w:right w:val="none" w:sz="0" w:space="0" w:color="auto"/>
      </w:divBdr>
    </w:div>
    <w:div w:id="827551137">
      <w:marLeft w:val="0"/>
      <w:marRight w:val="0"/>
      <w:marTop w:val="0"/>
      <w:marBottom w:val="0"/>
      <w:divBdr>
        <w:top w:val="none" w:sz="0" w:space="0" w:color="auto"/>
        <w:left w:val="none" w:sz="0" w:space="0" w:color="auto"/>
        <w:bottom w:val="none" w:sz="0" w:space="0" w:color="auto"/>
        <w:right w:val="none" w:sz="0" w:space="0" w:color="auto"/>
      </w:divBdr>
    </w:div>
    <w:div w:id="835415556">
      <w:marLeft w:val="0"/>
      <w:marRight w:val="0"/>
      <w:marTop w:val="0"/>
      <w:marBottom w:val="0"/>
      <w:divBdr>
        <w:top w:val="none" w:sz="0" w:space="0" w:color="auto"/>
        <w:left w:val="none" w:sz="0" w:space="0" w:color="auto"/>
        <w:bottom w:val="none" w:sz="0" w:space="0" w:color="auto"/>
        <w:right w:val="none" w:sz="0" w:space="0" w:color="auto"/>
      </w:divBdr>
    </w:div>
    <w:div w:id="838539037">
      <w:marLeft w:val="0"/>
      <w:marRight w:val="0"/>
      <w:marTop w:val="100"/>
      <w:marBottom w:val="100"/>
      <w:divBdr>
        <w:top w:val="none" w:sz="0" w:space="0" w:color="auto"/>
        <w:left w:val="none" w:sz="0" w:space="0" w:color="auto"/>
        <w:bottom w:val="none" w:sz="0" w:space="0" w:color="auto"/>
        <w:right w:val="none" w:sz="0" w:space="0" w:color="auto"/>
      </w:divBdr>
    </w:div>
    <w:div w:id="839350480">
      <w:marLeft w:val="0"/>
      <w:marRight w:val="0"/>
      <w:marTop w:val="180"/>
      <w:marBottom w:val="0"/>
      <w:divBdr>
        <w:top w:val="none" w:sz="0" w:space="0" w:color="auto"/>
        <w:left w:val="none" w:sz="0" w:space="0" w:color="auto"/>
        <w:bottom w:val="none" w:sz="0" w:space="0" w:color="auto"/>
        <w:right w:val="none" w:sz="0" w:space="0" w:color="auto"/>
      </w:divBdr>
    </w:div>
    <w:div w:id="839851331">
      <w:marLeft w:val="0"/>
      <w:marRight w:val="0"/>
      <w:marTop w:val="0"/>
      <w:marBottom w:val="0"/>
      <w:divBdr>
        <w:top w:val="none" w:sz="0" w:space="0" w:color="auto"/>
        <w:left w:val="none" w:sz="0" w:space="0" w:color="auto"/>
        <w:bottom w:val="none" w:sz="0" w:space="0" w:color="auto"/>
        <w:right w:val="none" w:sz="0" w:space="0" w:color="auto"/>
      </w:divBdr>
      <w:divsChild>
        <w:div w:id="1503661075">
          <w:marLeft w:val="0"/>
          <w:marRight w:val="0"/>
          <w:marTop w:val="0"/>
          <w:marBottom w:val="0"/>
          <w:divBdr>
            <w:top w:val="none" w:sz="0" w:space="0" w:color="auto"/>
            <w:left w:val="none" w:sz="0" w:space="0" w:color="auto"/>
            <w:bottom w:val="none" w:sz="0" w:space="0" w:color="auto"/>
            <w:right w:val="none" w:sz="0" w:space="0" w:color="auto"/>
          </w:divBdr>
          <w:divsChild>
            <w:div w:id="115036315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7132971">
      <w:marLeft w:val="0"/>
      <w:marRight w:val="0"/>
      <w:marTop w:val="0"/>
      <w:marBottom w:val="0"/>
      <w:divBdr>
        <w:top w:val="none" w:sz="0" w:space="0" w:color="auto"/>
        <w:left w:val="none" w:sz="0" w:space="0" w:color="auto"/>
        <w:bottom w:val="none" w:sz="0" w:space="0" w:color="auto"/>
        <w:right w:val="none" w:sz="0" w:space="0" w:color="auto"/>
      </w:divBdr>
      <w:divsChild>
        <w:div w:id="1477141716">
          <w:marLeft w:val="0"/>
          <w:marRight w:val="0"/>
          <w:marTop w:val="0"/>
          <w:marBottom w:val="100"/>
          <w:divBdr>
            <w:top w:val="none" w:sz="0" w:space="0" w:color="auto"/>
            <w:left w:val="none" w:sz="0" w:space="0" w:color="auto"/>
            <w:bottom w:val="none" w:sz="0" w:space="0" w:color="auto"/>
            <w:right w:val="none" w:sz="0" w:space="0" w:color="auto"/>
          </w:divBdr>
        </w:div>
      </w:divsChild>
    </w:div>
    <w:div w:id="854537060">
      <w:marLeft w:val="0"/>
      <w:marRight w:val="0"/>
      <w:marTop w:val="0"/>
      <w:marBottom w:val="100"/>
      <w:divBdr>
        <w:top w:val="none" w:sz="0" w:space="0" w:color="auto"/>
        <w:left w:val="none" w:sz="0" w:space="0" w:color="auto"/>
        <w:bottom w:val="none" w:sz="0" w:space="0" w:color="auto"/>
        <w:right w:val="none" w:sz="0" w:space="0" w:color="auto"/>
      </w:divBdr>
    </w:div>
    <w:div w:id="856193310">
      <w:marLeft w:val="0"/>
      <w:marRight w:val="0"/>
      <w:marTop w:val="0"/>
      <w:marBottom w:val="0"/>
      <w:divBdr>
        <w:top w:val="none" w:sz="0" w:space="0" w:color="auto"/>
        <w:left w:val="none" w:sz="0" w:space="0" w:color="auto"/>
        <w:bottom w:val="none" w:sz="0" w:space="0" w:color="auto"/>
        <w:right w:val="none" w:sz="0" w:space="0" w:color="auto"/>
      </w:divBdr>
    </w:div>
    <w:div w:id="861556506">
      <w:marLeft w:val="0"/>
      <w:marRight w:val="0"/>
      <w:marTop w:val="100"/>
      <w:marBottom w:val="100"/>
      <w:divBdr>
        <w:top w:val="none" w:sz="0" w:space="0" w:color="auto"/>
        <w:left w:val="none" w:sz="0" w:space="0" w:color="auto"/>
        <w:bottom w:val="none" w:sz="0" w:space="0" w:color="auto"/>
        <w:right w:val="none" w:sz="0" w:space="0" w:color="auto"/>
      </w:divBdr>
    </w:div>
    <w:div w:id="862207270">
      <w:marLeft w:val="0"/>
      <w:marRight w:val="0"/>
      <w:marTop w:val="100"/>
      <w:marBottom w:val="100"/>
      <w:divBdr>
        <w:top w:val="none" w:sz="0" w:space="0" w:color="auto"/>
        <w:left w:val="none" w:sz="0" w:space="0" w:color="auto"/>
        <w:bottom w:val="none" w:sz="0" w:space="0" w:color="auto"/>
        <w:right w:val="none" w:sz="0" w:space="0" w:color="auto"/>
      </w:divBdr>
    </w:div>
    <w:div w:id="863372042">
      <w:marLeft w:val="0"/>
      <w:marRight w:val="0"/>
      <w:marTop w:val="100"/>
      <w:marBottom w:val="0"/>
      <w:divBdr>
        <w:top w:val="none" w:sz="0" w:space="0" w:color="auto"/>
        <w:left w:val="none" w:sz="0" w:space="0" w:color="auto"/>
        <w:bottom w:val="none" w:sz="0" w:space="0" w:color="auto"/>
        <w:right w:val="none" w:sz="0" w:space="0" w:color="auto"/>
      </w:divBdr>
    </w:div>
    <w:div w:id="865677336">
      <w:marLeft w:val="0"/>
      <w:marRight w:val="0"/>
      <w:marTop w:val="0"/>
      <w:marBottom w:val="0"/>
      <w:divBdr>
        <w:top w:val="none" w:sz="0" w:space="0" w:color="auto"/>
        <w:left w:val="none" w:sz="0" w:space="0" w:color="auto"/>
        <w:bottom w:val="none" w:sz="0" w:space="0" w:color="auto"/>
        <w:right w:val="none" w:sz="0" w:space="0" w:color="auto"/>
      </w:divBdr>
    </w:div>
    <w:div w:id="867762676">
      <w:marLeft w:val="0"/>
      <w:marRight w:val="0"/>
      <w:marTop w:val="0"/>
      <w:marBottom w:val="0"/>
      <w:divBdr>
        <w:top w:val="none" w:sz="0" w:space="0" w:color="auto"/>
        <w:left w:val="none" w:sz="0" w:space="0" w:color="auto"/>
        <w:bottom w:val="none" w:sz="0" w:space="0" w:color="auto"/>
        <w:right w:val="none" w:sz="0" w:space="0" w:color="auto"/>
      </w:divBdr>
      <w:divsChild>
        <w:div w:id="1646281417">
          <w:marLeft w:val="0"/>
          <w:marRight w:val="0"/>
          <w:marTop w:val="0"/>
          <w:marBottom w:val="100"/>
          <w:divBdr>
            <w:top w:val="none" w:sz="0" w:space="0" w:color="auto"/>
            <w:left w:val="none" w:sz="0" w:space="0" w:color="auto"/>
            <w:bottom w:val="none" w:sz="0" w:space="0" w:color="auto"/>
            <w:right w:val="none" w:sz="0" w:space="0" w:color="auto"/>
          </w:divBdr>
        </w:div>
      </w:divsChild>
    </w:div>
    <w:div w:id="875386252">
      <w:marLeft w:val="0"/>
      <w:marRight w:val="0"/>
      <w:marTop w:val="0"/>
      <w:marBottom w:val="100"/>
      <w:divBdr>
        <w:top w:val="none" w:sz="0" w:space="0" w:color="auto"/>
        <w:left w:val="none" w:sz="0" w:space="0" w:color="auto"/>
        <w:bottom w:val="none" w:sz="0" w:space="0" w:color="auto"/>
        <w:right w:val="none" w:sz="0" w:space="0" w:color="auto"/>
      </w:divBdr>
    </w:div>
    <w:div w:id="875392510">
      <w:marLeft w:val="0"/>
      <w:marRight w:val="0"/>
      <w:marTop w:val="0"/>
      <w:marBottom w:val="100"/>
      <w:divBdr>
        <w:top w:val="none" w:sz="0" w:space="0" w:color="auto"/>
        <w:left w:val="none" w:sz="0" w:space="0" w:color="auto"/>
        <w:bottom w:val="none" w:sz="0" w:space="0" w:color="auto"/>
        <w:right w:val="none" w:sz="0" w:space="0" w:color="auto"/>
      </w:divBdr>
    </w:div>
    <w:div w:id="877355043">
      <w:marLeft w:val="0"/>
      <w:marRight w:val="0"/>
      <w:marTop w:val="0"/>
      <w:marBottom w:val="100"/>
      <w:divBdr>
        <w:top w:val="none" w:sz="0" w:space="0" w:color="auto"/>
        <w:left w:val="none" w:sz="0" w:space="0" w:color="auto"/>
        <w:bottom w:val="none" w:sz="0" w:space="0" w:color="auto"/>
        <w:right w:val="none" w:sz="0" w:space="0" w:color="auto"/>
      </w:divBdr>
    </w:div>
    <w:div w:id="892811807">
      <w:marLeft w:val="0"/>
      <w:marRight w:val="0"/>
      <w:marTop w:val="0"/>
      <w:marBottom w:val="100"/>
      <w:divBdr>
        <w:top w:val="none" w:sz="0" w:space="0" w:color="auto"/>
        <w:left w:val="none" w:sz="0" w:space="0" w:color="auto"/>
        <w:bottom w:val="none" w:sz="0" w:space="0" w:color="auto"/>
        <w:right w:val="none" w:sz="0" w:space="0" w:color="auto"/>
      </w:divBdr>
    </w:div>
    <w:div w:id="895169545">
      <w:marLeft w:val="0"/>
      <w:marRight w:val="0"/>
      <w:marTop w:val="180"/>
      <w:marBottom w:val="100"/>
      <w:divBdr>
        <w:top w:val="none" w:sz="0" w:space="0" w:color="auto"/>
        <w:left w:val="none" w:sz="0" w:space="0" w:color="auto"/>
        <w:bottom w:val="none" w:sz="0" w:space="0" w:color="auto"/>
        <w:right w:val="none" w:sz="0" w:space="0" w:color="auto"/>
      </w:divBdr>
    </w:div>
    <w:div w:id="895896700">
      <w:marLeft w:val="0"/>
      <w:marRight w:val="0"/>
      <w:marTop w:val="0"/>
      <w:marBottom w:val="0"/>
      <w:divBdr>
        <w:top w:val="none" w:sz="0" w:space="0" w:color="auto"/>
        <w:left w:val="none" w:sz="0" w:space="0" w:color="auto"/>
        <w:bottom w:val="none" w:sz="0" w:space="0" w:color="auto"/>
        <w:right w:val="none" w:sz="0" w:space="0" w:color="auto"/>
      </w:divBdr>
    </w:div>
    <w:div w:id="904073227">
      <w:marLeft w:val="0"/>
      <w:marRight w:val="0"/>
      <w:marTop w:val="0"/>
      <w:marBottom w:val="0"/>
      <w:divBdr>
        <w:top w:val="none" w:sz="0" w:space="0" w:color="auto"/>
        <w:left w:val="none" w:sz="0" w:space="0" w:color="auto"/>
        <w:bottom w:val="none" w:sz="0" w:space="0" w:color="auto"/>
        <w:right w:val="none" w:sz="0" w:space="0" w:color="auto"/>
      </w:divBdr>
      <w:divsChild>
        <w:div w:id="2079665680">
          <w:marLeft w:val="0"/>
          <w:marRight w:val="0"/>
          <w:marTop w:val="0"/>
          <w:marBottom w:val="100"/>
          <w:divBdr>
            <w:top w:val="none" w:sz="0" w:space="0" w:color="auto"/>
            <w:left w:val="none" w:sz="0" w:space="0" w:color="auto"/>
            <w:bottom w:val="none" w:sz="0" w:space="0" w:color="auto"/>
            <w:right w:val="none" w:sz="0" w:space="0" w:color="auto"/>
          </w:divBdr>
        </w:div>
      </w:divsChild>
    </w:div>
    <w:div w:id="907807710">
      <w:marLeft w:val="0"/>
      <w:marRight w:val="0"/>
      <w:marTop w:val="0"/>
      <w:marBottom w:val="0"/>
      <w:divBdr>
        <w:top w:val="none" w:sz="0" w:space="0" w:color="auto"/>
        <w:left w:val="none" w:sz="0" w:space="0" w:color="auto"/>
        <w:bottom w:val="none" w:sz="0" w:space="0" w:color="auto"/>
        <w:right w:val="none" w:sz="0" w:space="0" w:color="auto"/>
      </w:divBdr>
    </w:div>
    <w:div w:id="911350957">
      <w:marLeft w:val="0"/>
      <w:marRight w:val="0"/>
      <w:marTop w:val="100"/>
      <w:marBottom w:val="100"/>
      <w:divBdr>
        <w:top w:val="none" w:sz="0" w:space="0" w:color="auto"/>
        <w:left w:val="none" w:sz="0" w:space="0" w:color="auto"/>
        <w:bottom w:val="none" w:sz="0" w:space="0" w:color="auto"/>
        <w:right w:val="none" w:sz="0" w:space="0" w:color="auto"/>
      </w:divBdr>
    </w:div>
    <w:div w:id="911936154">
      <w:marLeft w:val="0"/>
      <w:marRight w:val="0"/>
      <w:marTop w:val="0"/>
      <w:marBottom w:val="100"/>
      <w:divBdr>
        <w:top w:val="none" w:sz="0" w:space="0" w:color="auto"/>
        <w:left w:val="none" w:sz="0" w:space="0" w:color="auto"/>
        <w:bottom w:val="none" w:sz="0" w:space="0" w:color="auto"/>
        <w:right w:val="none" w:sz="0" w:space="0" w:color="auto"/>
      </w:divBdr>
      <w:divsChild>
        <w:div w:id="1250578607">
          <w:marLeft w:val="0"/>
          <w:marRight w:val="0"/>
          <w:marTop w:val="0"/>
          <w:marBottom w:val="0"/>
          <w:divBdr>
            <w:top w:val="none" w:sz="0" w:space="0" w:color="auto"/>
            <w:left w:val="none" w:sz="0" w:space="0" w:color="auto"/>
            <w:bottom w:val="none" w:sz="0" w:space="0" w:color="auto"/>
            <w:right w:val="none" w:sz="0" w:space="0" w:color="auto"/>
          </w:divBdr>
        </w:div>
      </w:divsChild>
    </w:div>
    <w:div w:id="915742822">
      <w:marLeft w:val="0"/>
      <w:marRight w:val="0"/>
      <w:marTop w:val="180"/>
      <w:marBottom w:val="100"/>
      <w:divBdr>
        <w:top w:val="none" w:sz="0" w:space="0" w:color="auto"/>
        <w:left w:val="none" w:sz="0" w:space="0" w:color="auto"/>
        <w:bottom w:val="none" w:sz="0" w:space="0" w:color="auto"/>
        <w:right w:val="none" w:sz="0" w:space="0" w:color="auto"/>
      </w:divBdr>
    </w:div>
    <w:div w:id="917593177">
      <w:marLeft w:val="0"/>
      <w:marRight w:val="0"/>
      <w:marTop w:val="180"/>
      <w:marBottom w:val="0"/>
      <w:divBdr>
        <w:top w:val="none" w:sz="0" w:space="0" w:color="auto"/>
        <w:left w:val="none" w:sz="0" w:space="0" w:color="auto"/>
        <w:bottom w:val="none" w:sz="0" w:space="0" w:color="auto"/>
        <w:right w:val="none" w:sz="0" w:space="0" w:color="auto"/>
      </w:divBdr>
    </w:div>
    <w:div w:id="921331893">
      <w:marLeft w:val="0"/>
      <w:marRight w:val="0"/>
      <w:marTop w:val="100"/>
      <w:marBottom w:val="0"/>
      <w:divBdr>
        <w:top w:val="none" w:sz="0" w:space="0" w:color="auto"/>
        <w:left w:val="none" w:sz="0" w:space="0" w:color="auto"/>
        <w:bottom w:val="none" w:sz="0" w:space="0" w:color="auto"/>
        <w:right w:val="none" w:sz="0" w:space="0" w:color="auto"/>
      </w:divBdr>
      <w:divsChild>
        <w:div w:id="986124633">
          <w:marLeft w:val="0"/>
          <w:marRight w:val="0"/>
          <w:marTop w:val="0"/>
          <w:marBottom w:val="0"/>
          <w:divBdr>
            <w:top w:val="none" w:sz="0" w:space="0" w:color="auto"/>
            <w:left w:val="none" w:sz="0" w:space="0" w:color="auto"/>
            <w:bottom w:val="none" w:sz="0" w:space="0" w:color="auto"/>
            <w:right w:val="none" w:sz="0" w:space="0" w:color="auto"/>
          </w:divBdr>
        </w:div>
      </w:divsChild>
    </w:div>
    <w:div w:id="922955878">
      <w:marLeft w:val="0"/>
      <w:marRight w:val="0"/>
      <w:marTop w:val="0"/>
      <w:marBottom w:val="0"/>
      <w:divBdr>
        <w:top w:val="none" w:sz="0" w:space="0" w:color="auto"/>
        <w:left w:val="none" w:sz="0" w:space="0" w:color="auto"/>
        <w:bottom w:val="none" w:sz="0" w:space="0" w:color="auto"/>
        <w:right w:val="none" w:sz="0" w:space="0" w:color="auto"/>
      </w:divBdr>
    </w:div>
    <w:div w:id="923301102">
      <w:marLeft w:val="0"/>
      <w:marRight w:val="0"/>
      <w:marTop w:val="0"/>
      <w:marBottom w:val="0"/>
      <w:divBdr>
        <w:top w:val="none" w:sz="0" w:space="0" w:color="auto"/>
        <w:left w:val="none" w:sz="0" w:space="0" w:color="auto"/>
        <w:bottom w:val="none" w:sz="0" w:space="0" w:color="auto"/>
        <w:right w:val="none" w:sz="0" w:space="0" w:color="auto"/>
      </w:divBdr>
    </w:div>
    <w:div w:id="925696358">
      <w:marLeft w:val="0"/>
      <w:marRight w:val="0"/>
      <w:marTop w:val="180"/>
      <w:marBottom w:val="0"/>
      <w:divBdr>
        <w:top w:val="none" w:sz="0" w:space="0" w:color="auto"/>
        <w:left w:val="none" w:sz="0" w:space="0" w:color="auto"/>
        <w:bottom w:val="none" w:sz="0" w:space="0" w:color="auto"/>
        <w:right w:val="none" w:sz="0" w:space="0" w:color="auto"/>
      </w:divBdr>
    </w:div>
    <w:div w:id="926882910">
      <w:marLeft w:val="0"/>
      <w:marRight w:val="0"/>
      <w:marTop w:val="180"/>
      <w:marBottom w:val="0"/>
      <w:divBdr>
        <w:top w:val="none" w:sz="0" w:space="0" w:color="auto"/>
        <w:left w:val="none" w:sz="0" w:space="0" w:color="auto"/>
        <w:bottom w:val="none" w:sz="0" w:space="0" w:color="auto"/>
        <w:right w:val="none" w:sz="0" w:space="0" w:color="auto"/>
      </w:divBdr>
    </w:div>
    <w:div w:id="930235256">
      <w:marLeft w:val="0"/>
      <w:marRight w:val="0"/>
      <w:marTop w:val="180"/>
      <w:marBottom w:val="0"/>
      <w:divBdr>
        <w:top w:val="none" w:sz="0" w:space="0" w:color="auto"/>
        <w:left w:val="none" w:sz="0" w:space="0" w:color="auto"/>
        <w:bottom w:val="none" w:sz="0" w:space="0" w:color="auto"/>
        <w:right w:val="none" w:sz="0" w:space="0" w:color="auto"/>
      </w:divBdr>
    </w:div>
    <w:div w:id="930629268">
      <w:marLeft w:val="0"/>
      <w:marRight w:val="0"/>
      <w:marTop w:val="0"/>
      <w:marBottom w:val="100"/>
      <w:divBdr>
        <w:top w:val="none" w:sz="0" w:space="0" w:color="auto"/>
        <w:left w:val="none" w:sz="0" w:space="0" w:color="auto"/>
        <w:bottom w:val="none" w:sz="0" w:space="0" w:color="auto"/>
        <w:right w:val="none" w:sz="0" w:space="0" w:color="auto"/>
      </w:divBdr>
    </w:div>
    <w:div w:id="933560698">
      <w:marLeft w:val="0"/>
      <w:marRight w:val="0"/>
      <w:marTop w:val="280"/>
      <w:marBottom w:val="100"/>
      <w:divBdr>
        <w:top w:val="none" w:sz="0" w:space="0" w:color="auto"/>
        <w:left w:val="none" w:sz="0" w:space="0" w:color="auto"/>
        <w:bottom w:val="none" w:sz="0" w:space="0" w:color="auto"/>
        <w:right w:val="none" w:sz="0" w:space="0" w:color="auto"/>
      </w:divBdr>
    </w:div>
    <w:div w:id="933786120">
      <w:marLeft w:val="0"/>
      <w:marRight w:val="0"/>
      <w:marTop w:val="60"/>
      <w:marBottom w:val="100"/>
      <w:divBdr>
        <w:top w:val="none" w:sz="0" w:space="0" w:color="auto"/>
        <w:left w:val="none" w:sz="0" w:space="0" w:color="auto"/>
        <w:bottom w:val="none" w:sz="0" w:space="0" w:color="auto"/>
        <w:right w:val="none" w:sz="0" w:space="0" w:color="auto"/>
      </w:divBdr>
    </w:div>
    <w:div w:id="934822193">
      <w:marLeft w:val="0"/>
      <w:marRight w:val="0"/>
      <w:marTop w:val="100"/>
      <w:marBottom w:val="100"/>
      <w:divBdr>
        <w:top w:val="none" w:sz="0" w:space="0" w:color="auto"/>
        <w:left w:val="none" w:sz="0" w:space="0" w:color="auto"/>
        <w:bottom w:val="none" w:sz="0" w:space="0" w:color="auto"/>
        <w:right w:val="none" w:sz="0" w:space="0" w:color="auto"/>
      </w:divBdr>
    </w:div>
    <w:div w:id="937517057">
      <w:marLeft w:val="0"/>
      <w:marRight w:val="0"/>
      <w:marTop w:val="0"/>
      <w:marBottom w:val="0"/>
      <w:divBdr>
        <w:top w:val="none" w:sz="0" w:space="0" w:color="auto"/>
        <w:left w:val="none" w:sz="0" w:space="0" w:color="auto"/>
        <w:bottom w:val="none" w:sz="0" w:space="0" w:color="auto"/>
        <w:right w:val="none" w:sz="0" w:space="0" w:color="auto"/>
      </w:divBdr>
      <w:divsChild>
        <w:div w:id="1441220801">
          <w:marLeft w:val="0"/>
          <w:marRight w:val="0"/>
          <w:marTop w:val="0"/>
          <w:marBottom w:val="100"/>
          <w:divBdr>
            <w:top w:val="none" w:sz="0" w:space="0" w:color="auto"/>
            <w:left w:val="none" w:sz="0" w:space="0" w:color="auto"/>
            <w:bottom w:val="none" w:sz="0" w:space="0" w:color="auto"/>
            <w:right w:val="none" w:sz="0" w:space="0" w:color="auto"/>
          </w:divBdr>
        </w:div>
      </w:divsChild>
    </w:div>
    <w:div w:id="939142590">
      <w:marLeft w:val="0"/>
      <w:marRight w:val="0"/>
      <w:marTop w:val="0"/>
      <w:marBottom w:val="0"/>
      <w:divBdr>
        <w:top w:val="none" w:sz="0" w:space="0" w:color="auto"/>
        <w:left w:val="none" w:sz="0" w:space="0" w:color="auto"/>
        <w:bottom w:val="none" w:sz="0" w:space="0" w:color="auto"/>
        <w:right w:val="none" w:sz="0" w:space="0" w:color="auto"/>
      </w:divBdr>
      <w:divsChild>
        <w:div w:id="257063352">
          <w:marLeft w:val="0"/>
          <w:marRight w:val="0"/>
          <w:marTop w:val="0"/>
          <w:marBottom w:val="0"/>
          <w:divBdr>
            <w:top w:val="none" w:sz="0" w:space="0" w:color="auto"/>
            <w:left w:val="none" w:sz="0" w:space="0" w:color="auto"/>
            <w:bottom w:val="none" w:sz="0" w:space="0" w:color="auto"/>
            <w:right w:val="none" w:sz="0" w:space="0" w:color="auto"/>
          </w:divBdr>
          <w:divsChild>
            <w:div w:id="120817650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40261381">
      <w:marLeft w:val="0"/>
      <w:marRight w:val="0"/>
      <w:marTop w:val="100"/>
      <w:marBottom w:val="100"/>
      <w:divBdr>
        <w:top w:val="none" w:sz="0" w:space="0" w:color="auto"/>
        <w:left w:val="none" w:sz="0" w:space="0" w:color="auto"/>
        <w:bottom w:val="none" w:sz="0" w:space="0" w:color="auto"/>
        <w:right w:val="none" w:sz="0" w:space="0" w:color="auto"/>
      </w:divBdr>
    </w:div>
    <w:div w:id="940574807">
      <w:marLeft w:val="0"/>
      <w:marRight w:val="0"/>
      <w:marTop w:val="180"/>
      <w:marBottom w:val="0"/>
      <w:divBdr>
        <w:top w:val="none" w:sz="0" w:space="0" w:color="auto"/>
        <w:left w:val="none" w:sz="0" w:space="0" w:color="auto"/>
        <w:bottom w:val="none" w:sz="0" w:space="0" w:color="auto"/>
        <w:right w:val="none" w:sz="0" w:space="0" w:color="auto"/>
      </w:divBdr>
    </w:div>
    <w:div w:id="944731477">
      <w:marLeft w:val="0"/>
      <w:marRight w:val="0"/>
      <w:marTop w:val="0"/>
      <w:marBottom w:val="100"/>
      <w:divBdr>
        <w:top w:val="none" w:sz="0" w:space="0" w:color="auto"/>
        <w:left w:val="none" w:sz="0" w:space="0" w:color="auto"/>
        <w:bottom w:val="none" w:sz="0" w:space="0" w:color="auto"/>
        <w:right w:val="none" w:sz="0" w:space="0" w:color="auto"/>
      </w:divBdr>
    </w:div>
    <w:div w:id="946960087">
      <w:marLeft w:val="0"/>
      <w:marRight w:val="0"/>
      <w:marTop w:val="100"/>
      <w:marBottom w:val="100"/>
      <w:divBdr>
        <w:top w:val="none" w:sz="0" w:space="0" w:color="auto"/>
        <w:left w:val="none" w:sz="0" w:space="0" w:color="auto"/>
        <w:bottom w:val="none" w:sz="0" w:space="0" w:color="auto"/>
        <w:right w:val="none" w:sz="0" w:space="0" w:color="auto"/>
      </w:divBdr>
    </w:div>
    <w:div w:id="947202645">
      <w:marLeft w:val="0"/>
      <w:marRight w:val="0"/>
      <w:marTop w:val="0"/>
      <w:marBottom w:val="0"/>
      <w:divBdr>
        <w:top w:val="none" w:sz="0" w:space="0" w:color="auto"/>
        <w:left w:val="none" w:sz="0" w:space="0" w:color="auto"/>
        <w:bottom w:val="none" w:sz="0" w:space="0" w:color="auto"/>
        <w:right w:val="none" w:sz="0" w:space="0" w:color="auto"/>
      </w:divBdr>
    </w:div>
    <w:div w:id="948857977">
      <w:marLeft w:val="0"/>
      <w:marRight w:val="0"/>
      <w:marTop w:val="0"/>
      <w:marBottom w:val="100"/>
      <w:divBdr>
        <w:top w:val="none" w:sz="0" w:space="0" w:color="auto"/>
        <w:left w:val="none" w:sz="0" w:space="0" w:color="auto"/>
        <w:bottom w:val="none" w:sz="0" w:space="0" w:color="auto"/>
        <w:right w:val="none" w:sz="0" w:space="0" w:color="auto"/>
      </w:divBdr>
    </w:div>
    <w:div w:id="952785858">
      <w:marLeft w:val="0"/>
      <w:marRight w:val="0"/>
      <w:marTop w:val="0"/>
      <w:marBottom w:val="0"/>
      <w:divBdr>
        <w:top w:val="none" w:sz="0" w:space="0" w:color="auto"/>
        <w:left w:val="none" w:sz="0" w:space="0" w:color="auto"/>
        <w:bottom w:val="none" w:sz="0" w:space="0" w:color="auto"/>
        <w:right w:val="none" w:sz="0" w:space="0" w:color="auto"/>
      </w:divBdr>
      <w:divsChild>
        <w:div w:id="1711608241">
          <w:marLeft w:val="0"/>
          <w:marRight w:val="0"/>
          <w:marTop w:val="0"/>
          <w:marBottom w:val="0"/>
          <w:divBdr>
            <w:top w:val="none" w:sz="0" w:space="0" w:color="auto"/>
            <w:left w:val="none" w:sz="0" w:space="0" w:color="auto"/>
            <w:bottom w:val="none" w:sz="0" w:space="0" w:color="auto"/>
            <w:right w:val="none" w:sz="0" w:space="0" w:color="auto"/>
          </w:divBdr>
        </w:div>
        <w:div w:id="804396110">
          <w:marLeft w:val="0"/>
          <w:marRight w:val="0"/>
          <w:marTop w:val="0"/>
          <w:marBottom w:val="0"/>
          <w:divBdr>
            <w:top w:val="none" w:sz="0" w:space="0" w:color="auto"/>
            <w:left w:val="none" w:sz="0" w:space="0" w:color="auto"/>
            <w:bottom w:val="none" w:sz="0" w:space="0" w:color="auto"/>
            <w:right w:val="none" w:sz="0" w:space="0" w:color="auto"/>
          </w:divBdr>
        </w:div>
      </w:divsChild>
    </w:div>
    <w:div w:id="955139668">
      <w:marLeft w:val="0"/>
      <w:marRight w:val="0"/>
      <w:marTop w:val="0"/>
      <w:marBottom w:val="100"/>
      <w:divBdr>
        <w:top w:val="none" w:sz="0" w:space="0" w:color="auto"/>
        <w:left w:val="none" w:sz="0" w:space="0" w:color="auto"/>
        <w:bottom w:val="none" w:sz="0" w:space="0" w:color="auto"/>
        <w:right w:val="none" w:sz="0" w:space="0" w:color="auto"/>
      </w:divBdr>
    </w:div>
    <w:div w:id="958225709">
      <w:marLeft w:val="0"/>
      <w:marRight w:val="0"/>
      <w:marTop w:val="100"/>
      <w:marBottom w:val="100"/>
      <w:divBdr>
        <w:top w:val="none" w:sz="0" w:space="0" w:color="auto"/>
        <w:left w:val="none" w:sz="0" w:space="0" w:color="auto"/>
        <w:bottom w:val="none" w:sz="0" w:space="0" w:color="auto"/>
        <w:right w:val="none" w:sz="0" w:space="0" w:color="auto"/>
      </w:divBdr>
    </w:div>
    <w:div w:id="961418715">
      <w:marLeft w:val="0"/>
      <w:marRight w:val="0"/>
      <w:marTop w:val="0"/>
      <w:marBottom w:val="100"/>
      <w:divBdr>
        <w:top w:val="none" w:sz="0" w:space="0" w:color="auto"/>
        <w:left w:val="none" w:sz="0" w:space="0" w:color="auto"/>
        <w:bottom w:val="none" w:sz="0" w:space="0" w:color="auto"/>
        <w:right w:val="none" w:sz="0" w:space="0" w:color="auto"/>
      </w:divBdr>
    </w:div>
    <w:div w:id="968903885">
      <w:marLeft w:val="0"/>
      <w:marRight w:val="0"/>
      <w:marTop w:val="0"/>
      <w:marBottom w:val="0"/>
      <w:divBdr>
        <w:top w:val="none" w:sz="0" w:space="0" w:color="auto"/>
        <w:left w:val="none" w:sz="0" w:space="0" w:color="auto"/>
        <w:bottom w:val="none" w:sz="0" w:space="0" w:color="auto"/>
        <w:right w:val="none" w:sz="0" w:space="0" w:color="auto"/>
      </w:divBdr>
    </w:div>
    <w:div w:id="981733754">
      <w:marLeft w:val="0"/>
      <w:marRight w:val="0"/>
      <w:marTop w:val="0"/>
      <w:marBottom w:val="0"/>
      <w:divBdr>
        <w:top w:val="none" w:sz="0" w:space="0" w:color="auto"/>
        <w:left w:val="none" w:sz="0" w:space="0" w:color="auto"/>
        <w:bottom w:val="none" w:sz="0" w:space="0" w:color="auto"/>
        <w:right w:val="none" w:sz="0" w:space="0" w:color="auto"/>
      </w:divBdr>
    </w:div>
    <w:div w:id="982848869">
      <w:marLeft w:val="0"/>
      <w:marRight w:val="0"/>
      <w:marTop w:val="180"/>
      <w:marBottom w:val="100"/>
      <w:divBdr>
        <w:top w:val="none" w:sz="0" w:space="0" w:color="auto"/>
        <w:left w:val="none" w:sz="0" w:space="0" w:color="auto"/>
        <w:bottom w:val="none" w:sz="0" w:space="0" w:color="auto"/>
        <w:right w:val="none" w:sz="0" w:space="0" w:color="auto"/>
      </w:divBdr>
    </w:div>
    <w:div w:id="983120149">
      <w:marLeft w:val="0"/>
      <w:marRight w:val="0"/>
      <w:marTop w:val="0"/>
      <w:marBottom w:val="0"/>
      <w:divBdr>
        <w:top w:val="none" w:sz="0" w:space="0" w:color="auto"/>
        <w:left w:val="none" w:sz="0" w:space="0" w:color="auto"/>
        <w:bottom w:val="none" w:sz="0" w:space="0" w:color="auto"/>
        <w:right w:val="none" w:sz="0" w:space="0" w:color="auto"/>
      </w:divBdr>
    </w:div>
    <w:div w:id="983512340">
      <w:marLeft w:val="0"/>
      <w:marRight w:val="0"/>
      <w:marTop w:val="0"/>
      <w:marBottom w:val="100"/>
      <w:divBdr>
        <w:top w:val="none" w:sz="0" w:space="0" w:color="auto"/>
        <w:left w:val="none" w:sz="0" w:space="0" w:color="auto"/>
        <w:bottom w:val="none" w:sz="0" w:space="0" w:color="auto"/>
        <w:right w:val="none" w:sz="0" w:space="0" w:color="auto"/>
      </w:divBdr>
    </w:div>
    <w:div w:id="984823280">
      <w:marLeft w:val="0"/>
      <w:marRight w:val="0"/>
      <w:marTop w:val="0"/>
      <w:marBottom w:val="100"/>
      <w:divBdr>
        <w:top w:val="none" w:sz="0" w:space="0" w:color="auto"/>
        <w:left w:val="none" w:sz="0" w:space="0" w:color="auto"/>
        <w:bottom w:val="none" w:sz="0" w:space="0" w:color="auto"/>
        <w:right w:val="none" w:sz="0" w:space="0" w:color="auto"/>
      </w:divBdr>
    </w:div>
    <w:div w:id="987586423">
      <w:marLeft w:val="0"/>
      <w:marRight w:val="0"/>
      <w:marTop w:val="0"/>
      <w:marBottom w:val="0"/>
      <w:divBdr>
        <w:top w:val="none" w:sz="0" w:space="0" w:color="auto"/>
        <w:left w:val="none" w:sz="0" w:space="0" w:color="auto"/>
        <w:bottom w:val="none" w:sz="0" w:space="0" w:color="auto"/>
        <w:right w:val="none" w:sz="0" w:space="0" w:color="auto"/>
      </w:divBdr>
    </w:div>
    <w:div w:id="988904813">
      <w:marLeft w:val="0"/>
      <w:marRight w:val="0"/>
      <w:marTop w:val="0"/>
      <w:marBottom w:val="0"/>
      <w:divBdr>
        <w:top w:val="none" w:sz="0" w:space="0" w:color="auto"/>
        <w:left w:val="none" w:sz="0" w:space="0" w:color="auto"/>
        <w:bottom w:val="none" w:sz="0" w:space="0" w:color="auto"/>
        <w:right w:val="none" w:sz="0" w:space="0" w:color="auto"/>
      </w:divBdr>
    </w:div>
    <w:div w:id="989794195">
      <w:marLeft w:val="0"/>
      <w:marRight w:val="0"/>
      <w:marTop w:val="0"/>
      <w:marBottom w:val="0"/>
      <w:divBdr>
        <w:top w:val="none" w:sz="0" w:space="0" w:color="auto"/>
        <w:left w:val="none" w:sz="0" w:space="0" w:color="auto"/>
        <w:bottom w:val="none" w:sz="0" w:space="0" w:color="auto"/>
        <w:right w:val="none" w:sz="0" w:space="0" w:color="auto"/>
      </w:divBdr>
      <w:divsChild>
        <w:div w:id="1145317173">
          <w:marLeft w:val="0"/>
          <w:marRight w:val="0"/>
          <w:marTop w:val="0"/>
          <w:marBottom w:val="0"/>
          <w:divBdr>
            <w:top w:val="none" w:sz="0" w:space="0" w:color="auto"/>
            <w:left w:val="none" w:sz="0" w:space="0" w:color="auto"/>
            <w:bottom w:val="none" w:sz="0" w:space="0" w:color="auto"/>
            <w:right w:val="none" w:sz="0" w:space="0" w:color="auto"/>
          </w:divBdr>
          <w:divsChild>
            <w:div w:id="1838324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0477964">
      <w:marLeft w:val="0"/>
      <w:marRight w:val="0"/>
      <w:marTop w:val="0"/>
      <w:marBottom w:val="0"/>
      <w:divBdr>
        <w:top w:val="none" w:sz="0" w:space="0" w:color="auto"/>
        <w:left w:val="none" w:sz="0" w:space="0" w:color="auto"/>
        <w:bottom w:val="none" w:sz="0" w:space="0" w:color="auto"/>
        <w:right w:val="none" w:sz="0" w:space="0" w:color="auto"/>
      </w:divBdr>
      <w:divsChild>
        <w:div w:id="900334794">
          <w:marLeft w:val="0"/>
          <w:marRight w:val="0"/>
          <w:marTop w:val="0"/>
          <w:marBottom w:val="100"/>
          <w:divBdr>
            <w:top w:val="none" w:sz="0" w:space="0" w:color="auto"/>
            <w:left w:val="none" w:sz="0" w:space="0" w:color="auto"/>
            <w:bottom w:val="none" w:sz="0" w:space="0" w:color="auto"/>
            <w:right w:val="none" w:sz="0" w:space="0" w:color="auto"/>
          </w:divBdr>
        </w:div>
      </w:divsChild>
    </w:div>
    <w:div w:id="991638472">
      <w:marLeft w:val="0"/>
      <w:marRight w:val="0"/>
      <w:marTop w:val="0"/>
      <w:marBottom w:val="0"/>
      <w:divBdr>
        <w:top w:val="none" w:sz="0" w:space="0" w:color="auto"/>
        <w:left w:val="none" w:sz="0" w:space="0" w:color="auto"/>
        <w:bottom w:val="none" w:sz="0" w:space="0" w:color="auto"/>
        <w:right w:val="none" w:sz="0" w:space="0" w:color="auto"/>
      </w:divBdr>
      <w:divsChild>
        <w:div w:id="73548693">
          <w:marLeft w:val="0"/>
          <w:marRight w:val="0"/>
          <w:marTop w:val="0"/>
          <w:marBottom w:val="100"/>
          <w:divBdr>
            <w:top w:val="none" w:sz="0" w:space="0" w:color="auto"/>
            <w:left w:val="none" w:sz="0" w:space="0" w:color="auto"/>
            <w:bottom w:val="none" w:sz="0" w:space="0" w:color="auto"/>
            <w:right w:val="none" w:sz="0" w:space="0" w:color="auto"/>
          </w:divBdr>
        </w:div>
      </w:divsChild>
    </w:div>
    <w:div w:id="995036179">
      <w:marLeft w:val="0"/>
      <w:marRight w:val="0"/>
      <w:marTop w:val="100"/>
      <w:marBottom w:val="100"/>
      <w:divBdr>
        <w:top w:val="none" w:sz="0" w:space="0" w:color="auto"/>
        <w:left w:val="none" w:sz="0" w:space="0" w:color="auto"/>
        <w:bottom w:val="none" w:sz="0" w:space="0" w:color="auto"/>
        <w:right w:val="none" w:sz="0" w:space="0" w:color="auto"/>
      </w:divBdr>
    </w:div>
    <w:div w:id="996108542">
      <w:marLeft w:val="0"/>
      <w:marRight w:val="0"/>
      <w:marTop w:val="0"/>
      <w:marBottom w:val="100"/>
      <w:divBdr>
        <w:top w:val="none" w:sz="0" w:space="0" w:color="auto"/>
        <w:left w:val="none" w:sz="0" w:space="0" w:color="auto"/>
        <w:bottom w:val="none" w:sz="0" w:space="0" w:color="auto"/>
        <w:right w:val="none" w:sz="0" w:space="0" w:color="auto"/>
      </w:divBdr>
    </w:div>
    <w:div w:id="1000549479">
      <w:marLeft w:val="0"/>
      <w:marRight w:val="0"/>
      <w:marTop w:val="0"/>
      <w:marBottom w:val="100"/>
      <w:divBdr>
        <w:top w:val="none" w:sz="0" w:space="0" w:color="auto"/>
        <w:left w:val="none" w:sz="0" w:space="0" w:color="auto"/>
        <w:bottom w:val="none" w:sz="0" w:space="0" w:color="auto"/>
        <w:right w:val="none" w:sz="0" w:space="0" w:color="auto"/>
      </w:divBdr>
    </w:div>
    <w:div w:id="1004940289">
      <w:marLeft w:val="0"/>
      <w:marRight w:val="0"/>
      <w:marTop w:val="180"/>
      <w:marBottom w:val="0"/>
      <w:divBdr>
        <w:top w:val="none" w:sz="0" w:space="0" w:color="auto"/>
        <w:left w:val="none" w:sz="0" w:space="0" w:color="auto"/>
        <w:bottom w:val="none" w:sz="0" w:space="0" w:color="auto"/>
        <w:right w:val="none" w:sz="0" w:space="0" w:color="auto"/>
      </w:divBdr>
    </w:div>
    <w:div w:id="1015961994">
      <w:marLeft w:val="0"/>
      <w:marRight w:val="0"/>
      <w:marTop w:val="0"/>
      <w:marBottom w:val="100"/>
      <w:divBdr>
        <w:top w:val="none" w:sz="0" w:space="0" w:color="auto"/>
        <w:left w:val="none" w:sz="0" w:space="0" w:color="auto"/>
        <w:bottom w:val="none" w:sz="0" w:space="0" w:color="auto"/>
        <w:right w:val="none" w:sz="0" w:space="0" w:color="auto"/>
      </w:divBdr>
    </w:div>
    <w:div w:id="1022511541">
      <w:marLeft w:val="0"/>
      <w:marRight w:val="0"/>
      <w:marTop w:val="0"/>
      <w:marBottom w:val="0"/>
      <w:divBdr>
        <w:top w:val="none" w:sz="0" w:space="0" w:color="auto"/>
        <w:left w:val="none" w:sz="0" w:space="0" w:color="auto"/>
        <w:bottom w:val="none" w:sz="0" w:space="0" w:color="auto"/>
        <w:right w:val="none" w:sz="0" w:space="0" w:color="auto"/>
      </w:divBdr>
    </w:div>
    <w:div w:id="1023551425">
      <w:marLeft w:val="0"/>
      <w:marRight w:val="0"/>
      <w:marTop w:val="0"/>
      <w:marBottom w:val="0"/>
      <w:divBdr>
        <w:top w:val="none" w:sz="0" w:space="0" w:color="auto"/>
        <w:left w:val="none" w:sz="0" w:space="0" w:color="auto"/>
        <w:bottom w:val="none" w:sz="0" w:space="0" w:color="auto"/>
        <w:right w:val="none" w:sz="0" w:space="0" w:color="auto"/>
      </w:divBdr>
    </w:div>
    <w:div w:id="1023944853">
      <w:marLeft w:val="0"/>
      <w:marRight w:val="0"/>
      <w:marTop w:val="100"/>
      <w:marBottom w:val="100"/>
      <w:divBdr>
        <w:top w:val="none" w:sz="0" w:space="0" w:color="auto"/>
        <w:left w:val="none" w:sz="0" w:space="0" w:color="auto"/>
        <w:bottom w:val="none" w:sz="0" w:space="0" w:color="auto"/>
        <w:right w:val="none" w:sz="0" w:space="0" w:color="auto"/>
      </w:divBdr>
    </w:div>
    <w:div w:id="1049499995">
      <w:marLeft w:val="0"/>
      <w:marRight w:val="0"/>
      <w:marTop w:val="0"/>
      <w:marBottom w:val="100"/>
      <w:divBdr>
        <w:top w:val="none" w:sz="0" w:space="0" w:color="auto"/>
        <w:left w:val="none" w:sz="0" w:space="0" w:color="auto"/>
        <w:bottom w:val="none" w:sz="0" w:space="0" w:color="auto"/>
        <w:right w:val="none" w:sz="0" w:space="0" w:color="auto"/>
      </w:divBdr>
    </w:div>
    <w:div w:id="1052271073">
      <w:marLeft w:val="0"/>
      <w:marRight w:val="0"/>
      <w:marTop w:val="100"/>
      <w:marBottom w:val="0"/>
      <w:divBdr>
        <w:top w:val="none" w:sz="0" w:space="0" w:color="auto"/>
        <w:left w:val="none" w:sz="0" w:space="0" w:color="auto"/>
        <w:bottom w:val="none" w:sz="0" w:space="0" w:color="auto"/>
        <w:right w:val="none" w:sz="0" w:space="0" w:color="auto"/>
      </w:divBdr>
    </w:div>
    <w:div w:id="1057511572">
      <w:marLeft w:val="0"/>
      <w:marRight w:val="0"/>
      <w:marTop w:val="0"/>
      <w:marBottom w:val="100"/>
      <w:divBdr>
        <w:top w:val="none" w:sz="0" w:space="0" w:color="auto"/>
        <w:left w:val="none" w:sz="0" w:space="0" w:color="auto"/>
        <w:bottom w:val="none" w:sz="0" w:space="0" w:color="auto"/>
        <w:right w:val="none" w:sz="0" w:space="0" w:color="auto"/>
      </w:divBdr>
    </w:div>
    <w:div w:id="1057583742">
      <w:marLeft w:val="0"/>
      <w:marRight w:val="0"/>
      <w:marTop w:val="0"/>
      <w:marBottom w:val="100"/>
      <w:divBdr>
        <w:top w:val="none" w:sz="0" w:space="0" w:color="auto"/>
        <w:left w:val="none" w:sz="0" w:space="0" w:color="auto"/>
        <w:bottom w:val="none" w:sz="0" w:space="0" w:color="auto"/>
        <w:right w:val="none" w:sz="0" w:space="0" w:color="auto"/>
      </w:divBdr>
    </w:div>
    <w:div w:id="1059324677">
      <w:marLeft w:val="0"/>
      <w:marRight w:val="0"/>
      <w:marTop w:val="0"/>
      <w:marBottom w:val="0"/>
      <w:divBdr>
        <w:top w:val="none" w:sz="0" w:space="0" w:color="auto"/>
        <w:left w:val="none" w:sz="0" w:space="0" w:color="auto"/>
        <w:bottom w:val="none" w:sz="0" w:space="0" w:color="auto"/>
        <w:right w:val="none" w:sz="0" w:space="0" w:color="auto"/>
      </w:divBdr>
    </w:div>
    <w:div w:id="1062362417">
      <w:marLeft w:val="0"/>
      <w:marRight w:val="0"/>
      <w:marTop w:val="180"/>
      <w:marBottom w:val="100"/>
      <w:divBdr>
        <w:top w:val="none" w:sz="0" w:space="0" w:color="auto"/>
        <w:left w:val="none" w:sz="0" w:space="0" w:color="auto"/>
        <w:bottom w:val="none" w:sz="0" w:space="0" w:color="auto"/>
        <w:right w:val="none" w:sz="0" w:space="0" w:color="auto"/>
      </w:divBdr>
    </w:div>
    <w:div w:id="1068914732">
      <w:marLeft w:val="0"/>
      <w:marRight w:val="0"/>
      <w:marTop w:val="0"/>
      <w:marBottom w:val="0"/>
      <w:divBdr>
        <w:top w:val="none" w:sz="0" w:space="0" w:color="auto"/>
        <w:left w:val="none" w:sz="0" w:space="0" w:color="auto"/>
        <w:bottom w:val="none" w:sz="0" w:space="0" w:color="auto"/>
        <w:right w:val="none" w:sz="0" w:space="0" w:color="auto"/>
      </w:divBdr>
      <w:divsChild>
        <w:div w:id="1049184009">
          <w:marLeft w:val="0"/>
          <w:marRight w:val="0"/>
          <w:marTop w:val="0"/>
          <w:marBottom w:val="100"/>
          <w:divBdr>
            <w:top w:val="none" w:sz="0" w:space="0" w:color="auto"/>
            <w:left w:val="none" w:sz="0" w:space="0" w:color="auto"/>
            <w:bottom w:val="none" w:sz="0" w:space="0" w:color="auto"/>
            <w:right w:val="none" w:sz="0" w:space="0" w:color="auto"/>
          </w:divBdr>
        </w:div>
      </w:divsChild>
    </w:div>
    <w:div w:id="1070300643">
      <w:marLeft w:val="0"/>
      <w:marRight w:val="0"/>
      <w:marTop w:val="0"/>
      <w:marBottom w:val="0"/>
      <w:divBdr>
        <w:top w:val="none" w:sz="0" w:space="0" w:color="auto"/>
        <w:left w:val="none" w:sz="0" w:space="0" w:color="auto"/>
        <w:bottom w:val="none" w:sz="0" w:space="0" w:color="auto"/>
        <w:right w:val="none" w:sz="0" w:space="0" w:color="auto"/>
      </w:divBdr>
    </w:div>
    <w:div w:id="1076822442">
      <w:marLeft w:val="0"/>
      <w:marRight w:val="0"/>
      <w:marTop w:val="0"/>
      <w:marBottom w:val="0"/>
      <w:divBdr>
        <w:top w:val="none" w:sz="0" w:space="0" w:color="auto"/>
        <w:left w:val="none" w:sz="0" w:space="0" w:color="auto"/>
        <w:bottom w:val="none" w:sz="0" w:space="0" w:color="auto"/>
        <w:right w:val="none" w:sz="0" w:space="0" w:color="auto"/>
      </w:divBdr>
    </w:div>
    <w:div w:id="1083339643">
      <w:marLeft w:val="0"/>
      <w:marRight w:val="0"/>
      <w:marTop w:val="0"/>
      <w:marBottom w:val="100"/>
      <w:divBdr>
        <w:top w:val="none" w:sz="0" w:space="0" w:color="auto"/>
        <w:left w:val="none" w:sz="0" w:space="0" w:color="auto"/>
        <w:bottom w:val="none" w:sz="0" w:space="0" w:color="auto"/>
        <w:right w:val="none" w:sz="0" w:space="0" w:color="auto"/>
      </w:divBdr>
    </w:div>
    <w:div w:id="1085109848">
      <w:marLeft w:val="0"/>
      <w:marRight w:val="0"/>
      <w:marTop w:val="0"/>
      <w:marBottom w:val="100"/>
      <w:divBdr>
        <w:top w:val="none" w:sz="0" w:space="0" w:color="auto"/>
        <w:left w:val="none" w:sz="0" w:space="0" w:color="auto"/>
        <w:bottom w:val="none" w:sz="0" w:space="0" w:color="auto"/>
        <w:right w:val="none" w:sz="0" w:space="0" w:color="auto"/>
      </w:divBdr>
    </w:div>
    <w:div w:id="1088036308">
      <w:marLeft w:val="0"/>
      <w:marRight w:val="0"/>
      <w:marTop w:val="0"/>
      <w:marBottom w:val="0"/>
      <w:divBdr>
        <w:top w:val="none" w:sz="0" w:space="0" w:color="auto"/>
        <w:left w:val="none" w:sz="0" w:space="0" w:color="auto"/>
        <w:bottom w:val="none" w:sz="0" w:space="0" w:color="auto"/>
        <w:right w:val="none" w:sz="0" w:space="0" w:color="auto"/>
      </w:divBdr>
    </w:div>
    <w:div w:id="1089234520">
      <w:marLeft w:val="0"/>
      <w:marRight w:val="0"/>
      <w:marTop w:val="0"/>
      <w:marBottom w:val="0"/>
      <w:divBdr>
        <w:top w:val="none" w:sz="0" w:space="0" w:color="auto"/>
        <w:left w:val="none" w:sz="0" w:space="0" w:color="auto"/>
        <w:bottom w:val="none" w:sz="0" w:space="0" w:color="auto"/>
        <w:right w:val="none" w:sz="0" w:space="0" w:color="auto"/>
      </w:divBdr>
      <w:divsChild>
        <w:div w:id="1076971230">
          <w:marLeft w:val="0"/>
          <w:marRight w:val="0"/>
          <w:marTop w:val="0"/>
          <w:marBottom w:val="0"/>
          <w:divBdr>
            <w:top w:val="none" w:sz="0" w:space="0" w:color="auto"/>
            <w:left w:val="none" w:sz="0" w:space="0" w:color="auto"/>
            <w:bottom w:val="none" w:sz="0" w:space="0" w:color="auto"/>
            <w:right w:val="none" w:sz="0" w:space="0" w:color="auto"/>
          </w:divBdr>
          <w:divsChild>
            <w:div w:id="91936842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89935359">
      <w:marLeft w:val="0"/>
      <w:marRight w:val="0"/>
      <w:marTop w:val="0"/>
      <w:marBottom w:val="0"/>
      <w:divBdr>
        <w:top w:val="none" w:sz="0" w:space="0" w:color="auto"/>
        <w:left w:val="none" w:sz="0" w:space="0" w:color="auto"/>
        <w:bottom w:val="none" w:sz="0" w:space="0" w:color="auto"/>
        <w:right w:val="none" w:sz="0" w:space="0" w:color="auto"/>
      </w:divBdr>
    </w:div>
    <w:div w:id="1094546399">
      <w:marLeft w:val="0"/>
      <w:marRight w:val="0"/>
      <w:marTop w:val="180"/>
      <w:marBottom w:val="100"/>
      <w:divBdr>
        <w:top w:val="none" w:sz="0" w:space="0" w:color="auto"/>
        <w:left w:val="none" w:sz="0" w:space="0" w:color="auto"/>
        <w:bottom w:val="none" w:sz="0" w:space="0" w:color="auto"/>
        <w:right w:val="none" w:sz="0" w:space="0" w:color="auto"/>
      </w:divBdr>
    </w:div>
    <w:div w:id="1094865970">
      <w:marLeft w:val="0"/>
      <w:marRight w:val="0"/>
      <w:marTop w:val="0"/>
      <w:marBottom w:val="120"/>
      <w:divBdr>
        <w:top w:val="none" w:sz="0" w:space="0" w:color="auto"/>
        <w:left w:val="none" w:sz="0" w:space="0" w:color="auto"/>
        <w:bottom w:val="none" w:sz="0" w:space="0" w:color="auto"/>
        <w:right w:val="none" w:sz="0" w:space="0" w:color="auto"/>
      </w:divBdr>
    </w:div>
    <w:div w:id="1098284345">
      <w:marLeft w:val="0"/>
      <w:marRight w:val="0"/>
      <w:marTop w:val="0"/>
      <w:marBottom w:val="100"/>
      <w:divBdr>
        <w:top w:val="none" w:sz="0" w:space="0" w:color="auto"/>
        <w:left w:val="none" w:sz="0" w:space="0" w:color="auto"/>
        <w:bottom w:val="none" w:sz="0" w:space="0" w:color="auto"/>
        <w:right w:val="none" w:sz="0" w:space="0" w:color="auto"/>
      </w:divBdr>
    </w:div>
    <w:div w:id="1103572007">
      <w:marLeft w:val="0"/>
      <w:marRight w:val="0"/>
      <w:marTop w:val="0"/>
      <w:marBottom w:val="0"/>
      <w:divBdr>
        <w:top w:val="none" w:sz="0" w:space="0" w:color="auto"/>
        <w:left w:val="none" w:sz="0" w:space="0" w:color="auto"/>
        <w:bottom w:val="none" w:sz="0" w:space="0" w:color="auto"/>
        <w:right w:val="none" w:sz="0" w:space="0" w:color="auto"/>
      </w:divBdr>
      <w:divsChild>
        <w:div w:id="112676908">
          <w:marLeft w:val="0"/>
          <w:marRight w:val="0"/>
          <w:marTop w:val="0"/>
          <w:marBottom w:val="100"/>
          <w:divBdr>
            <w:top w:val="none" w:sz="0" w:space="0" w:color="auto"/>
            <w:left w:val="none" w:sz="0" w:space="0" w:color="auto"/>
            <w:bottom w:val="none" w:sz="0" w:space="0" w:color="auto"/>
            <w:right w:val="none" w:sz="0" w:space="0" w:color="auto"/>
          </w:divBdr>
        </w:div>
      </w:divsChild>
    </w:div>
    <w:div w:id="1105886161">
      <w:marLeft w:val="0"/>
      <w:marRight w:val="0"/>
      <w:marTop w:val="0"/>
      <w:marBottom w:val="0"/>
      <w:divBdr>
        <w:top w:val="none" w:sz="0" w:space="0" w:color="auto"/>
        <w:left w:val="none" w:sz="0" w:space="0" w:color="auto"/>
        <w:bottom w:val="none" w:sz="0" w:space="0" w:color="auto"/>
        <w:right w:val="none" w:sz="0" w:space="0" w:color="auto"/>
      </w:divBdr>
    </w:div>
    <w:div w:id="1106314897">
      <w:marLeft w:val="0"/>
      <w:marRight w:val="0"/>
      <w:marTop w:val="0"/>
      <w:marBottom w:val="0"/>
      <w:divBdr>
        <w:top w:val="none" w:sz="0" w:space="0" w:color="auto"/>
        <w:left w:val="none" w:sz="0" w:space="0" w:color="auto"/>
        <w:bottom w:val="none" w:sz="0" w:space="0" w:color="auto"/>
        <w:right w:val="none" w:sz="0" w:space="0" w:color="auto"/>
      </w:divBdr>
      <w:divsChild>
        <w:div w:id="231357032">
          <w:marLeft w:val="0"/>
          <w:marRight w:val="0"/>
          <w:marTop w:val="0"/>
          <w:marBottom w:val="100"/>
          <w:divBdr>
            <w:top w:val="none" w:sz="0" w:space="0" w:color="auto"/>
            <w:left w:val="none" w:sz="0" w:space="0" w:color="auto"/>
            <w:bottom w:val="none" w:sz="0" w:space="0" w:color="auto"/>
            <w:right w:val="none" w:sz="0" w:space="0" w:color="auto"/>
          </w:divBdr>
        </w:div>
      </w:divsChild>
    </w:div>
    <w:div w:id="1107047402">
      <w:marLeft w:val="0"/>
      <w:marRight w:val="0"/>
      <w:marTop w:val="80"/>
      <w:marBottom w:val="100"/>
      <w:divBdr>
        <w:top w:val="none" w:sz="0" w:space="0" w:color="auto"/>
        <w:left w:val="none" w:sz="0" w:space="0" w:color="auto"/>
        <w:bottom w:val="none" w:sz="0" w:space="0" w:color="auto"/>
        <w:right w:val="none" w:sz="0" w:space="0" w:color="auto"/>
      </w:divBdr>
    </w:div>
    <w:div w:id="1108770092">
      <w:marLeft w:val="0"/>
      <w:marRight w:val="0"/>
      <w:marTop w:val="80"/>
      <w:marBottom w:val="100"/>
      <w:divBdr>
        <w:top w:val="none" w:sz="0" w:space="0" w:color="auto"/>
        <w:left w:val="none" w:sz="0" w:space="0" w:color="auto"/>
        <w:bottom w:val="none" w:sz="0" w:space="0" w:color="auto"/>
        <w:right w:val="none" w:sz="0" w:space="0" w:color="auto"/>
      </w:divBdr>
    </w:div>
    <w:div w:id="1109159781">
      <w:marLeft w:val="0"/>
      <w:marRight w:val="0"/>
      <w:marTop w:val="180"/>
      <w:marBottom w:val="0"/>
      <w:divBdr>
        <w:top w:val="none" w:sz="0" w:space="0" w:color="auto"/>
        <w:left w:val="none" w:sz="0" w:space="0" w:color="auto"/>
        <w:bottom w:val="none" w:sz="0" w:space="0" w:color="auto"/>
        <w:right w:val="none" w:sz="0" w:space="0" w:color="auto"/>
      </w:divBdr>
    </w:div>
    <w:div w:id="1109474288">
      <w:marLeft w:val="0"/>
      <w:marRight w:val="0"/>
      <w:marTop w:val="180"/>
      <w:marBottom w:val="100"/>
      <w:divBdr>
        <w:top w:val="none" w:sz="0" w:space="0" w:color="auto"/>
        <w:left w:val="none" w:sz="0" w:space="0" w:color="auto"/>
        <w:bottom w:val="none" w:sz="0" w:space="0" w:color="auto"/>
        <w:right w:val="none" w:sz="0" w:space="0" w:color="auto"/>
      </w:divBdr>
    </w:div>
    <w:div w:id="1109663153">
      <w:marLeft w:val="0"/>
      <w:marRight w:val="0"/>
      <w:marTop w:val="180"/>
      <w:marBottom w:val="0"/>
      <w:divBdr>
        <w:top w:val="none" w:sz="0" w:space="0" w:color="auto"/>
        <w:left w:val="none" w:sz="0" w:space="0" w:color="auto"/>
        <w:bottom w:val="none" w:sz="0" w:space="0" w:color="auto"/>
        <w:right w:val="none" w:sz="0" w:space="0" w:color="auto"/>
      </w:divBdr>
    </w:div>
    <w:div w:id="1112750049">
      <w:marLeft w:val="0"/>
      <w:marRight w:val="0"/>
      <w:marTop w:val="0"/>
      <w:marBottom w:val="100"/>
      <w:divBdr>
        <w:top w:val="none" w:sz="0" w:space="0" w:color="auto"/>
        <w:left w:val="none" w:sz="0" w:space="0" w:color="auto"/>
        <w:bottom w:val="none" w:sz="0" w:space="0" w:color="auto"/>
        <w:right w:val="none" w:sz="0" w:space="0" w:color="auto"/>
      </w:divBdr>
    </w:div>
    <w:div w:id="1116943602">
      <w:marLeft w:val="0"/>
      <w:marRight w:val="0"/>
      <w:marTop w:val="0"/>
      <w:marBottom w:val="0"/>
      <w:divBdr>
        <w:top w:val="none" w:sz="0" w:space="0" w:color="auto"/>
        <w:left w:val="none" w:sz="0" w:space="0" w:color="auto"/>
        <w:bottom w:val="none" w:sz="0" w:space="0" w:color="auto"/>
        <w:right w:val="none" w:sz="0" w:space="0" w:color="auto"/>
      </w:divBdr>
    </w:div>
    <w:div w:id="1132165824">
      <w:marLeft w:val="0"/>
      <w:marRight w:val="0"/>
      <w:marTop w:val="180"/>
      <w:marBottom w:val="100"/>
      <w:divBdr>
        <w:top w:val="none" w:sz="0" w:space="0" w:color="auto"/>
        <w:left w:val="none" w:sz="0" w:space="0" w:color="auto"/>
        <w:bottom w:val="none" w:sz="0" w:space="0" w:color="auto"/>
        <w:right w:val="none" w:sz="0" w:space="0" w:color="auto"/>
      </w:divBdr>
    </w:div>
    <w:div w:id="1133018564">
      <w:marLeft w:val="0"/>
      <w:marRight w:val="0"/>
      <w:marTop w:val="180"/>
      <w:marBottom w:val="0"/>
      <w:divBdr>
        <w:top w:val="none" w:sz="0" w:space="0" w:color="auto"/>
        <w:left w:val="none" w:sz="0" w:space="0" w:color="auto"/>
        <w:bottom w:val="none" w:sz="0" w:space="0" w:color="auto"/>
        <w:right w:val="none" w:sz="0" w:space="0" w:color="auto"/>
      </w:divBdr>
    </w:div>
    <w:div w:id="1142507590">
      <w:marLeft w:val="0"/>
      <w:marRight w:val="0"/>
      <w:marTop w:val="180"/>
      <w:marBottom w:val="0"/>
      <w:divBdr>
        <w:top w:val="none" w:sz="0" w:space="0" w:color="auto"/>
        <w:left w:val="none" w:sz="0" w:space="0" w:color="auto"/>
        <w:bottom w:val="none" w:sz="0" w:space="0" w:color="auto"/>
        <w:right w:val="none" w:sz="0" w:space="0" w:color="auto"/>
      </w:divBdr>
      <w:divsChild>
        <w:div w:id="1063917158">
          <w:marLeft w:val="0"/>
          <w:marRight w:val="0"/>
          <w:marTop w:val="0"/>
          <w:marBottom w:val="0"/>
          <w:divBdr>
            <w:top w:val="none" w:sz="0" w:space="0" w:color="auto"/>
            <w:left w:val="none" w:sz="0" w:space="0" w:color="auto"/>
            <w:bottom w:val="none" w:sz="0" w:space="0" w:color="auto"/>
            <w:right w:val="none" w:sz="0" w:space="0" w:color="auto"/>
          </w:divBdr>
        </w:div>
        <w:div w:id="1608805655">
          <w:marLeft w:val="0"/>
          <w:marRight w:val="0"/>
          <w:marTop w:val="0"/>
          <w:marBottom w:val="0"/>
          <w:divBdr>
            <w:top w:val="none" w:sz="0" w:space="0" w:color="auto"/>
            <w:left w:val="none" w:sz="0" w:space="0" w:color="auto"/>
            <w:bottom w:val="none" w:sz="0" w:space="0" w:color="auto"/>
            <w:right w:val="none" w:sz="0" w:space="0" w:color="auto"/>
          </w:divBdr>
        </w:div>
        <w:div w:id="884373921">
          <w:marLeft w:val="0"/>
          <w:marRight w:val="0"/>
          <w:marTop w:val="0"/>
          <w:marBottom w:val="0"/>
          <w:divBdr>
            <w:top w:val="none" w:sz="0" w:space="0" w:color="auto"/>
            <w:left w:val="none" w:sz="0" w:space="0" w:color="auto"/>
            <w:bottom w:val="none" w:sz="0" w:space="0" w:color="auto"/>
            <w:right w:val="none" w:sz="0" w:space="0" w:color="auto"/>
          </w:divBdr>
        </w:div>
        <w:div w:id="916018573">
          <w:marLeft w:val="0"/>
          <w:marRight w:val="0"/>
          <w:marTop w:val="0"/>
          <w:marBottom w:val="0"/>
          <w:divBdr>
            <w:top w:val="none" w:sz="0" w:space="0" w:color="auto"/>
            <w:left w:val="none" w:sz="0" w:space="0" w:color="auto"/>
            <w:bottom w:val="none" w:sz="0" w:space="0" w:color="auto"/>
            <w:right w:val="none" w:sz="0" w:space="0" w:color="auto"/>
          </w:divBdr>
        </w:div>
      </w:divsChild>
    </w:div>
    <w:div w:id="1146437226">
      <w:marLeft w:val="0"/>
      <w:marRight w:val="0"/>
      <w:marTop w:val="0"/>
      <w:marBottom w:val="0"/>
      <w:divBdr>
        <w:top w:val="none" w:sz="0" w:space="0" w:color="auto"/>
        <w:left w:val="none" w:sz="0" w:space="0" w:color="auto"/>
        <w:bottom w:val="none" w:sz="0" w:space="0" w:color="auto"/>
        <w:right w:val="none" w:sz="0" w:space="0" w:color="auto"/>
      </w:divBdr>
      <w:divsChild>
        <w:div w:id="1152983808">
          <w:marLeft w:val="0"/>
          <w:marRight w:val="0"/>
          <w:marTop w:val="0"/>
          <w:marBottom w:val="100"/>
          <w:divBdr>
            <w:top w:val="none" w:sz="0" w:space="0" w:color="auto"/>
            <w:left w:val="none" w:sz="0" w:space="0" w:color="auto"/>
            <w:bottom w:val="none" w:sz="0" w:space="0" w:color="auto"/>
            <w:right w:val="none" w:sz="0" w:space="0" w:color="auto"/>
          </w:divBdr>
        </w:div>
      </w:divsChild>
    </w:div>
    <w:div w:id="1149320132">
      <w:marLeft w:val="0"/>
      <w:marRight w:val="0"/>
      <w:marTop w:val="0"/>
      <w:marBottom w:val="0"/>
      <w:divBdr>
        <w:top w:val="none" w:sz="0" w:space="0" w:color="auto"/>
        <w:left w:val="none" w:sz="0" w:space="0" w:color="auto"/>
        <w:bottom w:val="none" w:sz="0" w:space="0" w:color="auto"/>
        <w:right w:val="none" w:sz="0" w:space="0" w:color="auto"/>
      </w:divBdr>
      <w:divsChild>
        <w:div w:id="1819685436">
          <w:marLeft w:val="0"/>
          <w:marRight w:val="0"/>
          <w:marTop w:val="0"/>
          <w:marBottom w:val="100"/>
          <w:divBdr>
            <w:top w:val="none" w:sz="0" w:space="0" w:color="auto"/>
            <w:left w:val="none" w:sz="0" w:space="0" w:color="auto"/>
            <w:bottom w:val="none" w:sz="0" w:space="0" w:color="auto"/>
            <w:right w:val="none" w:sz="0" w:space="0" w:color="auto"/>
          </w:divBdr>
        </w:div>
      </w:divsChild>
    </w:div>
    <w:div w:id="1157066801">
      <w:marLeft w:val="0"/>
      <w:marRight w:val="0"/>
      <w:marTop w:val="0"/>
      <w:marBottom w:val="100"/>
      <w:divBdr>
        <w:top w:val="none" w:sz="0" w:space="0" w:color="auto"/>
        <w:left w:val="none" w:sz="0" w:space="0" w:color="auto"/>
        <w:bottom w:val="none" w:sz="0" w:space="0" w:color="auto"/>
        <w:right w:val="none" w:sz="0" w:space="0" w:color="auto"/>
      </w:divBdr>
    </w:div>
    <w:div w:id="1157838243">
      <w:marLeft w:val="0"/>
      <w:marRight w:val="0"/>
      <w:marTop w:val="0"/>
      <w:marBottom w:val="100"/>
      <w:divBdr>
        <w:top w:val="none" w:sz="0" w:space="0" w:color="auto"/>
        <w:left w:val="none" w:sz="0" w:space="0" w:color="auto"/>
        <w:bottom w:val="none" w:sz="0" w:space="0" w:color="auto"/>
        <w:right w:val="none" w:sz="0" w:space="0" w:color="auto"/>
      </w:divBdr>
    </w:div>
    <w:div w:id="1159660271">
      <w:marLeft w:val="0"/>
      <w:marRight w:val="0"/>
      <w:marTop w:val="0"/>
      <w:marBottom w:val="0"/>
      <w:divBdr>
        <w:top w:val="none" w:sz="0" w:space="0" w:color="auto"/>
        <w:left w:val="none" w:sz="0" w:space="0" w:color="auto"/>
        <w:bottom w:val="none" w:sz="0" w:space="0" w:color="auto"/>
        <w:right w:val="none" w:sz="0" w:space="0" w:color="auto"/>
      </w:divBdr>
    </w:div>
    <w:div w:id="1161002295">
      <w:marLeft w:val="0"/>
      <w:marRight w:val="0"/>
      <w:marTop w:val="180"/>
      <w:marBottom w:val="120"/>
      <w:divBdr>
        <w:top w:val="none" w:sz="0" w:space="0" w:color="auto"/>
        <w:left w:val="none" w:sz="0" w:space="0" w:color="auto"/>
        <w:bottom w:val="none" w:sz="0" w:space="0" w:color="auto"/>
        <w:right w:val="none" w:sz="0" w:space="0" w:color="auto"/>
      </w:divBdr>
    </w:div>
    <w:div w:id="1162549882">
      <w:marLeft w:val="0"/>
      <w:marRight w:val="0"/>
      <w:marTop w:val="100"/>
      <w:marBottom w:val="100"/>
      <w:divBdr>
        <w:top w:val="none" w:sz="0" w:space="0" w:color="auto"/>
        <w:left w:val="none" w:sz="0" w:space="0" w:color="auto"/>
        <w:bottom w:val="none" w:sz="0" w:space="0" w:color="auto"/>
        <w:right w:val="none" w:sz="0" w:space="0" w:color="auto"/>
      </w:divBdr>
    </w:div>
    <w:div w:id="1166634056">
      <w:marLeft w:val="0"/>
      <w:marRight w:val="0"/>
      <w:marTop w:val="180"/>
      <w:marBottom w:val="0"/>
      <w:divBdr>
        <w:top w:val="none" w:sz="0" w:space="0" w:color="auto"/>
        <w:left w:val="none" w:sz="0" w:space="0" w:color="auto"/>
        <w:bottom w:val="none" w:sz="0" w:space="0" w:color="auto"/>
        <w:right w:val="none" w:sz="0" w:space="0" w:color="auto"/>
      </w:divBdr>
    </w:div>
    <w:div w:id="1168208354">
      <w:marLeft w:val="0"/>
      <w:marRight w:val="0"/>
      <w:marTop w:val="0"/>
      <w:marBottom w:val="0"/>
      <w:divBdr>
        <w:top w:val="none" w:sz="0" w:space="0" w:color="auto"/>
        <w:left w:val="none" w:sz="0" w:space="0" w:color="auto"/>
        <w:bottom w:val="none" w:sz="0" w:space="0" w:color="auto"/>
        <w:right w:val="none" w:sz="0" w:space="0" w:color="auto"/>
      </w:divBdr>
      <w:divsChild>
        <w:div w:id="1880631911">
          <w:marLeft w:val="0"/>
          <w:marRight w:val="0"/>
          <w:marTop w:val="0"/>
          <w:marBottom w:val="100"/>
          <w:divBdr>
            <w:top w:val="none" w:sz="0" w:space="0" w:color="auto"/>
            <w:left w:val="none" w:sz="0" w:space="0" w:color="auto"/>
            <w:bottom w:val="none" w:sz="0" w:space="0" w:color="auto"/>
            <w:right w:val="none" w:sz="0" w:space="0" w:color="auto"/>
          </w:divBdr>
        </w:div>
      </w:divsChild>
    </w:div>
    <w:div w:id="1169054792">
      <w:marLeft w:val="0"/>
      <w:marRight w:val="0"/>
      <w:marTop w:val="100"/>
      <w:marBottom w:val="100"/>
      <w:divBdr>
        <w:top w:val="none" w:sz="0" w:space="0" w:color="auto"/>
        <w:left w:val="none" w:sz="0" w:space="0" w:color="auto"/>
        <w:bottom w:val="none" w:sz="0" w:space="0" w:color="auto"/>
        <w:right w:val="none" w:sz="0" w:space="0" w:color="auto"/>
      </w:divBdr>
    </w:div>
    <w:div w:id="1169253961">
      <w:marLeft w:val="0"/>
      <w:marRight w:val="0"/>
      <w:marTop w:val="0"/>
      <w:marBottom w:val="0"/>
      <w:divBdr>
        <w:top w:val="none" w:sz="0" w:space="0" w:color="auto"/>
        <w:left w:val="none" w:sz="0" w:space="0" w:color="auto"/>
        <w:bottom w:val="none" w:sz="0" w:space="0" w:color="auto"/>
        <w:right w:val="none" w:sz="0" w:space="0" w:color="auto"/>
      </w:divBdr>
      <w:divsChild>
        <w:div w:id="742265015">
          <w:marLeft w:val="0"/>
          <w:marRight w:val="0"/>
          <w:marTop w:val="0"/>
          <w:marBottom w:val="100"/>
          <w:divBdr>
            <w:top w:val="none" w:sz="0" w:space="0" w:color="auto"/>
            <w:left w:val="none" w:sz="0" w:space="0" w:color="auto"/>
            <w:bottom w:val="none" w:sz="0" w:space="0" w:color="auto"/>
            <w:right w:val="none" w:sz="0" w:space="0" w:color="auto"/>
          </w:divBdr>
        </w:div>
      </w:divsChild>
    </w:div>
    <w:div w:id="1179386989">
      <w:marLeft w:val="0"/>
      <w:marRight w:val="0"/>
      <w:marTop w:val="180"/>
      <w:marBottom w:val="0"/>
      <w:divBdr>
        <w:top w:val="none" w:sz="0" w:space="0" w:color="auto"/>
        <w:left w:val="none" w:sz="0" w:space="0" w:color="auto"/>
        <w:bottom w:val="none" w:sz="0" w:space="0" w:color="auto"/>
        <w:right w:val="none" w:sz="0" w:space="0" w:color="auto"/>
      </w:divBdr>
    </w:div>
    <w:div w:id="1183133695">
      <w:marLeft w:val="0"/>
      <w:marRight w:val="0"/>
      <w:marTop w:val="180"/>
      <w:marBottom w:val="0"/>
      <w:divBdr>
        <w:top w:val="none" w:sz="0" w:space="0" w:color="auto"/>
        <w:left w:val="none" w:sz="0" w:space="0" w:color="auto"/>
        <w:bottom w:val="none" w:sz="0" w:space="0" w:color="auto"/>
        <w:right w:val="none" w:sz="0" w:space="0" w:color="auto"/>
      </w:divBdr>
    </w:div>
    <w:div w:id="1183280630">
      <w:marLeft w:val="0"/>
      <w:marRight w:val="0"/>
      <w:marTop w:val="0"/>
      <w:marBottom w:val="100"/>
      <w:divBdr>
        <w:top w:val="none" w:sz="0" w:space="0" w:color="auto"/>
        <w:left w:val="none" w:sz="0" w:space="0" w:color="auto"/>
        <w:bottom w:val="none" w:sz="0" w:space="0" w:color="auto"/>
        <w:right w:val="none" w:sz="0" w:space="0" w:color="auto"/>
      </w:divBdr>
    </w:div>
    <w:div w:id="1189759384">
      <w:marLeft w:val="0"/>
      <w:marRight w:val="0"/>
      <w:marTop w:val="0"/>
      <w:marBottom w:val="100"/>
      <w:divBdr>
        <w:top w:val="none" w:sz="0" w:space="0" w:color="auto"/>
        <w:left w:val="none" w:sz="0" w:space="0" w:color="auto"/>
        <w:bottom w:val="none" w:sz="0" w:space="0" w:color="auto"/>
        <w:right w:val="none" w:sz="0" w:space="0" w:color="auto"/>
      </w:divBdr>
    </w:div>
    <w:div w:id="1191993231">
      <w:marLeft w:val="0"/>
      <w:marRight w:val="0"/>
      <w:marTop w:val="180"/>
      <w:marBottom w:val="0"/>
      <w:divBdr>
        <w:top w:val="none" w:sz="0" w:space="0" w:color="auto"/>
        <w:left w:val="none" w:sz="0" w:space="0" w:color="auto"/>
        <w:bottom w:val="none" w:sz="0" w:space="0" w:color="auto"/>
        <w:right w:val="none" w:sz="0" w:space="0" w:color="auto"/>
      </w:divBdr>
    </w:div>
    <w:div w:id="1192457565">
      <w:marLeft w:val="0"/>
      <w:marRight w:val="0"/>
      <w:marTop w:val="180"/>
      <w:marBottom w:val="0"/>
      <w:divBdr>
        <w:top w:val="none" w:sz="0" w:space="0" w:color="auto"/>
        <w:left w:val="none" w:sz="0" w:space="0" w:color="auto"/>
        <w:bottom w:val="none" w:sz="0" w:space="0" w:color="auto"/>
        <w:right w:val="none" w:sz="0" w:space="0" w:color="auto"/>
      </w:divBdr>
    </w:div>
    <w:div w:id="1192918694">
      <w:marLeft w:val="0"/>
      <w:marRight w:val="0"/>
      <w:marTop w:val="0"/>
      <w:marBottom w:val="0"/>
      <w:divBdr>
        <w:top w:val="none" w:sz="0" w:space="0" w:color="auto"/>
        <w:left w:val="none" w:sz="0" w:space="0" w:color="auto"/>
        <w:bottom w:val="none" w:sz="0" w:space="0" w:color="auto"/>
        <w:right w:val="none" w:sz="0" w:space="0" w:color="auto"/>
      </w:divBdr>
    </w:div>
    <w:div w:id="1193375532">
      <w:marLeft w:val="0"/>
      <w:marRight w:val="0"/>
      <w:marTop w:val="0"/>
      <w:marBottom w:val="0"/>
      <w:divBdr>
        <w:top w:val="none" w:sz="0" w:space="0" w:color="auto"/>
        <w:left w:val="none" w:sz="0" w:space="0" w:color="auto"/>
        <w:bottom w:val="none" w:sz="0" w:space="0" w:color="auto"/>
        <w:right w:val="none" w:sz="0" w:space="0" w:color="auto"/>
      </w:divBdr>
      <w:divsChild>
        <w:div w:id="1814523243">
          <w:marLeft w:val="0"/>
          <w:marRight w:val="0"/>
          <w:marTop w:val="0"/>
          <w:marBottom w:val="0"/>
          <w:divBdr>
            <w:top w:val="none" w:sz="0" w:space="0" w:color="auto"/>
            <w:left w:val="none" w:sz="0" w:space="0" w:color="auto"/>
            <w:bottom w:val="none" w:sz="0" w:space="0" w:color="auto"/>
            <w:right w:val="none" w:sz="0" w:space="0" w:color="auto"/>
          </w:divBdr>
        </w:div>
      </w:divsChild>
    </w:div>
    <w:div w:id="1201363089">
      <w:marLeft w:val="0"/>
      <w:marRight w:val="0"/>
      <w:marTop w:val="0"/>
      <w:marBottom w:val="0"/>
      <w:divBdr>
        <w:top w:val="none" w:sz="0" w:space="0" w:color="auto"/>
        <w:left w:val="none" w:sz="0" w:space="0" w:color="auto"/>
        <w:bottom w:val="none" w:sz="0" w:space="0" w:color="auto"/>
        <w:right w:val="none" w:sz="0" w:space="0" w:color="auto"/>
      </w:divBdr>
      <w:divsChild>
        <w:div w:id="2083018606">
          <w:marLeft w:val="0"/>
          <w:marRight w:val="0"/>
          <w:marTop w:val="0"/>
          <w:marBottom w:val="0"/>
          <w:divBdr>
            <w:top w:val="none" w:sz="0" w:space="0" w:color="auto"/>
            <w:left w:val="none" w:sz="0" w:space="0" w:color="auto"/>
            <w:bottom w:val="none" w:sz="0" w:space="0" w:color="auto"/>
            <w:right w:val="none" w:sz="0" w:space="0" w:color="auto"/>
          </w:divBdr>
          <w:divsChild>
            <w:div w:id="6077352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10655183">
      <w:marLeft w:val="0"/>
      <w:marRight w:val="0"/>
      <w:marTop w:val="0"/>
      <w:marBottom w:val="0"/>
      <w:divBdr>
        <w:top w:val="none" w:sz="0" w:space="0" w:color="auto"/>
        <w:left w:val="none" w:sz="0" w:space="0" w:color="auto"/>
        <w:bottom w:val="none" w:sz="0" w:space="0" w:color="auto"/>
        <w:right w:val="none" w:sz="0" w:space="0" w:color="auto"/>
      </w:divBdr>
    </w:div>
    <w:div w:id="1211722844">
      <w:marLeft w:val="0"/>
      <w:marRight w:val="0"/>
      <w:marTop w:val="100"/>
      <w:marBottom w:val="100"/>
      <w:divBdr>
        <w:top w:val="none" w:sz="0" w:space="0" w:color="auto"/>
        <w:left w:val="none" w:sz="0" w:space="0" w:color="auto"/>
        <w:bottom w:val="none" w:sz="0" w:space="0" w:color="auto"/>
        <w:right w:val="none" w:sz="0" w:space="0" w:color="auto"/>
      </w:divBdr>
    </w:div>
    <w:div w:id="1219055610">
      <w:marLeft w:val="0"/>
      <w:marRight w:val="0"/>
      <w:marTop w:val="0"/>
      <w:marBottom w:val="0"/>
      <w:divBdr>
        <w:top w:val="none" w:sz="0" w:space="0" w:color="auto"/>
        <w:left w:val="none" w:sz="0" w:space="0" w:color="auto"/>
        <w:bottom w:val="none" w:sz="0" w:space="0" w:color="auto"/>
        <w:right w:val="none" w:sz="0" w:space="0" w:color="auto"/>
      </w:divBdr>
    </w:div>
    <w:div w:id="1220819949">
      <w:marLeft w:val="0"/>
      <w:marRight w:val="0"/>
      <w:marTop w:val="100"/>
      <w:marBottom w:val="0"/>
      <w:divBdr>
        <w:top w:val="none" w:sz="0" w:space="0" w:color="auto"/>
        <w:left w:val="none" w:sz="0" w:space="0" w:color="auto"/>
        <w:bottom w:val="none" w:sz="0" w:space="0" w:color="auto"/>
        <w:right w:val="none" w:sz="0" w:space="0" w:color="auto"/>
      </w:divBdr>
    </w:div>
    <w:div w:id="1223519931">
      <w:marLeft w:val="0"/>
      <w:marRight w:val="0"/>
      <w:marTop w:val="180"/>
      <w:marBottom w:val="0"/>
      <w:divBdr>
        <w:top w:val="none" w:sz="0" w:space="0" w:color="auto"/>
        <w:left w:val="none" w:sz="0" w:space="0" w:color="auto"/>
        <w:bottom w:val="none" w:sz="0" w:space="0" w:color="auto"/>
        <w:right w:val="none" w:sz="0" w:space="0" w:color="auto"/>
      </w:divBdr>
    </w:div>
    <w:div w:id="1224683553">
      <w:marLeft w:val="0"/>
      <w:marRight w:val="0"/>
      <w:marTop w:val="0"/>
      <w:marBottom w:val="0"/>
      <w:divBdr>
        <w:top w:val="none" w:sz="0" w:space="0" w:color="auto"/>
        <w:left w:val="none" w:sz="0" w:space="0" w:color="auto"/>
        <w:bottom w:val="none" w:sz="0" w:space="0" w:color="auto"/>
        <w:right w:val="none" w:sz="0" w:space="0" w:color="auto"/>
      </w:divBdr>
    </w:div>
    <w:div w:id="1230767127">
      <w:marLeft w:val="0"/>
      <w:marRight w:val="0"/>
      <w:marTop w:val="100"/>
      <w:marBottom w:val="100"/>
      <w:divBdr>
        <w:top w:val="none" w:sz="0" w:space="0" w:color="auto"/>
        <w:left w:val="none" w:sz="0" w:space="0" w:color="auto"/>
        <w:bottom w:val="none" w:sz="0" w:space="0" w:color="auto"/>
        <w:right w:val="none" w:sz="0" w:space="0" w:color="auto"/>
      </w:divBdr>
    </w:div>
    <w:div w:id="1240940399">
      <w:marLeft w:val="0"/>
      <w:marRight w:val="0"/>
      <w:marTop w:val="180"/>
      <w:marBottom w:val="0"/>
      <w:divBdr>
        <w:top w:val="none" w:sz="0" w:space="0" w:color="auto"/>
        <w:left w:val="none" w:sz="0" w:space="0" w:color="auto"/>
        <w:bottom w:val="none" w:sz="0" w:space="0" w:color="auto"/>
        <w:right w:val="none" w:sz="0" w:space="0" w:color="auto"/>
      </w:divBdr>
    </w:div>
    <w:div w:id="1243611617">
      <w:marLeft w:val="0"/>
      <w:marRight w:val="0"/>
      <w:marTop w:val="0"/>
      <w:marBottom w:val="0"/>
      <w:divBdr>
        <w:top w:val="none" w:sz="0" w:space="0" w:color="auto"/>
        <w:left w:val="none" w:sz="0" w:space="0" w:color="auto"/>
        <w:bottom w:val="none" w:sz="0" w:space="0" w:color="auto"/>
        <w:right w:val="none" w:sz="0" w:space="0" w:color="auto"/>
      </w:divBdr>
      <w:divsChild>
        <w:div w:id="1065378731">
          <w:marLeft w:val="0"/>
          <w:marRight w:val="0"/>
          <w:marTop w:val="0"/>
          <w:marBottom w:val="100"/>
          <w:divBdr>
            <w:top w:val="none" w:sz="0" w:space="0" w:color="auto"/>
            <w:left w:val="none" w:sz="0" w:space="0" w:color="auto"/>
            <w:bottom w:val="none" w:sz="0" w:space="0" w:color="auto"/>
            <w:right w:val="none" w:sz="0" w:space="0" w:color="auto"/>
          </w:divBdr>
        </w:div>
      </w:divsChild>
    </w:div>
    <w:div w:id="1248731892">
      <w:marLeft w:val="0"/>
      <w:marRight w:val="0"/>
      <w:marTop w:val="0"/>
      <w:marBottom w:val="100"/>
      <w:divBdr>
        <w:top w:val="none" w:sz="0" w:space="0" w:color="auto"/>
        <w:left w:val="none" w:sz="0" w:space="0" w:color="auto"/>
        <w:bottom w:val="none" w:sz="0" w:space="0" w:color="auto"/>
        <w:right w:val="none" w:sz="0" w:space="0" w:color="auto"/>
      </w:divBdr>
      <w:divsChild>
        <w:div w:id="2064013960">
          <w:marLeft w:val="0"/>
          <w:marRight w:val="0"/>
          <w:marTop w:val="0"/>
          <w:marBottom w:val="0"/>
          <w:divBdr>
            <w:top w:val="none" w:sz="0" w:space="0" w:color="auto"/>
            <w:left w:val="none" w:sz="0" w:space="0" w:color="auto"/>
            <w:bottom w:val="none" w:sz="0" w:space="0" w:color="auto"/>
            <w:right w:val="none" w:sz="0" w:space="0" w:color="auto"/>
          </w:divBdr>
        </w:div>
      </w:divsChild>
    </w:div>
    <w:div w:id="1249924277">
      <w:marLeft w:val="0"/>
      <w:marRight w:val="0"/>
      <w:marTop w:val="0"/>
      <w:marBottom w:val="0"/>
      <w:divBdr>
        <w:top w:val="none" w:sz="0" w:space="0" w:color="auto"/>
        <w:left w:val="none" w:sz="0" w:space="0" w:color="auto"/>
        <w:bottom w:val="none" w:sz="0" w:space="0" w:color="auto"/>
        <w:right w:val="none" w:sz="0" w:space="0" w:color="auto"/>
      </w:divBdr>
    </w:div>
    <w:div w:id="1263227699">
      <w:marLeft w:val="0"/>
      <w:marRight w:val="0"/>
      <w:marTop w:val="0"/>
      <w:marBottom w:val="0"/>
      <w:divBdr>
        <w:top w:val="none" w:sz="0" w:space="0" w:color="auto"/>
        <w:left w:val="none" w:sz="0" w:space="0" w:color="auto"/>
        <w:bottom w:val="none" w:sz="0" w:space="0" w:color="auto"/>
        <w:right w:val="none" w:sz="0" w:space="0" w:color="auto"/>
      </w:divBdr>
      <w:divsChild>
        <w:div w:id="489904523">
          <w:marLeft w:val="0"/>
          <w:marRight w:val="0"/>
          <w:marTop w:val="0"/>
          <w:marBottom w:val="0"/>
          <w:divBdr>
            <w:top w:val="none" w:sz="0" w:space="0" w:color="auto"/>
            <w:left w:val="none" w:sz="0" w:space="0" w:color="auto"/>
            <w:bottom w:val="none" w:sz="0" w:space="0" w:color="auto"/>
            <w:right w:val="none" w:sz="0" w:space="0" w:color="auto"/>
          </w:divBdr>
          <w:divsChild>
            <w:div w:id="11951881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64846741">
      <w:marLeft w:val="0"/>
      <w:marRight w:val="0"/>
      <w:marTop w:val="0"/>
      <w:marBottom w:val="0"/>
      <w:divBdr>
        <w:top w:val="none" w:sz="0" w:space="0" w:color="auto"/>
        <w:left w:val="none" w:sz="0" w:space="0" w:color="auto"/>
        <w:bottom w:val="none" w:sz="0" w:space="0" w:color="auto"/>
        <w:right w:val="none" w:sz="0" w:space="0" w:color="auto"/>
      </w:divBdr>
    </w:div>
    <w:div w:id="1265576383">
      <w:marLeft w:val="0"/>
      <w:marRight w:val="0"/>
      <w:marTop w:val="0"/>
      <w:marBottom w:val="100"/>
      <w:divBdr>
        <w:top w:val="none" w:sz="0" w:space="0" w:color="auto"/>
        <w:left w:val="none" w:sz="0" w:space="0" w:color="auto"/>
        <w:bottom w:val="none" w:sz="0" w:space="0" w:color="auto"/>
        <w:right w:val="none" w:sz="0" w:space="0" w:color="auto"/>
      </w:divBdr>
    </w:div>
    <w:div w:id="1266033831">
      <w:marLeft w:val="0"/>
      <w:marRight w:val="0"/>
      <w:marTop w:val="0"/>
      <w:marBottom w:val="100"/>
      <w:divBdr>
        <w:top w:val="none" w:sz="0" w:space="0" w:color="auto"/>
        <w:left w:val="none" w:sz="0" w:space="0" w:color="auto"/>
        <w:bottom w:val="none" w:sz="0" w:space="0" w:color="auto"/>
        <w:right w:val="none" w:sz="0" w:space="0" w:color="auto"/>
      </w:divBdr>
    </w:div>
    <w:div w:id="1266228508">
      <w:marLeft w:val="0"/>
      <w:marRight w:val="0"/>
      <w:marTop w:val="100"/>
      <w:marBottom w:val="100"/>
      <w:divBdr>
        <w:top w:val="none" w:sz="0" w:space="0" w:color="auto"/>
        <w:left w:val="none" w:sz="0" w:space="0" w:color="auto"/>
        <w:bottom w:val="none" w:sz="0" w:space="0" w:color="auto"/>
        <w:right w:val="none" w:sz="0" w:space="0" w:color="auto"/>
      </w:divBdr>
    </w:div>
    <w:div w:id="1270315695">
      <w:marLeft w:val="0"/>
      <w:marRight w:val="0"/>
      <w:marTop w:val="100"/>
      <w:marBottom w:val="0"/>
      <w:divBdr>
        <w:top w:val="none" w:sz="0" w:space="0" w:color="auto"/>
        <w:left w:val="none" w:sz="0" w:space="0" w:color="auto"/>
        <w:bottom w:val="none" w:sz="0" w:space="0" w:color="auto"/>
        <w:right w:val="none" w:sz="0" w:space="0" w:color="auto"/>
      </w:divBdr>
    </w:div>
    <w:div w:id="1272516327">
      <w:marLeft w:val="0"/>
      <w:marRight w:val="0"/>
      <w:marTop w:val="180"/>
      <w:marBottom w:val="0"/>
      <w:divBdr>
        <w:top w:val="none" w:sz="0" w:space="0" w:color="auto"/>
        <w:left w:val="none" w:sz="0" w:space="0" w:color="auto"/>
        <w:bottom w:val="none" w:sz="0" w:space="0" w:color="auto"/>
        <w:right w:val="none" w:sz="0" w:space="0" w:color="auto"/>
      </w:divBdr>
    </w:div>
    <w:div w:id="1273245610">
      <w:marLeft w:val="0"/>
      <w:marRight w:val="0"/>
      <w:marTop w:val="0"/>
      <w:marBottom w:val="0"/>
      <w:divBdr>
        <w:top w:val="none" w:sz="0" w:space="0" w:color="auto"/>
        <w:left w:val="none" w:sz="0" w:space="0" w:color="auto"/>
        <w:bottom w:val="none" w:sz="0" w:space="0" w:color="auto"/>
        <w:right w:val="none" w:sz="0" w:space="0" w:color="auto"/>
      </w:divBdr>
    </w:div>
    <w:div w:id="1274744871">
      <w:marLeft w:val="0"/>
      <w:marRight w:val="0"/>
      <w:marTop w:val="180"/>
      <w:marBottom w:val="0"/>
      <w:divBdr>
        <w:top w:val="none" w:sz="0" w:space="0" w:color="auto"/>
        <w:left w:val="none" w:sz="0" w:space="0" w:color="auto"/>
        <w:bottom w:val="none" w:sz="0" w:space="0" w:color="auto"/>
        <w:right w:val="none" w:sz="0" w:space="0" w:color="auto"/>
      </w:divBdr>
    </w:div>
    <w:div w:id="1274943960">
      <w:marLeft w:val="0"/>
      <w:marRight w:val="0"/>
      <w:marTop w:val="100"/>
      <w:marBottom w:val="100"/>
      <w:divBdr>
        <w:top w:val="none" w:sz="0" w:space="0" w:color="auto"/>
        <w:left w:val="none" w:sz="0" w:space="0" w:color="auto"/>
        <w:bottom w:val="none" w:sz="0" w:space="0" w:color="auto"/>
        <w:right w:val="none" w:sz="0" w:space="0" w:color="auto"/>
      </w:divBdr>
    </w:div>
    <w:div w:id="1275750749">
      <w:marLeft w:val="0"/>
      <w:marRight w:val="0"/>
      <w:marTop w:val="0"/>
      <w:marBottom w:val="100"/>
      <w:divBdr>
        <w:top w:val="none" w:sz="0" w:space="0" w:color="auto"/>
        <w:left w:val="none" w:sz="0" w:space="0" w:color="auto"/>
        <w:bottom w:val="none" w:sz="0" w:space="0" w:color="auto"/>
        <w:right w:val="none" w:sz="0" w:space="0" w:color="auto"/>
      </w:divBdr>
    </w:div>
    <w:div w:id="1278413356">
      <w:marLeft w:val="0"/>
      <w:marRight w:val="0"/>
      <w:marTop w:val="0"/>
      <w:marBottom w:val="0"/>
      <w:divBdr>
        <w:top w:val="none" w:sz="0" w:space="0" w:color="auto"/>
        <w:left w:val="none" w:sz="0" w:space="0" w:color="auto"/>
        <w:bottom w:val="none" w:sz="0" w:space="0" w:color="auto"/>
        <w:right w:val="none" w:sz="0" w:space="0" w:color="auto"/>
      </w:divBdr>
    </w:div>
    <w:div w:id="1287812163">
      <w:marLeft w:val="0"/>
      <w:marRight w:val="0"/>
      <w:marTop w:val="100"/>
      <w:marBottom w:val="100"/>
      <w:divBdr>
        <w:top w:val="none" w:sz="0" w:space="0" w:color="auto"/>
        <w:left w:val="none" w:sz="0" w:space="0" w:color="auto"/>
        <w:bottom w:val="none" w:sz="0" w:space="0" w:color="auto"/>
        <w:right w:val="none" w:sz="0" w:space="0" w:color="auto"/>
      </w:divBdr>
      <w:divsChild>
        <w:div w:id="1874541090">
          <w:marLeft w:val="0"/>
          <w:marRight w:val="0"/>
          <w:marTop w:val="0"/>
          <w:marBottom w:val="0"/>
          <w:divBdr>
            <w:top w:val="none" w:sz="0" w:space="0" w:color="auto"/>
            <w:left w:val="none" w:sz="0" w:space="0" w:color="auto"/>
            <w:bottom w:val="none" w:sz="0" w:space="0" w:color="auto"/>
            <w:right w:val="none" w:sz="0" w:space="0" w:color="auto"/>
          </w:divBdr>
        </w:div>
        <w:div w:id="1359043376">
          <w:marLeft w:val="0"/>
          <w:marRight w:val="0"/>
          <w:marTop w:val="0"/>
          <w:marBottom w:val="0"/>
          <w:divBdr>
            <w:top w:val="none" w:sz="0" w:space="0" w:color="auto"/>
            <w:left w:val="none" w:sz="0" w:space="0" w:color="auto"/>
            <w:bottom w:val="none" w:sz="0" w:space="0" w:color="auto"/>
            <w:right w:val="none" w:sz="0" w:space="0" w:color="auto"/>
          </w:divBdr>
        </w:div>
        <w:div w:id="1787384563">
          <w:marLeft w:val="0"/>
          <w:marRight w:val="0"/>
          <w:marTop w:val="0"/>
          <w:marBottom w:val="0"/>
          <w:divBdr>
            <w:top w:val="none" w:sz="0" w:space="0" w:color="auto"/>
            <w:left w:val="none" w:sz="0" w:space="0" w:color="auto"/>
            <w:bottom w:val="none" w:sz="0" w:space="0" w:color="auto"/>
            <w:right w:val="none" w:sz="0" w:space="0" w:color="auto"/>
          </w:divBdr>
        </w:div>
        <w:div w:id="1172259478">
          <w:marLeft w:val="0"/>
          <w:marRight w:val="0"/>
          <w:marTop w:val="0"/>
          <w:marBottom w:val="0"/>
          <w:divBdr>
            <w:top w:val="none" w:sz="0" w:space="0" w:color="auto"/>
            <w:left w:val="none" w:sz="0" w:space="0" w:color="auto"/>
            <w:bottom w:val="none" w:sz="0" w:space="0" w:color="auto"/>
            <w:right w:val="none" w:sz="0" w:space="0" w:color="auto"/>
          </w:divBdr>
        </w:div>
        <w:div w:id="125271460">
          <w:marLeft w:val="0"/>
          <w:marRight w:val="0"/>
          <w:marTop w:val="0"/>
          <w:marBottom w:val="0"/>
          <w:divBdr>
            <w:top w:val="none" w:sz="0" w:space="0" w:color="auto"/>
            <w:left w:val="none" w:sz="0" w:space="0" w:color="auto"/>
            <w:bottom w:val="none" w:sz="0" w:space="0" w:color="auto"/>
            <w:right w:val="none" w:sz="0" w:space="0" w:color="auto"/>
          </w:divBdr>
        </w:div>
        <w:div w:id="470443243">
          <w:marLeft w:val="0"/>
          <w:marRight w:val="0"/>
          <w:marTop w:val="0"/>
          <w:marBottom w:val="0"/>
          <w:divBdr>
            <w:top w:val="none" w:sz="0" w:space="0" w:color="auto"/>
            <w:left w:val="none" w:sz="0" w:space="0" w:color="auto"/>
            <w:bottom w:val="none" w:sz="0" w:space="0" w:color="auto"/>
            <w:right w:val="none" w:sz="0" w:space="0" w:color="auto"/>
          </w:divBdr>
        </w:div>
      </w:divsChild>
    </w:div>
    <w:div w:id="1290358131">
      <w:marLeft w:val="0"/>
      <w:marRight w:val="0"/>
      <w:marTop w:val="0"/>
      <w:marBottom w:val="0"/>
      <w:divBdr>
        <w:top w:val="none" w:sz="0" w:space="0" w:color="auto"/>
        <w:left w:val="none" w:sz="0" w:space="0" w:color="auto"/>
        <w:bottom w:val="none" w:sz="0" w:space="0" w:color="auto"/>
        <w:right w:val="none" w:sz="0" w:space="0" w:color="auto"/>
      </w:divBdr>
    </w:div>
    <w:div w:id="1291083628">
      <w:marLeft w:val="0"/>
      <w:marRight w:val="0"/>
      <w:marTop w:val="0"/>
      <w:marBottom w:val="0"/>
      <w:divBdr>
        <w:top w:val="none" w:sz="0" w:space="0" w:color="auto"/>
        <w:left w:val="none" w:sz="0" w:space="0" w:color="auto"/>
        <w:bottom w:val="none" w:sz="0" w:space="0" w:color="auto"/>
        <w:right w:val="none" w:sz="0" w:space="0" w:color="auto"/>
      </w:divBdr>
    </w:div>
    <w:div w:id="1296250276">
      <w:marLeft w:val="0"/>
      <w:marRight w:val="0"/>
      <w:marTop w:val="0"/>
      <w:marBottom w:val="100"/>
      <w:divBdr>
        <w:top w:val="none" w:sz="0" w:space="0" w:color="auto"/>
        <w:left w:val="none" w:sz="0" w:space="0" w:color="auto"/>
        <w:bottom w:val="none" w:sz="0" w:space="0" w:color="auto"/>
        <w:right w:val="none" w:sz="0" w:space="0" w:color="auto"/>
      </w:divBdr>
    </w:div>
    <w:div w:id="1296372643">
      <w:marLeft w:val="0"/>
      <w:marRight w:val="0"/>
      <w:marTop w:val="0"/>
      <w:marBottom w:val="0"/>
      <w:divBdr>
        <w:top w:val="none" w:sz="0" w:space="0" w:color="auto"/>
        <w:left w:val="none" w:sz="0" w:space="0" w:color="auto"/>
        <w:bottom w:val="none" w:sz="0" w:space="0" w:color="auto"/>
        <w:right w:val="none" w:sz="0" w:space="0" w:color="auto"/>
      </w:divBdr>
      <w:divsChild>
        <w:div w:id="1393579560">
          <w:marLeft w:val="0"/>
          <w:marRight w:val="0"/>
          <w:marTop w:val="0"/>
          <w:marBottom w:val="0"/>
          <w:divBdr>
            <w:top w:val="none" w:sz="0" w:space="0" w:color="auto"/>
            <w:left w:val="none" w:sz="0" w:space="0" w:color="auto"/>
            <w:bottom w:val="none" w:sz="0" w:space="0" w:color="auto"/>
            <w:right w:val="none" w:sz="0" w:space="0" w:color="auto"/>
          </w:divBdr>
          <w:divsChild>
            <w:div w:id="11070380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97029396">
      <w:marLeft w:val="0"/>
      <w:marRight w:val="0"/>
      <w:marTop w:val="0"/>
      <w:marBottom w:val="0"/>
      <w:divBdr>
        <w:top w:val="none" w:sz="0" w:space="0" w:color="auto"/>
        <w:left w:val="none" w:sz="0" w:space="0" w:color="auto"/>
        <w:bottom w:val="none" w:sz="0" w:space="0" w:color="auto"/>
        <w:right w:val="none" w:sz="0" w:space="0" w:color="auto"/>
      </w:divBdr>
    </w:div>
    <w:div w:id="1297099934">
      <w:marLeft w:val="0"/>
      <w:marRight w:val="0"/>
      <w:marTop w:val="0"/>
      <w:marBottom w:val="0"/>
      <w:divBdr>
        <w:top w:val="none" w:sz="0" w:space="0" w:color="auto"/>
        <w:left w:val="none" w:sz="0" w:space="0" w:color="auto"/>
        <w:bottom w:val="none" w:sz="0" w:space="0" w:color="auto"/>
        <w:right w:val="none" w:sz="0" w:space="0" w:color="auto"/>
      </w:divBdr>
      <w:divsChild>
        <w:div w:id="867720164">
          <w:marLeft w:val="0"/>
          <w:marRight w:val="0"/>
          <w:marTop w:val="0"/>
          <w:marBottom w:val="0"/>
          <w:divBdr>
            <w:top w:val="none" w:sz="0" w:space="0" w:color="auto"/>
            <w:left w:val="none" w:sz="0" w:space="0" w:color="auto"/>
            <w:bottom w:val="none" w:sz="0" w:space="0" w:color="auto"/>
            <w:right w:val="none" w:sz="0" w:space="0" w:color="auto"/>
          </w:divBdr>
          <w:divsChild>
            <w:div w:id="182858835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99798802">
      <w:marLeft w:val="0"/>
      <w:marRight w:val="0"/>
      <w:marTop w:val="340"/>
      <w:marBottom w:val="340"/>
      <w:divBdr>
        <w:top w:val="none" w:sz="0" w:space="0" w:color="auto"/>
        <w:left w:val="none" w:sz="0" w:space="0" w:color="auto"/>
        <w:bottom w:val="none" w:sz="0" w:space="0" w:color="auto"/>
        <w:right w:val="none" w:sz="0" w:space="0" w:color="auto"/>
      </w:divBdr>
    </w:div>
    <w:div w:id="1303804534">
      <w:marLeft w:val="0"/>
      <w:marRight w:val="0"/>
      <w:marTop w:val="0"/>
      <w:marBottom w:val="100"/>
      <w:divBdr>
        <w:top w:val="none" w:sz="0" w:space="0" w:color="auto"/>
        <w:left w:val="none" w:sz="0" w:space="0" w:color="auto"/>
        <w:bottom w:val="none" w:sz="0" w:space="0" w:color="auto"/>
        <w:right w:val="none" w:sz="0" w:space="0" w:color="auto"/>
      </w:divBdr>
    </w:div>
    <w:div w:id="1304627254">
      <w:marLeft w:val="0"/>
      <w:marRight w:val="0"/>
      <w:marTop w:val="0"/>
      <w:marBottom w:val="0"/>
      <w:divBdr>
        <w:top w:val="none" w:sz="0" w:space="0" w:color="auto"/>
        <w:left w:val="none" w:sz="0" w:space="0" w:color="auto"/>
        <w:bottom w:val="none" w:sz="0" w:space="0" w:color="auto"/>
        <w:right w:val="none" w:sz="0" w:space="0" w:color="auto"/>
      </w:divBdr>
    </w:div>
    <w:div w:id="1311398106">
      <w:marLeft w:val="0"/>
      <w:marRight w:val="0"/>
      <w:marTop w:val="180"/>
      <w:marBottom w:val="0"/>
      <w:divBdr>
        <w:top w:val="none" w:sz="0" w:space="0" w:color="auto"/>
        <w:left w:val="none" w:sz="0" w:space="0" w:color="auto"/>
        <w:bottom w:val="none" w:sz="0" w:space="0" w:color="auto"/>
        <w:right w:val="none" w:sz="0" w:space="0" w:color="auto"/>
      </w:divBdr>
    </w:div>
    <w:div w:id="1312708369">
      <w:marLeft w:val="0"/>
      <w:marRight w:val="0"/>
      <w:marTop w:val="0"/>
      <w:marBottom w:val="0"/>
      <w:divBdr>
        <w:top w:val="none" w:sz="0" w:space="0" w:color="auto"/>
        <w:left w:val="none" w:sz="0" w:space="0" w:color="auto"/>
        <w:bottom w:val="none" w:sz="0" w:space="0" w:color="auto"/>
        <w:right w:val="none" w:sz="0" w:space="0" w:color="auto"/>
      </w:divBdr>
      <w:divsChild>
        <w:div w:id="1731004679">
          <w:marLeft w:val="0"/>
          <w:marRight w:val="0"/>
          <w:marTop w:val="0"/>
          <w:marBottom w:val="100"/>
          <w:divBdr>
            <w:top w:val="none" w:sz="0" w:space="0" w:color="auto"/>
            <w:left w:val="none" w:sz="0" w:space="0" w:color="auto"/>
            <w:bottom w:val="none" w:sz="0" w:space="0" w:color="auto"/>
            <w:right w:val="none" w:sz="0" w:space="0" w:color="auto"/>
          </w:divBdr>
        </w:div>
      </w:divsChild>
    </w:div>
    <w:div w:id="1316298089">
      <w:marLeft w:val="0"/>
      <w:marRight w:val="0"/>
      <w:marTop w:val="100"/>
      <w:marBottom w:val="100"/>
      <w:divBdr>
        <w:top w:val="none" w:sz="0" w:space="0" w:color="auto"/>
        <w:left w:val="none" w:sz="0" w:space="0" w:color="auto"/>
        <w:bottom w:val="none" w:sz="0" w:space="0" w:color="auto"/>
        <w:right w:val="none" w:sz="0" w:space="0" w:color="auto"/>
      </w:divBdr>
      <w:divsChild>
        <w:div w:id="328824302">
          <w:marLeft w:val="0"/>
          <w:marRight w:val="0"/>
          <w:marTop w:val="0"/>
          <w:marBottom w:val="0"/>
          <w:divBdr>
            <w:top w:val="none" w:sz="0" w:space="0" w:color="auto"/>
            <w:left w:val="none" w:sz="0" w:space="0" w:color="auto"/>
            <w:bottom w:val="none" w:sz="0" w:space="0" w:color="auto"/>
            <w:right w:val="none" w:sz="0" w:space="0" w:color="auto"/>
          </w:divBdr>
        </w:div>
        <w:div w:id="1769346238">
          <w:marLeft w:val="0"/>
          <w:marRight w:val="0"/>
          <w:marTop w:val="0"/>
          <w:marBottom w:val="0"/>
          <w:divBdr>
            <w:top w:val="none" w:sz="0" w:space="0" w:color="auto"/>
            <w:left w:val="none" w:sz="0" w:space="0" w:color="auto"/>
            <w:bottom w:val="none" w:sz="0" w:space="0" w:color="auto"/>
            <w:right w:val="none" w:sz="0" w:space="0" w:color="auto"/>
          </w:divBdr>
        </w:div>
        <w:div w:id="1031031928">
          <w:marLeft w:val="0"/>
          <w:marRight w:val="0"/>
          <w:marTop w:val="0"/>
          <w:marBottom w:val="0"/>
          <w:divBdr>
            <w:top w:val="none" w:sz="0" w:space="0" w:color="auto"/>
            <w:left w:val="none" w:sz="0" w:space="0" w:color="auto"/>
            <w:bottom w:val="none" w:sz="0" w:space="0" w:color="auto"/>
            <w:right w:val="none" w:sz="0" w:space="0" w:color="auto"/>
          </w:divBdr>
        </w:div>
        <w:div w:id="961498739">
          <w:marLeft w:val="0"/>
          <w:marRight w:val="0"/>
          <w:marTop w:val="0"/>
          <w:marBottom w:val="0"/>
          <w:divBdr>
            <w:top w:val="none" w:sz="0" w:space="0" w:color="auto"/>
            <w:left w:val="none" w:sz="0" w:space="0" w:color="auto"/>
            <w:bottom w:val="none" w:sz="0" w:space="0" w:color="auto"/>
            <w:right w:val="none" w:sz="0" w:space="0" w:color="auto"/>
          </w:divBdr>
        </w:div>
        <w:div w:id="529295621">
          <w:marLeft w:val="0"/>
          <w:marRight w:val="0"/>
          <w:marTop w:val="0"/>
          <w:marBottom w:val="0"/>
          <w:divBdr>
            <w:top w:val="none" w:sz="0" w:space="0" w:color="auto"/>
            <w:left w:val="none" w:sz="0" w:space="0" w:color="auto"/>
            <w:bottom w:val="none" w:sz="0" w:space="0" w:color="auto"/>
            <w:right w:val="none" w:sz="0" w:space="0" w:color="auto"/>
          </w:divBdr>
        </w:div>
      </w:divsChild>
    </w:div>
    <w:div w:id="1318798817">
      <w:marLeft w:val="0"/>
      <w:marRight w:val="0"/>
      <w:marTop w:val="0"/>
      <w:marBottom w:val="0"/>
      <w:divBdr>
        <w:top w:val="none" w:sz="0" w:space="0" w:color="auto"/>
        <w:left w:val="none" w:sz="0" w:space="0" w:color="auto"/>
        <w:bottom w:val="none" w:sz="0" w:space="0" w:color="auto"/>
        <w:right w:val="none" w:sz="0" w:space="0" w:color="auto"/>
      </w:divBdr>
    </w:div>
    <w:div w:id="1321730533">
      <w:marLeft w:val="0"/>
      <w:marRight w:val="0"/>
      <w:marTop w:val="0"/>
      <w:marBottom w:val="100"/>
      <w:divBdr>
        <w:top w:val="none" w:sz="0" w:space="0" w:color="auto"/>
        <w:left w:val="none" w:sz="0" w:space="0" w:color="auto"/>
        <w:bottom w:val="none" w:sz="0" w:space="0" w:color="auto"/>
        <w:right w:val="none" w:sz="0" w:space="0" w:color="auto"/>
      </w:divBdr>
    </w:div>
    <w:div w:id="1327586529">
      <w:marLeft w:val="0"/>
      <w:marRight w:val="0"/>
      <w:marTop w:val="0"/>
      <w:marBottom w:val="0"/>
      <w:divBdr>
        <w:top w:val="none" w:sz="0" w:space="0" w:color="auto"/>
        <w:left w:val="none" w:sz="0" w:space="0" w:color="auto"/>
        <w:bottom w:val="none" w:sz="0" w:space="0" w:color="auto"/>
        <w:right w:val="none" w:sz="0" w:space="0" w:color="auto"/>
      </w:divBdr>
    </w:div>
    <w:div w:id="1332444045">
      <w:marLeft w:val="0"/>
      <w:marRight w:val="0"/>
      <w:marTop w:val="100"/>
      <w:marBottom w:val="0"/>
      <w:divBdr>
        <w:top w:val="none" w:sz="0" w:space="0" w:color="auto"/>
        <w:left w:val="none" w:sz="0" w:space="0" w:color="auto"/>
        <w:bottom w:val="none" w:sz="0" w:space="0" w:color="auto"/>
        <w:right w:val="none" w:sz="0" w:space="0" w:color="auto"/>
      </w:divBdr>
    </w:div>
    <w:div w:id="1343387453">
      <w:marLeft w:val="0"/>
      <w:marRight w:val="0"/>
      <w:marTop w:val="0"/>
      <w:marBottom w:val="100"/>
      <w:divBdr>
        <w:top w:val="none" w:sz="0" w:space="0" w:color="auto"/>
        <w:left w:val="none" w:sz="0" w:space="0" w:color="auto"/>
        <w:bottom w:val="none" w:sz="0" w:space="0" w:color="auto"/>
        <w:right w:val="none" w:sz="0" w:space="0" w:color="auto"/>
      </w:divBdr>
    </w:div>
    <w:div w:id="1351445800">
      <w:marLeft w:val="0"/>
      <w:marRight w:val="0"/>
      <w:marTop w:val="0"/>
      <w:marBottom w:val="100"/>
      <w:divBdr>
        <w:top w:val="none" w:sz="0" w:space="0" w:color="auto"/>
        <w:left w:val="none" w:sz="0" w:space="0" w:color="auto"/>
        <w:bottom w:val="none" w:sz="0" w:space="0" w:color="auto"/>
        <w:right w:val="none" w:sz="0" w:space="0" w:color="auto"/>
      </w:divBdr>
    </w:div>
    <w:div w:id="1361738734">
      <w:marLeft w:val="0"/>
      <w:marRight w:val="0"/>
      <w:marTop w:val="0"/>
      <w:marBottom w:val="100"/>
      <w:divBdr>
        <w:top w:val="none" w:sz="0" w:space="0" w:color="auto"/>
        <w:left w:val="none" w:sz="0" w:space="0" w:color="auto"/>
        <w:bottom w:val="none" w:sz="0" w:space="0" w:color="auto"/>
        <w:right w:val="none" w:sz="0" w:space="0" w:color="auto"/>
      </w:divBdr>
    </w:div>
    <w:div w:id="1365255766">
      <w:marLeft w:val="0"/>
      <w:marRight w:val="0"/>
      <w:marTop w:val="100"/>
      <w:marBottom w:val="100"/>
      <w:divBdr>
        <w:top w:val="none" w:sz="0" w:space="0" w:color="auto"/>
        <w:left w:val="none" w:sz="0" w:space="0" w:color="auto"/>
        <w:bottom w:val="none" w:sz="0" w:space="0" w:color="auto"/>
        <w:right w:val="none" w:sz="0" w:space="0" w:color="auto"/>
      </w:divBdr>
    </w:div>
    <w:div w:id="1370032515">
      <w:marLeft w:val="0"/>
      <w:marRight w:val="0"/>
      <w:marTop w:val="100"/>
      <w:marBottom w:val="0"/>
      <w:divBdr>
        <w:top w:val="none" w:sz="0" w:space="0" w:color="auto"/>
        <w:left w:val="none" w:sz="0" w:space="0" w:color="auto"/>
        <w:bottom w:val="none" w:sz="0" w:space="0" w:color="auto"/>
        <w:right w:val="none" w:sz="0" w:space="0" w:color="auto"/>
      </w:divBdr>
    </w:div>
    <w:div w:id="1372657637">
      <w:marLeft w:val="0"/>
      <w:marRight w:val="0"/>
      <w:marTop w:val="0"/>
      <w:marBottom w:val="0"/>
      <w:divBdr>
        <w:top w:val="none" w:sz="0" w:space="0" w:color="auto"/>
        <w:left w:val="none" w:sz="0" w:space="0" w:color="auto"/>
        <w:bottom w:val="none" w:sz="0" w:space="0" w:color="auto"/>
        <w:right w:val="none" w:sz="0" w:space="0" w:color="auto"/>
      </w:divBdr>
      <w:divsChild>
        <w:div w:id="2043624998">
          <w:marLeft w:val="0"/>
          <w:marRight w:val="0"/>
          <w:marTop w:val="0"/>
          <w:marBottom w:val="100"/>
          <w:divBdr>
            <w:top w:val="none" w:sz="0" w:space="0" w:color="auto"/>
            <w:left w:val="none" w:sz="0" w:space="0" w:color="auto"/>
            <w:bottom w:val="none" w:sz="0" w:space="0" w:color="auto"/>
            <w:right w:val="none" w:sz="0" w:space="0" w:color="auto"/>
          </w:divBdr>
        </w:div>
      </w:divsChild>
    </w:div>
    <w:div w:id="1374231002">
      <w:marLeft w:val="0"/>
      <w:marRight w:val="0"/>
      <w:marTop w:val="100"/>
      <w:marBottom w:val="100"/>
      <w:divBdr>
        <w:top w:val="none" w:sz="0" w:space="0" w:color="auto"/>
        <w:left w:val="none" w:sz="0" w:space="0" w:color="auto"/>
        <w:bottom w:val="none" w:sz="0" w:space="0" w:color="auto"/>
        <w:right w:val="none" w:sz="0" w:space="0" w:color="auto"/>
      </w:divBdr>
    </w:div>
    <w:div w:id="1376155523">
      <w:marLeft w:val="0"/>
      <w:marRight w:val="0"/>
      <w:marTop w:val="0"/>
      <w:marBottom w:val="0"/>
      <w:divBdr>
        <w:top w:val="none" w:sz="0" w:space="0" w:color="auto"/>
        <w:left w:val="none" w:sz="0" w:space="0" w:color="auto"/>
        <w:bottom w:val="none" w:sz="0" w:space="0" w:color="auto"/>
        <w:right w:val="none" w:sz="0" w:space="0" w:color="auto"/>
      </w:divBdr>
    </w:div>
    <w:div w:id="1377849600">
      <w:marLeft w:val="0"/>
      <w:marRight w:val="0"/>
      <w:marTop w:val="0"/>
      <w:marBottom w:val="100"/>
      <w:divBdr>
        <w:top w:val="none" w:sz="0" w:space="0" w:color="auto"/>
        <w:left w:val="none" w:sz="0" w:space="0" w:color="auto"/>
        <w:bottom w:val="none" w:sz="0" w:space="0" w:color="auto"/>
        <w:right w:val="none" w:sz="0" w:space="0" w:color="auto"/>
      </w:divBdr>
    </w:div>
    <w:div w:id="1392073228">
      <w:marLeft w:val="0"/>
      <w:marRight w:val="0"/>
      <w:marTop w:val="0"/>
      <w:marBottom w:val="100"/>
      <w:divBdr>
        <w:top w:val="none" w:sz="0" w:space="0" w:color="auto"/>
        <w:left w:val="none" w:sz="0" w:space="0" w:color="auto"/>
        <w:bottom w:val="none" w:sz="0" w:space="0" w:color="auto"/>
        <w:right w:val="none" w:sz="0" w:space="0" w:color="auto"/>
      </w:divBdr>
    </w:div>
    <w:div w:id="1395810780">
      <w:marLeft w:val="0"/>
      <w:marRight w:val="0"/>
      <w:marTop w:val="100"/>
      <w:marBottom w:val="0"/>
      <w:divBdr>
        <w:top w:val="none" w:sz="0" w:space="0" w:color="auto"/>
        <w:left w:val="none" w:sz="0" w:space="0" w:color="auto"/>
        <w:bottom w:val="none" w:sz="0" w:space="0" w:color="auto"/>
        <w:right w:val="none" w:sz="0" w:space="0" w:color="auto"/>
      </w:divBdr>
    </w:div>
    <w:div w:id="1407990612">
      <w:marLeft w:val="0"/>
      <w:marRight w:val="0"/>
      <w:marTop w:val="0"/>
      <w:marBottom w:val="100"/>
      <w:divBdr>
        <w:top w:val="none" w:sz="0" w:space="0" w:color="auto"/>
        <w:left w:val="none" w:sz="0" w:space="0" w:color="auto"/>
        <w:bottom w:val="none" w:sz="0" w:space="0" w:color="auto"/>
        <w:right w:val="none" w:sz="0" w:space="0" w:color="auto"/>
      </w:divBdr>
    </w:div>
    <w:div w:id="1408577668">
      <w:marLeft w:val="0"/>
      <w:marRight w:val="0"/>
      <w:marTop w:val="100"/>
      <w:marBottom w:val="100"/>
      <w:divBdr>
        <w:top w:val="none" w:sz="0" w:space="0" w:color="auto"/>
        <w:left w:val="none" w:sz="0" w:space="0" w:color="auto"/>
        <w:bottom w:val="none" w:sz="0" w:space="0" w:color="auto"/>
        <w:right w:val="none" w:sz="0" w:space="0" w:color="auto"/>
      </w:divBdr>
    </w:div>
    <w:div w:id="1410543482">
      <w:marLeft w:val="0"/>
      <w:marRight w:val="0"/>
      <w:marTop w:val="180"/>
      <w:marBottom w:val="0"/>
      <w:divBdr>
        <w:top w:val="none" w:sz="0" w:space="0" w:color="auto"/>
        <w:left w:val="none" w:sz="0" w:space="0" w:color="auto"/>
        <w:bottom w:val="none" w:sz="0" w:space="0" w:color="auto"/>
        <w:right w:val="none" w:sz="0" w:space="0" w:color="auto"/>
      </w:divBdr>
    </w:div>
    <w:div w:id="1417170048">
      <w:marLeft w:val="0"/>
      <w:marRight w:val="0"/>
      <w:marTop w:val="0"/>
      <w:marBottom w:val="0"/>
      <w:divBdr>
        <w:top w:val="none" w:sz="0" w:space="0" w:color="auto"/>
        <w:left w:val="none" w:sz="0" w:space="0" w:color="auto"/>
        <w:bottom w:val="none" w:sz="0" w:space="0" w:color="auto"/>
        <w:right w:val="none" w:sz="0" w:space="0" w:color="auto"/>
      </w:divBdr>
    </w:div>
    <w:div w:id="1419136004">
      <w:marLeft w:val="0"/>
      <w:marRight w:val="0"/>
      <w:marTop w:val="0"/>
      <w:marBottom w:val="0"/>
      <w:divBdr>
        <w:top w:val="none" w:sz="0" w:space="0" w:color="auto"/>
        <w:left w:val="none" w:sz="0" w:space="0" w:color="auto"/>
        <w:bottom w:val="none" w:sz="0" w:space="0" w:color="auto"/>
        <w:right w:val="none" w:sz="0" w:space="0" w:color="auto"/>
      </w:divBdr>
    </w:div>
    <w:div w:id="1424909888">
      <w:marLeft w:val="0"/>
      <w:marRight w:val="0"/>
      <w:marTop w:val="100"/>
      <w:marBottom w:val="100"/>
      <w:divBdr>
        <w:top w:val="none" w:sz="0" w:space="0" w:color="auto"/>
        <w:left w:val="none" w:sz="0" w:space="0" w:color="auto"/>
        <w:bottom w:val="none" w:sz="0" w:space="0" w:color="auto"/>
        <w:right w:val="none" w:sz="0" w:space="0" w:color="auto"/>
      </w:divBdr>
    </w:div>
    <w:div w:id="1427382166">
      <w:marLeft w:val="0"/>
      <w:marRight w:val="0"/>
      <w:marTop w:val="100"/>
      <w:marBottom w:val="0"/>
      <w:divBdr>
        <w:top w:val="none" w:sz="0" w:space="0" w:color="auto"/>
        <w:left w:val="none" w:sz="0" w:space="0" w:color="auto"/>
        <w:bottom w:val="none" w:sz="0" w:space="0" w:color="auto"/>
        <w:right w:val="none" w:sz="0" w:space="0" w:color="auto"/>
      </w:divBdr>
    </w:div>
    <w:div w:id="1431849512">
      <w:marLeft w:val="0"/>
      <w:marRight w:val="0"/>
      <w:marTop w:val="100"/>
      <w:marBottom w:val="100"/>
      <w:divBdr>
        <w:top w:val="none" w:sz="0" w:space="0" w:color="auto"/>
        <w:left w:val="none" w:sz="0" w:space="0" w:color="auto"/>
        <w:bottom w:val="none" w:sz="0" w:space="0" w:color="auto"/>
        <w:right w:val="none" w:sz="0" w:space="0" w:color="auto"/>
      </w:divBdr>
    </w:div>
    <w:div w:id="1435053746">
      <w:marLeft w:val="0"/>
      <w:marRight w:val="0"/>
      <w:marTop w:val="100"/>
      <w:marBottom w:val="100"/>
      <w:divBdr>
        <w:top w:val="none" w:sz="0" w:space="0" w:color="auto"/>
        <w:left w:val="none" w:sz="0" w:space="0" w:color="auto"/>
        <w:bottom w:val="none" w:sz="0" w:space="0" w:color="auto"/>
        <w:right w:val="none" w:sz="0" w:space="0" w:color="auto"/>
      </w:divBdr>
    </w:div>
    <w:div w:id="1442526979">
      <w:marLeft w:val="0"/>
      <w:marRight w:val="0"/>
      <w:marTop w:val="0"/>
      <w:marBottom w:val="0"/>
      <w:divBdr>
        <w:top w:val="none" w:sz="0" w:space="0" w:color="auto"/>
        <w:left w:val="none" w:sz="0" w:space="0" w:color="auto"/>
        <w:bottom w:val="none" w:sz="0" w:space="0" w:color="auto"/>
        <w:right w:val="none" w:sz="0" w:space="0" w:color="auto"/>
      </w:divBdr>
    </w:div>
    <w:div w:id="1451631289">
      <w:marLeft w:val="0"/>
      <w:marRight w:val="0"/>
      <w:marTop w:val="100"/>
      <w:marBottom w:val="100"/>
      <w:divBdr>
        <w:top w:val="none" w:sz="0" w:space="0" w:color="auto"/>
        <w:left w:val="none" w:sz="0" w:space="0" w:color="auto"/>
        <w:bottom w:val="none" w:sz="0" w:space="0" w:color="auto"/>
        <w:right w:val="none" w:sz="0" w:space="0" w:color="auto"/>
      </w:divBdr>
    </w:div>
    <w:div w:id="1459224582">
      <w:marLeft w:val="0"/>
      <w:marRight w:val="0"/>
      <w:marTop w:val="0"/>
      <w:marBottom w:val="0"/>
      <w:divBdr>
        <w:top w:val="none" w:sz="0" w:space="0" w:color="auto"/>
        <w:left w:val="none" w:sz="0" w:space="0" w:color="auto"/>
        <w:bottom w:val="none" w:sz="0" w:space="0" w:color="auto"/>
        <w:right w:val="none" w:sz="0" w:space="0" w:color="auto"/>
      </w:divBdr>
    </w:div>
    <w:div w:id="1465274843">
      <w:marLeft w:val="0"/>
      <w:marRight w:val="0"/>
      <w:marTop w:val="100"/>
      <w:marBottom w:val="100"/>
      <w:divBdr>
        <w:top w:val="none" w:sz="0" w:space="0" w:color="auto"/>
        <w:left w:val="none" w:sz="0" w:space="0" w:color="auto"/>
        <w:bottom w:val="none" w:sz="0" w:space="0" w:color="auto"/>
        <w:right w:val="none" w:sz="0" w:space="0" w:color="auto"/>
      </w:divBdr>
    </w:div>
    <w:div w:id="1469083273">
      <w:marLeft w:val="0"/>
      <w:marRight w:val="0"/>
      <w:marTop w:val="0"/>
      <w:marBottom w:val="100"/>
      <w:divBdr>
        <w:top w:val="none" w:sz="0" w:space="0" w:color="auto"/>
        <w:left w:val="none" w:sz="0" w:space="0" w:color="auto"/>
        <w:bottom w:val="none" w:sz="0" w:space="0" w:color="auto"/>
        <w:right w:val="none" w:sz="0" w:space="0" w:color="auto"/>
      </w:divBdr>
    </w:div>
    <w:div w:id="1470438605">
      <w:marLeft w:val="0"/>
      <w:marRight w:val="0"/>
      <w:marTop w:val="100"/>
      <w:marBottom w:val="100"/>
      <w:divBdr>
        <w:top w:val="none" w:sz="0" w:space="0" w:color="auto"/>
        <w:left w:val="none" w:sz="0" w:space="0" w:color="auto"/>
        <w:bottom w:val="none" w:sz="0" w:space="0" w:color="auto"/>
        <w:right w:val="none" w:sz="0" w:space="0" w:color="auto"/>
      </w:divBdr>
    </w:div>
    <w:div w:id="1473250682">
      <w:marLeft w:val="0"/>
      <w:marRight w:val="0"/>
      <w:marTop w:val="0"/>
      <w:marBottom w:val="0"/>
      <w:divBdr>
        <w:top w:val="none" w:sz="0" w:space="0" w:color="auto"/>
        <w:left w:val="none" w:sz="0" w:space="0" w:color="auto"/>
        <w:bottom w:val="none" w:sz="0" w:space="0" w:color="auto"/>
        <w:right w:val="none" w:sz="0" w:space="0" w:color="auto"/>
      </w:divBdr>
    </w:div>
    <w:div w:id="1476533792">
      <w:marLeft w:val="0"/>
      <w:marRight w:val="0"/>
      <w:marTop w:val="0"/>
      <w:marBottom w:val="0"/>
      <w:divBdr>
        <w:top w:val="none" w:sz="0" w:space="0" w:color="auto"/>
        <w:left w:val="none" w:sz="0" w:space="0" w:color="auto"/>
        <w:bottom w:val="none" w:sz="0" w:space="0" w:color="auto"/>
        <w:right w:val="none" w:sz="0" w:space="0" w:color="auto"/>
      </w:divBdr>
      <w:divsChild>
        <w:div w:id="1332879147">
          <w:marLeft w:val="0"/>
          <w:marRight w:val="0"/>
          <w:marTop w:val="0"/>
          <w:marBottom w:val="100"/>
          <w:divBdr>
            <w:top w:val="none" w:sz="0" w:space="0" w:color="auto"/>
            <w:left w:val="none" w:sz="0" w:space="0" w:color="auto"/>
            <w:bottom w:val="none" w:sz="0" w:space="0" w:color="auto"/>
            <w:right w:val="none" w:sz="0" w:space="0" w:color="auto"/>
          </w:divBdr>
        </w:div>
      </w:divsChild>
    </w:div>
    <w:div w:id="1478380443">
      <w:marLeft w:val="0"/>
      <w:marRight w:val="0"/>
      <w:marTop w:val="100"/>
      <w:marBottom w:val="100"/>
      <w:divBdr>
        <w:top w:val="none" w:sz="0" w:space="0" w:color="auto"/>
        <w:left w:val="none" w:sz="0" w:space="0" w:color="auto"/>
        <w:bottom w:val="none" w:sz="0" w:space="0" w:color="auto"/>
        <w:right w:val="none" w:sz="0" w:space="0" w:color="auto"/>
      </w:divBdr>
    </w:div>
    <w:div w:id="1500191296">
      <w:marLeft w:val="0"/>
      <w:marRight w:val="0"/>
      <w:marTop w:val="0"/>
      <w:marBottom w:val="0"/>
      <w:divBdr>
        <w:top w:val="none" w:sz="0" w:space="0" w:color="auto"/>
        <w:left w:val="none" w:sz="0" w:space="0" w:color="auto"/>
        <w:bottom w:val="none" w:sz="0" w:space="0" w:color="auto"/>
        <w:right w:val="none" w:sz="0" w:space="0" w:color="auto"/>
      </w:divBdr>
      <w:divsChild>
        <w:div w:id="602496252">
          <w:marLeft w:val="0"/>
          <w:marRight w:val="0"/>
          <w:marTop w:val="0"/>
          <w:marBottom w:val="100"/>
          <w:divBdr>
            <w:top w:val="none" w:sz="0" w:space="0" w:color="auto"/>
            <w:left w:val="none" w:sz="0" w:space="0" w:color="auto"/>
            <w:bottom w:val="none" w:sz="0" w:space="0" w:color="auto"/>
            <w:right w:val="none" w:sz="0" w:space="0" w:color="auto"/>
          </w:divBdr>
        </w:div>
      </w:divsChild>
    </w:div>
    <w:div w:id="1500266729">
      <w:marLeft w:val="0"/>
      <w:marRight w:val="0"/>
      <w:marTop w:val="0"/>
      <w:marBottom w:val="0"/>
      <w:divBdr>
        <w:top w:val="none" w:sz="0" w:space="0" w:color="auto"/>
        <w:left w:val="none" w:sz="0" w:space="0" w:color="auto"/>
        <w:bottom w:val="none" w:sz="0" w:space="0" w:color="auto"/>
        <w:right w:val="none" w:sz="0" w:space="0" w:color="auto"/>
      </w:divBdr>
      <w:divsChild>
        <w:div w:id="1685133122">
          <w:marLeft w:val="0"/>
          <w:marRight w:val="0"/>
          <w:marTop w:val="0"/>
          <w:marBottom w:val="0"/>
          <w:divBdr>
            <w:top w:val="none" w:sz="0" w:space="0" w:color="auto"/>
            <w:left w:val="none" w:sz="0" w:space="0" w:color="auto"/>
            <w:bottom w:val="none" w:sz="0" w:space="0" w:color="auto"/>
            <w:right w:val="none" w:sz="0" w:space="0" w:color="auto"/>
          </w:divBdr>
          <w:divsChild>
            <w:div w:id="167811893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01002098">
      <w:marLeft w:val="0"/>
      <w:marRight w:val="0"/>
      <w:marTop w:val="0"/>
      <w:marBottom w:val="0"/>
      <w:divBdr>
        <w:top w:val="none" w:sz="0" w:space="0" w:color="auto"/>
        <w:left w:val="none" w:sz="0" w:space="0" w:color="auto"/>
        <w:bottom w:val="none" w:sz="0" w:space="0" w:color="auto"/>
        <w:right w:val="none" w:sz="0" w:space="0" w:color="auto"/>
      </w:divBdr>
      <w:divsChild>
        <w:div w:id="860554319">
          <w:marLeft w:val="0"/>
          <w:marRight w:val="0"/>
          <w:marTop w:val="0"/>
          <w:marBottom w:val="0"/>
          <w:divBdr>
            <w:top w:val="none" w:sz="0" w:space="0" w:color="auto"/>
            <w:left w:val="none" w:sz="0" w:space="0" w:color="auto"/>
            <w:bottom w:val="none" w:sz="0" w:space="0" w:color="auto"/>
            <w:right w:val="none" w:sz="0" w:space="0" w:color="auto"/>
          </w:divBdr>
          <w:divsChild>
            <w:div w:id="10914377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03348833">
      <w:marLeft w:val="0"/>
      <w:marRight w:val="0"/>
      <w:marTop w:val="180"/>
      <w:marBottom w:val="100"/>
      <w:divBdr>
        <w:top w:val="none" w:sz="0" w:space="0" w:color="auto"/>
        <w:left w:val="none" w:sz="0" w:space="0" w:color="auto"/>
        <w:bottom w:val="none" w:sz="0" w:space="0" w:color="auto"/>
        <w:right w:val="none" w:sz="0" w:space="0" w:color="auto"/>
      </w:divBdr>
    </w:div>
    <w:div w:id="1508783808">
      <w:marLeft w:val="0"/>
      <w:marRight w:val="0"/>
      <w:marTop w:val="0"/>
      <w:marBottom w:val="100"/>
      <w:divBdr>
        <w:top w:val="none" w:sz="0" w:space="0" w:color="auto"/>
        <w:left w:val="none" w:sz="0" w:space="0" w:color="auto"/>
        <w:bottom w:val="none" w:sz="0" w:space="0" w:color="auto"/>
        <w:right w:val="none" w:sz="0" w:space="0" w:color="auto"/>
      </w:divBdr>
    </w:div>
    <w:div w:id="1509176121">
      <w:marLeft w:val="0"/>
      <w:marRight w:val="0"/>
      <w:marTop w:val="180"/>
      <w:marBottom w:val="100"/>
      <w:divBdr>
        <w:top w:val="none" w:sz="0" w:space="0" w:color="auto"/>
        <w:left w:val="none" w:sz="0" w:space="0" w:color="auto"/>
        <w:bottom w:val="none" w:sz="0" w:space="0" w:color="auto"/>
        <w:right w:val="none" w:sz="0" w:space="0" w:color="auto"/>
      </w:divBdr>
    </w:div>
    <w:div w:id="1522090840">
      <w:marLeft w:val="0"/>
      <w:marRight w:val="0"/>
      <w:marTop w:val="0"/>
      <w:marBottom w:val="100"/>
      <w:divBdr>
        <w:top w:val="none" w:sz="0" w:space="0" w:color="auto"/>
        <w:left w:val="none" w:sz="0" w:space="0" w:color="auto"/>
        <w:bottom w:val="none" w:sz="0" w:space="0" w:color="auto"/>
        <w:right w:val="none" w:sz="0" w:space="0" w:color="auto"/>
      </w:divBdr>
    </w:div>
    <w:div w:id="1526092310">
      <w:marLeft w:val="0"/>
      <w:marRight w:val="0"/>
      <w:marTop w:val="0"/>
      <w:marBottom w:val="0"/>
      <w:divBdr>
        <w:top w:val="none" w:sz="0" w:space="0" w:color="auto"/>
        <w:left w:val="none" w:sz="0" w:space="0" w:color="auto"/>
        <w:bottom w:val="none" w:sz="0" w:space="0" w:color="auto"/>
        <w:right w:val="none" w:sz="0" w:space="0" w:color="auto"/>
      </w:divBdr>
      <w:divsChild>
        <w:div w:id="1290472771">
          <w:marLeft w:val="0"/>
          <w:marRight w:val="0"/>
          <w:marTop w:val="0"/>
          <w:marBottom w:val="0"/>
          <w:divBdr>
            <w:top w:val="none" w:sz="0" w:space="0" w:color="auto"/>
            <w:left w:val="none" w:sz="0" w:space="0" w:color="auto"/>
            <w:bottom w:val="none" w:sz="0" w:space="0" w:color="auto"/>
            <w:right w:val="none" w:sz="0" w:space="0" w:color="auto"/>
          </w:divBdr>
          <w:divsChild>
            <w:div w:id="7899340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41937495">
      <w:marLeft w:val="0"/>
      <w:marRight w:val="0"/>
      <w:marTop w:val="0"/>
      <w:marBottom w:val="0"/>
      <w:divBdr>
        <w:top w:val="none" w:sz="0" w:space="0" w:color="auto"/>
        <w:left w:val="none" w:sz="0" w:space="0" w:color="auto"/>
        <w:bottom w:val="none" w:sz="0" w:space="0" w:color="auto"/>
        <w:right w:val="none" w:sz="0" w:space="0" w:color="auto"/>
      </w:divBdr>
    </w:div>
    <w:div w:id="1542354993">
      <w:marLeft w:val="0"/>
      <w:marRight w:val="0"/>
      <w:marTop w:val="0"/>
      <w:marBottom w:val="100"/>
      <w:divBdr>
        <w:top w:val="none" w:sz="0" w:space="0" w:color="auto"/>
        <w:left w:val="none" w:sz="0" w:space="0" w:color="auto"/>
        <w:bottom w:val="none" w:sz="0" w:space="0" w:color="auto"/>
        <w:right w:val="none" w:sz="0" w:space="0" w:color="auto"/>
      </w:divBdr>
    </w:div>
    <w:div w:id="1554657840">
      <w:marLeft w:val="0"/>
      <w:marRight w:val="0"/>
      <w:marTop w:val="180"/>
      <w:marBottom w:val="0"/>
      <w:divBdr>
        <w:top w:val="none" w:sz="0" w:space="0" w:color="auto"/>
        <w:left w:val="none" w:sz="0" w:space="0" w:color="auto"/>
        <w:bottom w:val="none" w:sz="0" w:space="0" w:color="auto"/>
        <w:right w:val="none" w:sz="0" w:space="0" w:color="auto"/>
      </w:divBdr>
      <w:divsChild>
        <w:div w:id="399013651">
          <w:marLeft w:val="0"/>
          <w:marRight w:val="0"/>
          <w:marTop w:val="0"/>
          <w:marBottom w:val="0"/>
          <w:divBdr>
            <w:top w:val="none" w:sz="0" w:space="0" w:color="auto"/>
            <w:left w:val="none" w:sz="0" w:space="0" w:color="auto"/>
            <w:bottom w:val="none" w:sz="0" w:space="0" w:color="auto"/>
            <w:right w:val="none" w:sz="0" w:space="0" w:color="auto"/>
          </w:divBdr>
        </w:div>
      </w:divsChild>
    </w:div>
    <w:div w:id="1559123102">
      <w:marLeft w:val="0"/>
      <w:marRight w:val="0"/>
      <w:marTop w:val="0"/>
      <w:marBottom w:val="0"/>
      <w:divBdr>
        <w:top w:val="none" w:sz="0" w:space="0" w:color="auto"/>
        <w:left w:val="none" w:sz="0" w:space="0" w:color="auto"/>
        <w:bottom w:val="none" w:sz="0" w:space="0" w:color="auto"/>
        <w:right w:val="none" w:sz="0" w:space="0" w:color="auto"/>
      </w:divBdr>
    </w:div>
    <w:div w:id="1562134686">
      <w:marLeft w:val="0"/>
      <w:marRight w:val="0"/>
      <w:marTop w:val="100"/>
      <w:marBottom w:val="100"/>
      <w:divBdr>
        <w:top w:val="none" w:sz="0" w:space="0" w:color="auto"/>
        <w:left w:val="none" w:sz="0" w:space="0" w:color="auto"/>
        <w:bottom w:val="none" w:sz="0" w:space="0" w:color="auto"/>
        <w:right w:val="none" w:sz="0" w:space="0" w:color="auto"/>
      </w:divBdr>
    </w:div>
    <w:div w:id="1562249458">
      <w:marLeft w:val="0"/>
      <w:marRight w:val="0"/>
      <w:marTop w:val="0"/>
      <w:marBottom w:val="0"/>
      <w:divBdr>
        <w:top w:val="none" w:sz="0" w:space="0" w:color="auto"/>
        <w:left w:val="none" w:sz="0" w:space="0" w:color="auto"/>
        <w:bottom w:val="none" w:sz="0" w:space="0" w:color="auto"/>
        <w:right w:val="none" w:sz="0" w:space="0" w:color="auto"/>
      </w:divBdr>
      <w:divsChild>
        <w:div w:id="699742508">
          <w:marLeft w:val="0"/>
          <w:marRight w:val="0"/>
          <w:marTop w:val="0"/>
          <w:marBottom w:val="100"/>
          <w:divBdr>
            <w:top w:val="none" w:sz="0" w:space="0" w:color="auto"/>
            <w:left w:val="none" w:sz="0" w:space="0" w:color="auto"/>
            <w:bottom w:val="none" w:sz="0" w:space="0" w:color="auto"/>
            <w:right w:val="none" w:sz="0" w:space="0" w:color="auto"/>
          </w:divBdr>
        </w:div>
      </w:divsChild>
    </w:div>
    <w:div w:id="1569000282">
      <w:marLeft w:val="0"/>
      <w:marRight w:val="0"/>
      <w:marTop w:val="180"/>
      <w:marBottom w:val="0"/>
      <w:divBdr>
        <w:top w:val="none" w:sz="0" w:space="0" w:color="auto"/>
        <w:left w:val="none" w:sz="0" w:space="0" w:color="auto"/>
        <w:bottom w:val="none" w:sz="0" w:space="0" w:color="auto"/>
        <w:right w:val="none" w:sz="0" w:space="0" w:color="auto"/>
      </w:divBdr>
    </w:div>
    <w:div w:id="1583103247">
      <w:marLeft w:val="0"/>
      <w:marRight w:val="0"/>
      <w:marTop w:val="0"/>
      <w:marBottom w:val="100"/>
      <w:divBdr>
        <w:top w:val="none" w:sz="0" w:space="0" w:color="auto"/>
        <w:left w:val="none" w:sz="0" w:space="0" w:color="auto"/>
        <w:bottom w:val="none" w:sz="0" w:space="0" w:color="auto"/>
        <w:right w:val="none" w:sz="0" w:space="0" w:color="auto"/>
      </w:divBdr>
    </w:div>
    <w:div w:id="1584215359">
      <w:marLeft w:val="0"/>
      <w:marRight w:val="0"/>
      <w:marTop w:val="0"/>
      <w:marBottom w:val="100"/>
      <w:divBdr>
        <w:top w:val="none" w:sz="0" w:space="0" w:color="auto"/>
        <w:left w:val="none" w:sz="0" w:space="0" w:color="auto"/>
        <w:bottom w:val="none" w:sz="0" w:space="0" w:color="auto"/>
        <w:right w:val="none" w:sz="0" w:space="0" w:color="auto"/>
      </w:divBdr>
    </w:div>
    <w:div w:id="1593471646">
      <w:marLeft w:val="0"/>
      <w:marRight w:val="0"/>
      <w:marTop w:val="100"/>
      <w:marBottom w:val="100"/>
      <w:divBdr>
        <w:top w:val="none" w:sz="0" w:space="0" w:color="auto"/>
        <w:left w:val="none" w:sz="0" w:space="0" w:color="auto"/>
        <w:bottom w:val="none" w:sz="0" w:space="0" w:color="auto"/>
        <w:right w:val="none" w:sz="0" w:space="0" w:color="auto"/>
      </w:divBdr>
    </w:div>
    <w:div w:id="1594389788">
      <w:marLeft w:val="0"/>
      <w:marRight w:val="0"/>
      <w:marTop w:val="0"/>
      <w:marBottom w:val="0"/>
      <w:divBdr>
        <w:top w:val="none" w:sz="0" w:space="0" w:color="auto"/>
        <w:left w:val="none" w:sz="0" w:space="0" w:color="auto"/>
        <w:bottom w:val="none" w:sz="0" w:space="0" w:color="auto"/>
        <w:right w:val="none" w:sz="0" w:space="0" w:color="auto"/>
      </w:divBdr>
      <w:divsChild>
        <w:div w:id="1234244231">
          <w:marLeft w:val="0"/>
          <w:marRight w:val="0"/>
          <w:marTop w:val="0"/>
          <w:marBottom w:val="0"/>
          <w:divBdr>
            <w:top w:val="none" w:sz="0" w:space="0" w:color="auto"/>
            <w:left w:val="none" w:sz="0" w:space="0" w:color="auto"/>
            <w:bottom w:val="none" w:sz="0" w:space="0" w:color="auto"/>
            <w:right w:val="none" w:sz="0" w:space="0" w:color="auto"/>
          </w:divBdr>
          <w:divsChild>
            <w:div w:id="45051612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8517422">
      <w:marLeft w:val="0"/>
      <w:marRight w:val="0"/>
      <w:marTop w:val="100"/>
      <w:marBottom w:val="0"/>
      <w:divBdr>
        <w:top w:val="none" w:sz="0" w:space="0" w:color="auto"/>
        <w:left w:val="none" w:sz="0" w:space="0" w:color="auto"/>
        <w:bottom w:val="none" w:sz="0" w:space="0" w:color="auto"/>
        <w:right w:val="none" w:sz="0" w:space="0" w:color="auto"/>
      </w:divBdr>
    </w:div>
    <w:div w:id="1599023719">
      <w:marLeft w:val="0"/>
      <w:marRight w:val="0"/>
      <w:marTop w:val="0"/>
      <w:marBottom w:val="0"/>
      <w:divBdr>
        <w:top w:val="none" w:sz="0" w:space="0" w:color="auto"/>
        <w:left w:val="none" w:sz="0" w:space="0" w:color="auto"/>
        <w:bottom w:val="none" w:sz="0" w:space="0" w:color="auto"/>
        <w:right w:val="none" w:sz="0" w:space="0" w:color="auto"/>
      </w:divBdr>
      <w:divsChild>
        <w:div w:id="946617471">
          <w:marLeft w:val="0"/>
          <w:marRight w:val="0"/>
          <w:marTop w:val="0"/>
          <w:marBottom w:val="0"/>
          <w:divBdr>
            <w:top w:val="none" w:sz="0" w:space="0" w:color="auto"/>
            <w:left w:val="none" w:sz="0" w:space="0" w:color="auto"/>
            <w:bottom w:val="none" w:sz="0" w:space="0" w:color="auto"/>
            <w:right w:val="none" w:sz="0" w:space="0" w:color="auto"/>
          </w:divBdr>
          <w:divsChild>
            <w:div w:id="175107988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07688979">
      <w:marLeft w:val="0"/>
      <w:marRight w:val="0"/>
      <w:marTop w:val="0"/>
      <w:marBottom w:val="0"/>
      <w:divBdr>
        <w:top w:val="none" w:sz="0" w:space="0" w:color="auto"/>
        <w:left w:val="none" w:sz="0" w:space="0" w:color="auto"/>
        <w:bottom w:val="none" w:sz="0" w:space="0" w:color="auto"/>
        <w:right w:val="none" w:sz="0" w:space="0" w:color="auto"/>
      </w:divBdr>
    </w:div>
    <w:div w:id="1608853735">
      <w:marLeft w:val="0"/>
      <w:marRight w:val="0"/>
      <w:marTop w:val="0"/>
      <w:marBottom w:val="0"/>
      <w:divBdr>
        <w:top w:val="none" w:sz="0" w:space="0" w:color="auto"/>
        <w:left w:val="none" w:sz="0" w:space="0" w:color="auto"/>
        <w:bottom w:val="none" w:sz="0" w:space="0" w:color="auto"/>
        <w:right w:val="none" w:sz="0" w:space="0" w:color="auto"/>
      </w:divBdr>
      <w:divsChild>
        <w:div w:id="854423129">
          <w:marLeft w:val="0"/>
          <w:marRight w:val="0"/>
          <w:marTop w:val="0"/>
          <w:marBottom w:val="100"/>
          <w:divBdr>
            <w:top w:val="none" w:sz="0" w:space="0" w:color="auto"/>
            <w:left w:val="none" w:sz="0" w:space="0" w:color="auto"/>
            <w:bottom w:val="none" w:sz="0" w:space="0" w:color="auto"/>
            <w:right w:val="none" w:sz="0" w:space="0" w:color="auto"/>
          </w:divBdr>
        </w:div>
      </w:divsChild>
    </w:div>
    <w:div w:id="1614244724">
      <w:marLeft w:val="0"/>
      <w:marRight w:val="0"/>
      <w:marTop w:val="180"/>
      <w:marBottom w:val="60"/>
      <w:divBdr>
        <w:top w:val="none" w:sz="0" w:space="0" w:color="auto"/>
        <w:left w:val="none" w:sz="0" w:space="0" w:color="auto"/>
        <w:bottom w:val="none" w:sz="0" w:space="0" w:color="auto"/>
        <w:right w:val="none" w:sz="0" w:space="0" w:color="auto"/>
      </w:divBdr>
      <w:divsChild>
        <w:div w:id="2126270282">
          <w:marLeft w:val="0"/>
          <w:marRight w:val="0"/>
          <w:marTop w:val="180"/>
          <w:marBottom w:val="0"/>
          <w:divBdr>
            <w:top w:val="none" w:sz="0" w:space="0" w:color="auto"/>
            <w:left w:val="none" w:sz="0" w:space="0" w:color="auto"/>
            <w:bottom w:val="none" w:sz="0" w:space="0" w:color="auto"/>
            <w:right w:val="none" w:sz="0" w:space="0" w:color="auto"/>
          </w:divBdr>
        </w:div>
        <w:div w:id="1959142521">
          <w:marLeft w:val="0"/>
          <w:marRight w:val="0"/>
          <w:marTop w:val="180"/>
          <w:marBottom w:val="0"/>
          <w:divBdr>
            <w:top w:val="none" w:sz="0" w:space="0" w:color="auto"/>
            <w:left w:val="none" w:sz="0" w:space="0" w:color="auto"/>
            <w:bottom w:val="none" w:sz="0" w:space="0" w:color="auto"/>
            <w:right w:val="none" w:sz="0" w:space="0" w:color="auto"/>
          </w:divBdr>
        </w:div>
        <w:div w:id="1433235940">
          <w:marLeft w:val="0"/>
          <w:marRight w:val="0"/>
          <w:marTop w:val="180"/>
          <w:marBottom w:val="0"/>
          <w:divBdr>
            <w:top w:val="none" w:sz="0" w:space="0" w:color="auto"/>
            <w:left w:val="none" w:sz="0" w:space="0" w:color="auto"/>
            <w:bottom w:val="none" w:sz="0" w:space="0" w:color="auto"/>
            <w:right w:val="none" w:sz="0" w:space="0" w:color="auto"/>
          </w:divBdr>
        </w:div>
        <w:div w:id="1751808870">
          <w:marLeft w:val="0"/>
          <w:marRight w:val="0"/>
          <w:marTop w:val="180"/>
          <w:marBottom w:val="0"/>
          <w:divBdr>
            <w:top w:val="none" w:sz="0" w:space="0" w:color="auto"/>
            <w:left w:val="none" w:sz="0" w:space="0" w:color="auto"/>
            <w:bottom w:val="none" w:sz="0" w:space="0" w:color="auto"/>
            <w:right w:val="none" w:sz="0" w:space="0" w:color="auto"/>
          </w:divBdr>
        </w:div>
      </w:divsChild>
    </w:div>
    <w:div w:id="1619482502">
      <w:marLeft w:val="0"/>
      <w:marRight w:val="0"/>
      <w:marTop w:val="0"/>
      <w:marBottom w:val="100"/>
      <w:divBdr>
        <w:top w:val="none" w:sz="0" w:space="0" w:color="auto"/>
        <w:left w:val="none" w:sz="0" w:space="0" w:color="auto"/>
        <w:bottom w:val="none" w:sz="0" w:space="0" w:color="auto"/>
        <w:right w:val="none" w:sz="0" w:space="0" w:color="auto"/>
      </w:divBdr>
    </w:div>
    <w:div w:id="1619675513">
      <w:marLeft w:val="0"/>
      <w:marRight w:val="0"/>
      <w:marTop w:val="100"/>
      <w:marBottom w:val="100"/>
      <w:divBdr>
        <w:top w:val="none" w:sz="0" w:space="0" w:color="auto"/>
        <w:left w:val="none" w:sz="0" w:space="0" w:color="auto"/>
        <w:bottom w:val="none" w:sz="0" w:space="0" w:color="auto"/>
        <w:right w:val="none" w:sz="0" w:space="0" w:color="auto"/>
      </w:divBdr>
    </w:div>
    <w:div w:id="1623073191">
      <w:marLeft w:val="0"/>
      <w:marRight w:val="0"/>
      <w:marTop w:val="0"/>
      <w:marBottom w:val="100"/>
      <w:divBdr>
        <w:top w:val="none" w:sz="0" w:space="0" w:color="auto"/>
        <w:left w:val="none" w:sz="0" w:space="0" w:color="auto"/>
        <w:bottom w:val="none" w:sz="0" w:space="0" w:color="auto"/>
        <w:right w:val="none" w:sz="0" w:space="0" w:color="auto"/>
      </w:divBdr>
    </w:div>
    <w:div w:id="1624115932">
      <w:marLeft w:val="0"/>
      <w:marRight w:val="0"/>
      <w:marTop w:val="100"/>
      <w:marBottom w:val="100"/>
      <w:divBdr>
        <w:top w:val="none" w:sz="0" w:space="0" w:color="auto"/>
        <w:left w:val="none" w:sz="0" w:space="0" w:color="auto"/>
        <w:bottom w:val="none" w:sz="0" w:space="0" w:color="auto"/>
        <w:right w:val="none" w:sz="0" w:space="0" w:color="auto"/>
      </w:divBdr>
    </w:div>
    <w:div w:id="1634170463">
      <w:marLeft w:val="0"/>
      <w:marRight w:val="0"/>
      <w:marTop w:val="0"/>
      <w:marBottom w:val="0"/>
      <w:divBdr>
        <w:top w:val="none" w:sz="0" w:space="0" w:color="auto"/>
        <w:left w:val="none" w:sz="0" w:space="0" w:color="auto"/>
        <w:bottom w:val="none" w:sz="0" w:space="0" w:color="auto"/>
        <w:right w:val="none" w:sz="0" w:space="0" w:color="auto"/>
      </w:divBdr>
    </w:div>
    <w:div w:id="1641685859">
      <w:marLeft w:val="0"/>
      <w:marRight w:val="0"/>
      <w:marTop w:val="0"/>
      <w:marBottom w:val="0"/>
      <w:divBdr>
        <w:top w:val="none" w:sz="0" w:space="0" w:color="auto"/>
        <w:left w:val="none" w:sz="0" w:space="0" w:color="auto"/>
        <w:bottom w:val="none" w:sz="0" w:space="0" w:color="auto"/>
        <w:right w:val="none" w:sz="0" w:space="0" w:color="auto"/>
      </w:divBdr>
    </w:div>
    <w:div w:id="1642298731">
      <w:marLeft w:val="0"/>
      <w:marRight w:val="0"/>
      <w:marTop w:val="100"/>
      <w:marBottom w:val="100"/>
      <w:divBdr>
        <w:top w:val="none" w:sz="0" w:space="0" w:color="auto"/>
        <w:left w:val="none" w:sz="0" w:space="0" w:color="auto"/>
        <w:bottom w:val="none" w:sz="0" w:space="0" w:color="auto"/>
        <w:right w:val="none" w:sz="0" w:space="0" w:color="auto"/>
      </w:divBdr>
    </w:div>
    <w:div w:id="1647510810">
      <w:marLeft w:val="0"/>
      <w:marRight w:val="0"/>
      <w:marTop w:val="0"/>
      <w:marBottom w:val="0"/>
      <w:divBdr>
        <w:top w:val="none" w:sz="0" w:space="0" w:color="auto"/>
        <w:left w:val="none" w:sz="0" w:space="0" w:color="auto"/>
        <w:bottom w:val="none" w:sz="0" w:space="0" w:color="auto"/>
        <w:right w:val="none" w:sz="0" w:space="0" w:color="auto"/>
      </w:divBdr>
      <w:divsChild>
        <w:div w:id="215817107">
          <w:marLeft w:val="0"/>
          <w:marRight w:val="0"/>
          <w:marTop w:val="0"/>
          <w:marBottom w:val="0"/>
          <w:divBdr>
            <w:top w:val="none" w:sz="0" w:space="0" w:color="auto"/>
            <w:left w:val="none" w:sz="0" w:space="0" w:color="auto"/>
            <w:bottom w:val="none" w:sz="0" w:space="0" w:color="auto"/>
            <w:right w:val="none" w:sz="0" w:space="0" w:color="auto"/>
          </w:divBdr>
          <w:divsChild>
            <w:div w:id="140772648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47860320">
      <w:marLeft w:val="0"/>
      <w:marRight w:val="0"/>
      <w:marTop w:val="180"/>
      <w:marBottom w:val="0"/>
      <w:divBdr>
        <w:top w:val="none" w:sz="0" w:space="0" w:color="auto"/>
        <w:left w:val="none" w:sz="0" w:space="0" w:color="auto"/>
        <w:bottom w:val="none" w:sz="0" w:space="0" w:color="auto"/>
        <w:right w:val="none" w:sz="0" w:space="0" w:color="auto"/>
      </w:divBdr>
    </w:div>
    <w:div w:id="1648629674">
      <w:marLeft w:val="0"/>
      <w:marRight w:val="0"/>
      <w:marTop w:val="100"/>
      <w:marBottom w:val="100"/>
      <w:divBdr>
        <w:top w:val="none" w:sz="0" w:space="0" w:color="auto"/>
        <w:left w:val="none" w:sz="0" w:space="0" w:color="auto"/>
        <w:bottom w:val="none" w:sz="0" w:space="0" w:color="auto"/>
        <w:right w:val="none" w:sz="0" w:space="0" w:color="auto"/>
      </w:divBdr>
    </w:div>
    <w:div w:id="1653561671">
      <w:marLeft w:val="0"/>
      <w:marRight w:val="0"/>
      <w:marTop w:val="0"/>
      <w:marBottom w:val="100"/>
      <w:divBdr>
        <w:top w:val="none" w:sz="0" w:space="0" w:color="auto"/>
        <w:left w:val="none" w:sz="0" w:space="0" w:color="auto"/>
        <w:bottom w:val="none" w:sz="0" w:space="0" w:color="auto"/>
        <w:right w:val="none" w:sz="0" w:space="0" w:color="auto"/>
      </w:divBdr>
    </w:div>
    <w:div w:id="1654800006">
      <w:marLeft w:val="0"/>
      <w:marRight w:val="0"/>
      <w:marTop w:val="180"/>
      <w:marBottom w:val="0"/>
      <w:divBdr>
        <w:top w:val="none" w:sz="0" w:space="0" w:color="auto"/>
        <w:left w:val="none" w:sz="0" w:space="0" w:color="auto"/>
        <w:bottom w:val="none" w:sz="0" w:space="0" w:color="auto"/>
        <w:right w:val="none" w:sz="0" w:space="0" w:color="auto"/>
      </w:divBdr>
    </w:div>
    <w:div w:id="1662811215">
      <w:marLeft w:val="0"/>
      <w:marRight w:val="0"/>
      <w:marTop w:val="180"/>
      <w:marBottom w:val="0"/>
      <w:divBdr>
        <w:top w:val="none" w:sz="0" w:space="0" w:color="auto"/>
        <w:left w:val="none" w:sz="0" w:space="0" w:color="auto"/>
        <w:bottom w:val="none" w:sz="0" w:space="0" w:color="auto"/>
        <w:right w:val="none" w:sz="0" w:space="0" w:color="auto"/>
      </w:divBdr>
    </w:div>
    <w:div w:id="1664893323">
      <w:marLeft w:val="0"/>
      <w:marRight w:val="0"/>
      <w:marTop w:val="180"/>
      <w:marBottom w:val="0"/>
      <w:divBdr>
        <w:top w:val="none" w:sz="0" w:space="0" w:color="auto"/>
        <w:left w:val="none" w:sz="0" w:space="0" w:color="auto"/>
        <w:bottom w:val="none" w:sz="0" w:space="0" w:color="auto"/>
        <w:right w:val="none" w:sz="0" w:space="0" w:color="auto"/>
      </w:divBdr>
    </w:div>
    <w:div w:id="1669283425">
      <w:marLeft w:val="0"/>
      <w:marRight w:val="0"/>
      <w:marTop w:val="100"/>
      <w:marBottom w:val="100"/>
      <w:divBdr>
        <w:top w:val="none" w:sz="0" w:space="0" w:color="auto"/>
        <w:left w:val="none" w:sz="0" w:space="0" w:color="auto"/>
        <w:bottom w:val="none" w:sz="0" w:space="0" w:color="auto"/>
        <w:right w:val="none" w:sz="0" w:space="0" w:color="auto"/>
      </w:divBdr>
    </w:div>
    <w:div w:id="1670404100">
      <w:marLeft w:val="0"/>
      <w:marRight w:val="0"/>
      <w:marTop w:val="0"/>
      <w:marBottom w:val="0"/>
      <w:divBdr>
        <w:top w:val="none" w:sz="0" w:space="0" w:color="auto"/>
        <w:left w:val="none" w:sz="0" w:space="0" w:color="auto"/>
        <w:bottom w:val="none" w:sz="0" w:space="0" w:color="auto"/>
        <w:right w:val="none" w:sz="0" w:space="0" w:color="auto"/>
      </w:divBdr>
    </w:div>
    <w:div w:id="1670600722">
      <w:marLeft w:val="0"/>
      <w:marRight w:val="0"/>
      <w:marTop w:val="0"/>
      <w:marBottom w:val="0"/>
      <w:divBdr>
        <w:top w:val="none" w:sz="0" w:space="0" w:color="auto"/>
        <w:left w:val="none" w:sz="0" w:space="0" w:color="auto"/>
        <w:bottom w:val="none" w:sz="0" w:space="0" w:color="auto"/>
        <w:right w:val="none" w:sz="0" w:space="0" w:color="auto"/>
      </w:divBdr>
    </w:div>
    <w:div w:id="1675456908">
      <w:marLeft w:val="0"/>
      <w:marRight w:val="0"/>
      <w:marTop w:val="0"/>
      <w:marBottom w:val="0"/>
      <w:divBdr>
        <w:top w:val="none" w:sz="0" w:space="0" w:color="auto"/>
        <w:left w:val="none" w:sz="0" w:space="0" w:color="auto"/>
        <w:bottom w:val="none" w:sz="0" w:space="0" w:color="auto"/>
        <w:right w:val="none" w:sz="0" w:space="0" w:color="auto"/>
      </w:divBdr>
      <w:divsChild>
        <w:div w:id="957879904">
          <w:marLeft w:val="0"/>
          <w:marRight w:val="0"/>
          <w:marTop w:val="0"/>
          <w:marBottom w:val="100"/>
          <w:divBdr>
            <w:top w:val="none" w:sz="0" w:space="0" w:color="auto"/>
            <w:left w:val="none" w:sz="0" w:space="0" w:color="auto"/>
            <w:bottom w:val="none" w:sz="0" w:space="0" w:color="auto"/>
            <w:right w:val="none" w:sz="0" w:space="0" w:color="auto"/>
          </w:divBdr>
        </w:div>
      </w:divsChild>
    </w:div>
    <w:div w:id="1694502938">
      <w:marLeft w:val="0"/>
      <w:marRight w:val="0"/>
      <w:marTop w:val="180"/>
      <w:marBottom w:val="0"/>
      <w:divBdr>
        <w:top w:val="none" w:sz="0" w:space="0" w:color="auto"/>
        <w:left w:val="none" w:sz="0" w:space="0" w:color="auto"/>
        <w:bottom w:val="none" w:sz="0" w:space="0" w:color="auto"/>
        <w:right w:val="none" w:sz="0" w:space="0" w:color="auto"/>
      </w:divBdr>
    </w:div>
    <w:div w:id="1695885910">
      <w:marLeft w:val="0"/>
      <w:marRight w:val="0"/>
      <w:marTop w:val="180"/>
      <w:marBottom w:val="0"/>
      <w:divBdr>
        <w:top w:val="none" w:sz="0" w:space="0" w:color="auto"/>
        <w:left w:val="none" w:sz="0" w:space="0" w:color="auto"/>
        <w:bottom w:val="none" w:sz="0" w:space="0" w:color="auto"/>
        <w:right w:val="none" w:sz="0" w:space="0" w:color="auto"/>
      </w:divBdr>
    </w:div>
    <w:div w:id="1700625122">
      <w:marLeft w:val="0"/>
      <w:marRight w:val="0"/>
      <w:marTop w:val="100"/>
      <w:marBottom w:val="100"/>
      <w:divBdr>
        <w:top w:val="none" w:sz="0" w:space="0" w:color="auto"/>
        <w:left w:val="none" w:sz="0" w:space="0" w:color="auto"/>
        <w:bottom w:val="none" w:sz="0" w:space="0" w:color="auto"/>
        <w:right w:val="none" w:sz="0" w:space="0" w:color="auto"/>
      </w:divBdr>
    </w:div>
    <w:div w:id="1702822876">
      <w:marLeft w:val="0"/>
      <w:marRight w:val="0"/>
      <w:marTop w:val="100"/>
      <w:marBottom w:val="100"/>
      <w:divBdr>
        <w:top w:val="none" w:sz="0" w:space="0" w:color="auto"/>
        <w:left w:val="none" w:sz="0" w:space="0" w:color="auto"/>
        <w:bottom w:val="none" w:sz="0" w:space="0" w:color="auto"/>
        <w:right w:val="none" w:sz="0" w:space="0" w:color="auto"/>
      </w:divBdr>
    </w:div>
    <w:div w:id="1709211384">
      <w:marLeft w:val="0"/>
      <w:marRight w:val="0"/>
      <w:marTop w:val="180"/>
      <w:marBottom w:val="0"/>
      <w:divBdr>
        <w:top w:val="none" w:sz="0" w:space="0" w:color="auto"/>
        <w:left w:val="none" w:sz="0" w:space="0" w:color="auto"/>
        <w:bottom w:val="none" w:sz="0" w:space="0" w:color="auto"/>
        <w:right w:val="none" w:sz="0" w:space="0" w:color="auto"/>
      </w:divBdr>
    </w:div>
    <w:div w:id="1714495919">
      <w:marLeft w:val="0"/>
      <w:marRight w:val="0"/>
      <w:marTop w:val="0"/>
      <w:marBottom w:val="100"/>
      <w:divBdr>
        <w:top w:val="none" w:sz="0" w:space="0" w:color="auto"/>
        <w:left w:val="none" w:sz="0" w:space="0" w:color="auto"/>
        <w:bottom w:val="none" w:sz="0" w:space="0" w:color="auto"/>
        <w:right w:val="none" w:sz="0" w:space="0" w:color="auto"/>
      </w:divBdr>
    </w:div>
    <w:div w:id="1720665097">
      <w:marLeft w:val="0"/>
      <w:marRight w:val="0"/>
      <w:marTop w:val="180"/>
      <w:marBottom w:val="0"/>
      <w:divBdr>
        <w:top w:val="none" w:sz="0" w:space="0" w:color="auto"/>
        <w:left w:val="none" w:sz="0" w:space="0" w:color="auto"/>
        <w:bottom w:val="none" w:sz="0" w:space="0" w:color="auto"/>
        <w:right w:val="none" w:sz="0" w:space="0" w:color="auto"/>
      </w:divBdr>
    </w:div>
    <w:div w:id="1721241352">
      <w:marLeft w:val="0"/>
      <w:marRight w:val="0"/>
      <w:marTop w:val="0"/>
      <w:marBottom w:val="0"/>
      <w:divBdr>
        <w:top w:val="none" w:sz="0" w:space="0" w:color="auto"/>
        <w:left w:val="none" w:sz="0" w:space="0" w:color="auto"/>
        <w:bottom w:val="none" w:sz="0" w:space="0" w:color="auto"/>
        <w:right w:val="none" w:sz="0" w:space="0" w:color="auto"/>
      </w:divBdr>
    </w:div>
    <w:div w:id="1723365293">
      <w:marLeft w:val="0"/>
      <w:marRight w:val="0"/>
      <w:marTop w:val="0"/>
      <w:marBottom w:val="0"/>
      <w:divBdr>
        <w:top w:val="none" w:sz="0" w:space="0" w:color="auto"/>
        <w:left w:val="none" w:sz="0" w:space="0" w:color="auto"/>
        <w:bottom w:val="none" w:sz="0" w:space="0" w:color="auto"/>
        <w:right w:val="none" w:sz="0" w:space="0" w:color="auto"/>
      </w:divBdr>
    </w:div>
    <w:div w:id="1723560563">
      <w:marLeft w:val="0"/>
      <w:marRight w:val="0"/>
      <w:marTop w:val="180"/>
      <w:marBottom w:val="0"/>
      <w:divBdr>
        <w:top w:val="none" w:sz="0" w:space="0" w:color="auto"/>
        <w:left w:val="none" w:sz="0" w:space="0" w:color="auto"/>
        <w:bottom w:val="none" w:sz="0" w:space="0" w:color="auto"/>
        <w:right w:val="none" w:sz="0" w:space="0" w:color="auto"/>
      </w:divBdr>
    </w:div>
    <w:div w:id="1726174297">
      <w:marLeft w:val="0"/>
      <w:marRight w:val="0"/>
      <w:marTop w:val="0"/>
      <w:marBottom w:val="0"/>
      <w:divBdr>
        <w:top w:val="none" w:sz="0" w:space="0" w:color="auto"/>
        <w:left w:val="none" w:sz="0" w:space="0" w:color="auto"/>
        <w:bottom w:val="none" w:sz="0" w:space="0" w:color="auto"/>
        <w:right w:val="none" w:sz="0" w:space="0" w:color="auto"/>
      </w:divBdr>
      <w:divsChild>
        <w:div w:id="1720206106">
          <w:marLeft w:val="0"/>
          <w:marRight w:val="0"/>
          <w:marTop w:val="0"/>
          <w:marBottom w:val="100"/>
          <w:divBdr>
            <w:top w:val="none" w:sz="0" w:space="0" w:color="auto"/>
            <w:left w:val="none" w:sz="0" w:space="0" w:color="auto"/>
            <w:bottom w:val="none" w:sz="0" w:space="0" w:color="auto"/>
            <w:right w:val="none" w:sz="0" w:space="0" w:color="auto"/>
          </w:divBdr>
        </w:div>
      </w:divsChild>
    </w:div>
    <w:div w:id="1746953496">
      <w:marLeft w:val="0"/>
      <w:marRight w:val="0"/>
      <w:marTop w:val="100"/>
      <w:marBottom w:val="100"/>
      <w:divBdr>
        <w:top w:val="none" w:sz="0" w:space="0" w:color="auto"/>
        <w:left w:val="none" w:sz="0" w:space="0" w:color="auto"/>
        <w:bottom w:val="none" w:sz="0" w:space="0" w:color="auto"/>
        <w:right w:val="none" w:sz="0" w:space="0" w:color="auto"/>
      </w:divBdr>
    </w:div>
    <w:div w:id="1748111296">
      <w:marLeft w:val="0"/>
      <w:marRight w:val="0"/>
      <w:marTop w:val="0"/>
      <w:marBottom w:val="0"/>
      <w:divBdr>
        <w:top w:val="none" w:sz="0" w:space="0" w:color="auto"/>
        <w:left w:val="none" w:sz="0" w:space="0" w:color="auto"/>
        <w:bottom w:val="none" w:sz="0" w:space="0" w:color="auto"/>
        <w:right w:val="none" w:sz="0" w:space="0" w:color="auto"/>
      </w:divBdr>
    </w:div>
    <w:div w:id="1749376056">
      <w:marLeft w:val="0"/>
      <w:marRight w:val="0"/>
      <w:marTop w:val="100"/>
      <w:marBottom w:val="100"/>
      <w:divBdr>
        <w:top w:val="none" w:sz="0" w:space="0" w:color="auto"/>
        <w:left w:val="none" w:sz="0" w:space="0" w:color="auto"/>
        <w:bottom w:val="none" w:sz="0" w:space="0" w:color="auto"/>
        <w:right w:val="none" w:sz="0" w:space="0" w:color="auto"/>
      </w:divBdr>
    </w:div>
    <w:div w:id="1752308849">
      <w:marLeft w:val="0"/>
      <w:marRight w:val="0"/>
      <w:marTop w:val="100"/>
      <w:marBottom w:val="100"/>
      <w:divBdr>
        <w:top w:val="none" w:sz="0" w:space="0" w:color="auto"/>
        <w:left w:val="none" w:sz="0" w:space="0" w:color="auto"/>
        <w:bottom w:val="none" w:sz="0" w:space="0" w:color="auto"/>
        <w:right w:val="none" w:sz="0" w:space="0" w:color="auto"/>
      </w:divBdr>
    </w:div>
    <w:div w:id="1762875369">
      <w:marLeft w:val="0"/>
      <w:marRight w:val="0"/>
      <w:marTop w:val="0"/>
      <w:marBottom w:val="0"/>
      <w:divBdr>
        <w:top w:val="none" w:sz="0" w:space="0" w:color="auto"/>
        <w:left w:val="none" w:sz="0" w:space="0" w:color="auto"/>
        <w:bottom w:val="none" w:sz="0" w:space="0" w:color="auto"/>
        <w:right w:val="none" w:sz="0" w:space="0" w:color="auto"/>
      </w:divBdr>
    </w:div>
    <w:div w:id="1767144186">
      <w:marLeft w:val="0"/>
      <w:marRight w:val="0"/>
      <w:marTop w:val="100"/>
      <w:marBottom w:val="0"/>
      <w:divBdr>
        <w:top w:val="none" w:sz="0" w:space="0" w:color="auto"/>
        <w:left w:val="none" w:sz="0" w:space="0" w:color="auto"/>
        <w:bottom w:val="none" w:sz="0" w:space="0" w:color="auto"/>
        <w:right w:val="none" w:sz="0" w:space="0" w:color="auto"/>
      </w:divBdr>
    </w:div>
    <w:div w:id="1767193104">
      <w:marLeft w:val="0"/>
      <w:marRight w:val="0"/>
      <w:marTop w:val="180"/>
      <w:marBottom w:val="0"/>
      <w:divBdr>
        <w:top w:val="none" w:sz="0" w:space="0" w:color="auto"/>
        <w:left w:val="none" w:sz="0" w:space="0" w:color="auto"/>
        <w:bottom w:val="none" w:sz="0" w:space="0" w:color="auto"/>
        <w:right w:val="none" w:sz="0" w:space="0" w:color="auto"/>
      </w:divBdr>
    </w:div>
    <w:div w:id="1769085339">
      <w:marLeft w:val="0"/>
      <w:marRight w:val="0"/>
      <w:marTop w:val="0"/>
      <w:marBottom w:val="0"/>
      <w:divBdr>
        <w:top w:val="none" w:sz="0" w:space="0" w:color="auto"/>
        <w:left w:val="none" w:sz="0" w:space="0" w:color="auto"/>
        <w:bottom w:val="none" w:sz="0" w:space="0" w:color="auto"/>
        <w:right w:val="none" w:sz="0" w:space="0" w:color="auto"/>
      </w:divBdr>
      <w:divsChild>
        <w:div w:id="482894844">
          <w:marLeft w:val="0"/>
          <w:marRight w:val="0"/>
          <w:marTop w:val="0"/>
          <w:marBottom w:val="100"/>
          <w:divBdr>
            <w:top w:val="none" w:sz="0" w:space="0" w:color="auto"/>
            <w:left w:val="none" w:sz="0" w:space="0" w:color="auto"/>
            <w:bottom w:val="none" w:sz="0" w:space="0" w:color="auto"/>
            <w:right w:val="none" w:sz="0" w:space="0" w:color="auto"/>
          </w:divBdr>
        </w:div>
      </w:divsChild>
    </w:div>
    <w:div w:id="1769108845">
      <w:marLeft w:val="0"/>
      <w:marRight w:val="0"/>
      <w:marTop w:val="100"/>
      <w:marBottom w:val="100"/>
      <w:divBdr>
        <w:top w:val="none" w:sz="0" w:space="0" w:color="auto"/>
        <w:left w:val="none" w:sz="0" w:space="0" w:color="auto"/>
        <w:bottom w:val="none" w:sz="0" w:space="0" w:color="auto"/>
        <w:right w:val="none" w:sz="0" w:space="0" w:color="auto"/>
      </w:divBdr>
    </w:div>
    <w:div w:id="1773550931">
      <w:marLeft w:val="0"/>
      <w:marRight w:val="0"/>
      <w:marTop w:val="0"/>
      <w:marBottom w:val="100"/>
      <w:divBdr>
        <w:top w:val="none" w:sz="0" w:space="0" w:color="auto"/>
        <w:left w:val="none" w:sz="0" w:space="0" w:color="auto"/>
        <w:bottom w:val="none" w:sz="0" w:space="0" w:color="auto"/>
        <w:right w:val="none" w:sz="0" w:space="0" w:color="auto"/>
      </w:divBdr>
      <w:divsChild>
        <w:div w:id="2079551574">
          <w:marLeft w:val="0"/>
          <w:marRight w:val="0"/>
          <w:marTop w:val="0"/>
          <w:marBottom w:val="0"/>
          <w:divBdr>
            <w:top w:val="none" w:sz="0" w:space="0" w:color="auto"/>
            <w:left w:val="none" w:sz="0" w:space="0" w:color="auto"/>
            <w:bottom w:val="none" w:sz="0" w:space="0" w:color="auto"/>
            <w:right w:val="none" w:sz="0" w:space="0" w:color="auto"/>
          </w:divBdr>
        </w:div>
      </w:divsChild>
    </w:div>
    <w:div w:id="1776293305">
      <w:marLeft w:val="0"/>
      <w:marRight w:val="0"/>
      <w:marTop w:val="0"/>
      <w:marBottom w:val="100"/>
      <w:divBdr>
        <w:top w:val="none" w:sz="0" w:space="0" w:color="auto"/>
        <w:left w:val="none" w:sz="0" w:space="0" w:color="auto"/>
        <w:bottom w:val="none" w:sz="0" w:space="0" w:color="auto"/>
        <w:right w:val="none" w:sz="0" w:space="0" w:color="auto"/>
      </w:divBdr>
    </w:div>
    <w:div w:id="1776440737">
      <w:marLeft w:val="0"/>
      <w:marRight w:val="0"/>
      <w:marTop w:val="0"/>
      <w:marBottom w:val="0"/>
      <w:divBdr>
        <w:top w:val="none" w:sz="0" w:space="0" w:color="auto"/>
        <w:left w:val="none" w:sz="0" w:space="0" w:color="auto"/>
        <w:bottom w:val="none" w:sz="0" w:space="0" w:color="auto"/>
        <w:right w:val="none" w:sz="0" w:space="0" w:color="auto"/>
      </w:divBdr>
    </w:div>
    <w:div w:id="1777824977">
      <w:marLeft w:val="0"/>
      <w:marRight w:val="0"/>
      <w:marTop w:val="0"/>
      <w:marBottom w:val="0"/>
      <w:divBdr>
        <w:top w:val="none" w:sz="0" w:space="0" w:color="auto"/>
        <w:left w:val="none" w:sz="0" w:space="0" w:color="auto"/>
        <w:bottom w:val="none" w:sz="0" w:space="0" w:color="auto"/>
        <w:right w:val="none" w:sz="0" w:space="0" w:color="auto"/>
      </w:divBdr>
      <w:divsChild>
        <w:div w:id="236332821">
          <w:marLeft w:val="0"/>
          <w:marRight w:val="0"/>
          <w:marTop w:val="0"/>
          <w:marBottom w:val="0"/>
          <w:divBdr>
            <w:top w:val="none" w:sz="0" w:space="0" w:color="auto"/>
            <w:left w:val="none" w:sz="0" w:space="0" w:color="auto"/>
            <w:bottom w:val="none" w:sz="0" w:space="0" w:color="auto"/>
            <w:right w:val="none" w:sz="0" w:space="0" w:color="auto"/>
          </w:divBdr>
          <w:divsChild>
            <w:div w:id="84786362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90857545">
      <w:marLeft w:val="0"/>
      <w:marRight w:val="0"/>
      <w:marTop w:val="0"/>
      <w:marBottom w:val="100"/>
      <w:divBdr>
        <w:top w:val="none" w:sz="0" w:space="0" w:color="auto"/>
        <w:left w:val="none" w:sz="0" w:space="0" w:color="auto"/>
        <w:bottom w:val="none" w:sz="0" w:space="0" w:color="auto"/>
        <w:right w:val="none" w:sz="0" w:space="0" w:color="auto"/>
      </w:divBdr>
    </w:div>
    <w:div w:id="1790978263">
      <w:marLeft w:val="0"/>
      <w:marRight w:val="0"/>
      <w:marTop w:val="0"/>
      <w:marBottom w:val="0"/>
      <w:divBdr>
        <w:top w:val="none" w:sz="0" w:space="0" w:color="auto"/>
        <w:left w:val="none" w:sz="0" w:space="0" w:color="auto"/>
        <w:bottom w:val="none" w:sz="0" w:space="0" w:color="auto"/>
        <w:right w:val="none" w:sz="0" w:space="0" w:color="auto"/>
      </w:divBdr>
      <w:divsChild>
        <w:div w:id="1230994076">
          <w:marLeft w:val="0"/>
          <w:marRight w:val="0"/>
          <w:marTop w:val="0"/>
          <w:marBottom w:val="100"/>
          <w:divBdr>
            <w:top w:val="none" w:sz="0" w:space="0" w:color="auto"/>
            <w:left w:val="none" w:sz="0" w:space="0" w:color="auto"/>
            <w:bottom w:val="none" w:sz="0" w:space="0" w:color="auto"/>
            <w:right w:val="none" w:sz="0" w:space="0" w:color="auto"/>
          </w:divBdr>
        </w:div>
      </w:divsChild>
    </w:div>
    <w:div w:id="1794397226">
      <w:marLeft w:val="0"/>
      <w:marRight w:val="0"/>
      <w:marTop w:val="0"/>
      <w:marBottom w:val="0"/>
      <w:divBdr>
        <w:top w:val="none" w:sz="0" w:space="0" w:color="auto"/>
        <w:left w:val="none" w:sz="0" w:space="0" w:color="auto"/>
        <w:bottom w:val="none" w:sz="0" w:space="0" w:color="auto"/>
        <w:right w:val="none" w:sz="0" w:space="0" w:color="auto"/>
      </w:divBdr>
      <w:divsChild>
        <w:div w:id="743649566">
          <w:marLeft w:val="0"/>
          <w:marRight w:val="0"/>
          <w:marTop w:val="0"/>
          <w:marBottom w:val="100"/>
          <w:divBdr>
            <w:top w:val="none" w:sz="0" w:space="0" w:color="auto"/>
            <w:left w:val="none" w:sz="0" w:space="0" w:color="auto"/>
            <w:bottom w:val="none" w:sz="0" w:space="0" w:color="auto"/>
            <w:right w:val="none" w:sz="0" w:space="0" w:color="auto"/>
          </w:divBdr>
        </w:div>
      </w:divsChild>
    </w:div>
    <w:div w:id="1808935114">
      <w:marLeft w:val="0"/>
      <w:marRight w:val="0"/>
      <w:marTop w:val="0"/>
      <w:marBottom w:val="0"/>
      <w:divBdr>
        <w:top w:val="none" w:sz="0" w:space="0" w:color="auto"/>
        <w:left w:val="none" w:sz="0" w:space="0" w:color="auto"/>
        <w:bottom w:val="none" w:sz="0" w:space="0" w:color="auto"/>
        <w:right w:val="none" w:sz="0" w:space="0" w:color="auto"/>
      </w:divBdr>
    </w:div>
    <w:div w:id="1812360308">
      <w:marLeft w:val="0"/>
      <w:marRight w:val="0"/>
      <w:marTop w:val="0"/>
      <w:marBottom w:val="0"/>
      <w:divBdr>
        <w:top w:val="none" w:sz="0" w:space="0" w:color="auto"/>
        <w:left w:val="none" w:sz="0" w:space="0" w:color="auto"/>
        <w:bottom w:val="none" w:sz="0" w:space="0" w:color="auto"/>
        <w:right w:val="none" w:sz="0" w:space="0" w:color="auto"/>
      </w:divBdr>
    </w:div>
    <w:div w:id="1814055288">
      <w:marLeft w:val="0"/>
      <w:marRight w:val="0"/>
      <w:marTop w:val="180"/>
      <w:marBottom w:val="100"/>
      <w:divBdr>
        <w:top w:val="none" w:sz="0" w:space="0" w:color="auto"/>
        <w:left w:val="none" w:sz="0" w:space="0" w:color="auto"/>
        <w:bottom w:val="none" w:sz="0" w:space="0" w:color="auto"/>
        <w:right w:val="none" w:sz="0" w:space="0" w:color="auto"/>
      </w:divBdr>
    </w:div>
    <w:div w:id="1817842381">
      <w:marLeft w:val="0"/>
      <w:marRight w:val="0"/>
      <w:marTop w:val="180"/>
      <w:marBottom w:val="0"/>
      <w:divBdr>
        <w:top w:val="none" w:sz="0" w:space="0" w:color="auto"/>
        <w:left w:val="none" w:sz="0" w:space="0" w:color="auto"/>
        <w:bottom w:val="none" w:sz="0" w:space="0" w:color="auto"/>
        <w:right w:val="none" w:sz="0" w:space="0" w:color="auto"/>
      </w:divBdr>
    </w:div>
    <w:div w:id="1832134566">
      <w:marLeft w:val="0"/>
      <w:marRight w:val="0"/>
      <w:marTop w:val="0"/>
      <w:marBottom w:val="0"/>
      <w:divBdr>
        <w:top w:val="none" w:sz="0" w:space="0" w:color="auto"/>
        <w:left w:val="none" w:sz="0" w:space="0" w:color="auto"/>
        <w:bottom w:val="none" w:sz="0" w:space="0" w:color="auto"/>
        <w:right w:val="none" w:sz="0" w:space="0" w:color="auto"/>
      </w:divBdr>
      <w:divsChild>
        <w:div w:id="29259917">
          <w:marLeft w:val="0"/>
          <w:marRight w:val="0"/>
          <w:marTop w:val="0"/>
          <w:marBottom w:val="100"/>
          <w:divBdr>
            <w:top w:val="none" w:sz="0" w:space="0" w:color="auto"/>
            <w:left w:val="none" w:sz="0" w:space="0" w:color="auto"/>
            <w:bottom w:val="none" w:sz="0" w:space="0" w:color="auto"/>
            <w:right w:val="none" w:sz="0" w:space="0" w:color="auto"/>
          </w:divBdr>
        </w:div>
      </w:divsChild>
    </w:div>
    <w:div w:id="1833179074">
      <w:marLeft w:val="0"/>
      <w:marRight w:val="0"/>
      <w:marTop w:val="0"/>
      <w:marBottom w:val="100"/>
      <w:divBdr>
        <w:top w:val="none" w:sz="0" w:space="0" w:color="auto"/>
        <w:left w:val="none" w:sz="0" w:space="0" w:color="auto"/>
        <w:bottom w:val="none" w:sz="0" w:space="0" w:color="auto"/>
        <w:right w:val="none" w:sz="0" w:space="0" w:color="auto"/>
      </w:divBdr>
    </w:div>
    <w:div w:id="1834448072">
      <w:marLeft w:val="0"/>
      <w:marRight w:val="0"/>
      <w:marTop w:val="0"/>
      <w:marBottom w:val="100"/>
      <w:divBdr>
        <w:top w:val="none" w:sz="0" w:space="0" w:color="auto"/>
        <w:left w:val="none" w:sz="0" w:space="0" w:color="auto"/>
        <w:bottom w:val="none" w:sz="0" w:space="0" w:color="auto"/>
        <w:right w:val="none" w:sz="0" w:space="0" w:color="auto"/>
      </w:divBdr>
    </w:div>
    <w:div w:id="1835799254">
      <w:marLeft w:val="0"/>
      <w:marRight w:val="0"/>
      <w:marTop w:val="0"/>
      <w:marBottom w:val="100"/>
      <w:divBdr>
        <w:top w:val="none" w:sz="0" w:space="0" w:color="auto"/>
        <w:left w:val="none" w:sz="0" w:space="0" w:color="auto"/>
        <w:bottom w:val="none" w:sz="0" w:space="0" w:color="auto"/>
        <w:right w:val="none" w:sz="0" w:space="0" w:color="auto"/>
      </w:divBdr>
    </w:div>
    <w:div w:id="1840923924">
      <w:marLeft w:val="0"/>
      <w:marRight w:val="0"/>
      <w:marTop w:val="100"/>
      <w:marBottom w:val="100"/>
      <w:divBdr>
        <w:top w:val="none" w:sz="0" w:space="0" w:color="auto"/>
        <w:left w:val="none" w:sz="0" w:space="0" w:color="auto"/>
        <w:bottom w:val="none" w:sz="0" w:space="0" w:color="auto"/>
        <w:right w:val="none" w:sz="0" w:space="0" w:color="auto"/>
      </w:divBdr>
    </w:div>
    <w:div w:id="1843007163">
      <w:marLeft w:val="0"/>
      <w:marRight w:val="0"/>
      <w:marTop w:val="0"/>
      <w:marBottom w:val="100"/>
      <w:divBdr>
        <w:top w:val="none" w:sz="0" w:space="0" w:color="auto"/>
        <w:left w:val="none" w:sz="0" w:space="0" w:color="auto"/>
        <w:bottom w:val="none" w:sz="0" w:space="0" w:color="auto"/>
        <w:right w:val="none" w:sz="0" w:space="0" w:color="auto"/>
      </w:divBdr>
    </w:div>
    <w:div w:id="1849445990">
      <w:marLeft w:val="0"/>
      <w:marRight w:val="0"/>
      <w:marTop w:val="0"/>
      <w:marBottom w:val="0"/>
      <w:divBdr>
        <w:top w:val="none" w:sz="0" w:space="0" w:color="auto"/>
        <w:left w:val="none" w:sz="0" w:space="0" w:color="auto"/>
        <w:bottom w:val="none" w:sz="0" w:space="0" w:color="auto"/>
        <w:right w:val="none" w:sz="0" w:space="0" w:color="auto"/>
      </w:divBdr>
    </w:div>
    <w:div w:id="1852987531">
      <w:marLeft w:val="0"/>
      <w:marRight w:val="0"/>
      <w:marTop w:val="180"/>
      <w:marBottom w:val="100"/>
      <w:divBdr>
        <w:top w:val="none" w:sz="0" w:space="0" w:color="auto"/>
        <w:left w:val="none" w:sz="0" w:space="0" w:color="auto"/>
        <w:bottom w:val="none" w:sz="0" w:space="0" w:color="auto"/>
        <w:right w:val="none" w:sz="0" w:space="0" w:color="auto"/>
      </w:divBdr>
    </w:div>
    <w:div w:id="1853061150">
      <w:marLeft w:val="0"/>
      <w:marRight w:val="0"/>
      <w:marTop w:val="0"/>
      <w:marBottom w:val="0"/>
      <w:divBdr>
        <w:top w:val="none" w:sz="0" w:space="0" w:color="auto"/>
        <w:left w:val="none" w:sz="0" w:space="0" w:color="auto"/>
        <w:bottom w:val="none" w:sz="0" w:space="0" w:color="auto"/>
        <w:right w:val="none" w:sz="0" w:space="0" w:color="auto"/>
      </w:divBdr>
    </w:div>
    <w:div w:id="1854421165">
      <w:marLeft w:val="0"/>
      <w:marRight w:val="0"/>
      <w:marTop w:val="0"/>
      <w:marBottom w:val="0"/>
      <w:divBdr>
        <w:top w:val="none" w:sz="0" w:space="0" w:color="auto"/>
        <w:left w:val="none" w:sz="0" w:space="0" w:color="auto"/>
        <w:bottom w:val="none" w:sz="0" w:space="0" w:color="auto"/>
        <w:right w:val="none" w:sz="0" w:space="0" w:color="auto"/>
      </w:divBdr>
    </w:div>
    <w:div w:id="1857693223">
      <w:marLeft w:val="0"/>
      <w:marRight w:val="0"/>
      <w:marTop w:val="180"/>
      <w:marBottom w:val="0"/>
      <w:divBdr>
        <w:top w:val="none" w:sz="0" w:space="0" w:color="auto"/>
        <w:left w:val="none" w:sz="0" w:space="0" w:color="auto"/>
        <w:bottom w:val="none" w:sz="0" w:space="0" w:color="auto"/>
        <w:right w:val="none" w:sz="0" w:space="0" w:color="auto"/>
      </w:divBdr>
    </w:div>
    <w:div w:id="1861747117">
      <w:marLeft w:val="0"/>
      <w:marRight w:val="0"/>
      <w:marTop w:val="100"/>
      <w:marBottom w:val="100"/>
      <w:divBdr>
        <w:top w:val="none" w:sz="0" w:space="0" w:color="auto"/>
        <w:left w:val="none" w:sz="0" w:space="0" w:color="auto"/>
        <w:bottom w:val="none" w:sz="0" w:space="0" w:color="auto"/>
        <w:right w:val="none" w:sz="0" w:space="0" w:color="auto"/>
      </w:divBdr>
    </w:div>
    <w:div w:id="1872066511">
      <w:marLeft w:val="0"/>
      <w:marRight w:val="0"/>
      <w:marTop w:val="180"/>
      <w:marBottom w:val="0"/>
      <w:divBdr>
        <w:top w:val="none" w:sz="0" w:space="0" w:color="auto"/>
        <w:left w:val="none" w:sz="0" w:space="0" w:color="auto"/>
        <w:bottom w:val="none" w:sz="0" w:space="0" w:color="auto"/>
        <w:right w:val="none" w:sz="0" w:space="0" w:color="auto"/>
      </w:divBdr>
    </w:div>
    <w:div w:id="1888226257">
      <w:marLeft w:val="0"/>
      <w:marRight w:val="0"/>
      <w:marTop w:val="100"/>
      <w:marBottom w:val="100"/>
      <w:divBdr>
        <w:top w:val="none" w:sz="0" w:space="0" w:color="auto"/>
        <w:left w:val="none" w:sz="0" w:space="0" w:color="auto"/>
        <w:bottom w:val="none" w:sz="0" w:space="0" w:color="auto"/>
        <w:right w:val="none" w:sz="0" w:space="0" w:color="auto"/>
      </w:divBdr>
    </w:div>
    <w:div w:id="1890143232">
      <w:marLeft w:val="0"/>
      <w:marRight w:val="0"/>
      <w:marTop w:val="100"/>
      <w:marBottom w:val="0"/>
      <w:divBdr>
        <w:top w:val="none" w:sz="0" w:space="0" w:color="auto"/>
        <w:left w:val="none" w:sz="0" w:space="0" w:color="auto"/>
        <w:bottom w:val="none" w:sz="0" w:space="0" w:color="auto"/>
        <w:right w:val="none" w:sz="0" w:space="0" w:color="auto"/>
      </w:divBdr>
    </w:div>
    <w:div w:id="1891258354">
      <w:marLeft w:val="0"/>
      <w:marRight w:val="0"/>
      <w:marTop w:val="0"/>
      <w:marBottom w:val="0"/>
      <w:divBdr>
        <w:top w:val="none" w:sz="0" w:space="0" w:color="auto"/>
        <w:left w:val="none" w:sz="0" w:space="0" w:color="auto"/>
        <w:bottom w:val="none" w:sz="0" w:space="0" w:color="auto"/>
        <w:right w:val="none" w:sz="0" w:space="0" w:color="auto"/>
      </w:divBdr>
      <w:divsChild>
        <w:div w:id="936600042">
          <w:marLeft w:val="0"/>
          <w:marRight w:val="0"/>
          <w:marTop w:val="0"/>
          <w:marBottom w:val="0"/>
          <w:divBdr>
            <w:top w:val="none" w:sz="0" w:space="0" w:color="auto"/>
            <w:left w:val="none" w:sz="0" w:space="0" w:color="auto"/>
            <w:bottom w:val="none" w:sz="0" w:space="0" w:color="auto"/>
            <w:right w:val="none" w:sz="0" w:space="0" w:color="auto"/>
          </w:divBdr>
          <w:divsChild>
            <w:div w:id="100763071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02328370">
      <w:marLeft w:val="0"/>
      <w:marRight w:val="0"/>
      <w:marTop w:val="0"/>
      <w:marBottom w:val="120"/>
      <w:divBdr>
        <w:top w:val="none" w:sz="0" w:space="0" w:color="auto"/>
        <w:left w:val="none" w:sz="0" w:space="0" w:color="auto"/>
        <w:bottom w:val="none" w:sz="0" w:space="0" w:color="auto"/>
        <w:right w:val="none" w:sz="0" w:space="0" w:color="auto"/>
      </w:divBdr>
    </w:div>
    <w:div w:id="1910118326">
      <w:marLeft w:val="0"/>
      <w:marRight w:val="0"/>
      <w:marTop w:val="0"/>
      <w:marBottom w:val="0"/>
      <w:divBdr>
        <w:top w:val="none" w:sz="0" w:space="0" w:color="auto"/>
        <w:left w:val="none" w:sz="0" w:space="0" w:color="auto"/>
        <w:bottom w:val="none" w:sz="0" w:space="0" w:color="auto"/>
        <w:right w:val="none" w:sz="0" w:space="0" w:color="auto"/>
      </w:divBdr>
      <w:divsChild>
        <w:div w:id="1767339766">
          <w:marLeft w:val="0"/>
          <w:marRight w:val="0"/>
          <w:marTop w:val="0"/>
          <w:marBottom w:val="100"/>
          <w:divBdr>
            <w:top w:val="none" w:sz="0" w:space="0" w:color="auto"/>
            <w:left w:val="none" w:sz="0" w:space="0" w:color="auto"/>
            <w:bottom w:val="none" w:sz="0" w:space="0" w:color="auto"/>
            <w:right w:val="none" w:sz="0" w:space="0" w:color="auto"/>
          </w:divBdr>
        </w:div>
      </w:divsChild>
    </w:div>
    <w:div w:id="1910576600">
      <w:marLeft w:val="0"/>
      <w:marRight w:val="0"/>
      <w:marTop w:val="0"/>
      <w:marBottom w:val="100"/>
      <w:divBdr>
        <w:top w:val="none" w:sz="0" w:space="0" w:color="auto"/>
        <w:left w:val="none" w:sz="0" w:space="0" w:color="auto"/>
        <w:bottom w:val="none" w:sz="0" w:space="0" w:color="auto"/>
        <w:right w:val="none" w:sz="0" w:space="0" w:color="auto"/>
      </w:divBdr>
    </w:div>
    <w:div w:id="1914196666">
      <w:marLeft w:val="0"/>
      <w:marRight w:val="0"/>
      <w:marTop w:val="0"/>
      <w:marBottom w:val="100"/>
      <w:divBdr>
        <w:top w:val="none" w:sz="0" w:space="0" w:color="auto"/>
        <w:left w:val="none" w:sz="0" w:space="0" w:color="auto"/>
        <w:bottom w:val="none" w:sz="0" w:space="0" w:color="auto"/>
        <w:right w:val="none" w:sz="0" w:space="0" w:color="auto"/>
      </w:divBdr>
    </w:div>
    <w:div w:id="1917012380">
      <w:marLeft w:val="0"/>
      <w:marRight w:val="0"/>
      <w:marTop w:val="180"/>
      <w:marBottom w:val="0"/>
      <w:divBdr>
        <w:top w:val="none" w:sz="0" w:space="0" w:color="auto"/>
        <w:left w:val="none" w:sz="0" w:space="0" w:color="auto"/>
        <w:bottom w:val="none" w:sz="0" w:space="0" w:color="auto"/>
        <w:right w:val="none" w:sz="0" w:space="0" w:color="auto"/>
      </w:divBdr>
    </w:div>
    <w:div w:id="1917546694">
      <w:marLeft w:val="0"/>
      <w:marRight w:val="0"/>
      <w:marTop w:val="0"/>
      <w:marBottom w:val="100"/>
      <w:divBdr>
        <w:top w:val="none" w:sz="0" w:space="0" w:color="auto"/>
        <w:left w:val="none" w:sz="0" w:space="0" w:color="auto"/>
        <w:bottom w:val="none" w:sz="0" w:space="0" w:color="auto"/>
        <w:right w:val="none" w:sz="0" w:space="0" w:color="auto"/>
      </w:divBdr>
    </w:div>
    <w:div w:id="1923642245">
      <w:marLeft w:val="0"/>
      <w:marRight w:val="0"/>
      <w:marTop w:val="100"/>
      <w:marBottom w:val="100"/>
      <w:divBdr>
        <w:top w:val="none" w:sz="0" w:space="0" w:color="auto"/>
        <w:left w:val="none" w:sz="0" w:space="0" w:color="auto"/>
        <w:bottom w:val="none" w:sz="0" w:space="0" w:color="auto"/>
        <w:right w:val="none" w:sz="0" w:space="0" w:color="auto"/>
      </w:divBdr>
    </w:div>
    <w:div w:id="1924336752">
      <w:marLeft w:val="0"/>
      <w:marRight w:val="0"/>
      <w:marTop w:val="0"/>
      <w:marBottom w:val="100"/>
      <w:divBdr>
        <w:top w:val="none" w:sz="0" w:space="0" w:color="auto"/>
        <w:left w:val="none" w:sz="0" w:space="0" w:color="auto"/>
        <w:bottom w:val="none" w:sz="0" w:space="0" w:color="auto"/>
        <w:right w:val="none" w:sz="0" w:space="0" w:color="auto"/>
      </w:divBdr>
    </w:div>
    <w:div w:id="1925646909">
      <w:marLeft w:val="0"/>
      <w:marRight w:val="0"/>
      <w:marTop w:val="0"/>
      <w:marBottom w:val="100"/>
      <w:divBdr>
        <w:top w:val="none" w:sz="0" w:space="0" w:color="auto"/>
        <w:left w:val="none" w:sz="0" w:space="0" w:color="auto"/>
        <w:bottom w:val="none" w:sz="0" w:space="0" w:color="auto"/>
        <w:right w:val="none" w:sz="0" w:space="0" w:color="auto"/>
      </w:divBdr>
    </w:div>
    <w:div w:id="1926375112">
      <w:marLeft w:val="0"/>
      <w:marRight w:val="0"/>
      <w:marTop w:val="0"/>
      <w:marBottom w:val="0"/>
      <w:divBdr>
        <w:top w:val="none" w:sz="0" w:space="0" w:color="auto"/>
        <w:left w:val="none" w:sz="0" w:space="0" w:color="auto"/>
        <w:bottom w:val="none" w:sz="0" w:space="0" w:color="auto"/>
        <w:right w:val="none" w:sz="0" w:space="0" w:color="auto"/>
      </w:divBdr>
    </w:div>
    <w:div w:id="1927834620">
      <w:marLeft w:val="0"/>
      <w:marRight w:val="0"/>
      <w:marTop w:val="0"/>
      <w:marBottom w:val="100"/>
      <w:divBdr>
        <w:top w:val="none" w:sz="0" w:space="0" w:color="auto"/>
        <w:left w:val="none" w:sz="0" w:space="0" w:color="auto"/>
        <w:bottom w:val="none" w:sz="0" w:space="0" w:color="auto"/>
        <w:right w:val="none" w:sz="0" w:space="0" w:color="auto"/>
      </w:divBdr>
    </w:div>
    <w:div w:id="1932815078">
      <w:marLeft w:val="0"/>
      <w:marRight w:val="0"/>
      <w:marTop w:val="180"/>
      <w:marBottom w:val="0"/>
      <w:divBdr>
        <w:top w:val="none" w:sz="0" w:space="0" w:color="auto"/>
        <w:left w:val="none" w:sz="0" w:space="0" w:color="auto"/>
        <w:bottom w:val="none" w:sz="0" w:space="0" w:color="auto"/>
        <w:right w:val="none" w:sz="0" w:space="0" w:color="auto"/>
      </w:divBdr>
    </w:div>
    <w:div w:id="1934897615">
      <w:marLeft w:val="0"/>
      <w:marRight w:val="0"/>
      <w:marTop w:val="0"/>
      <w:marBottom w:val="0"/>
      <w:divBdr>
        <w:top w:val="none" w:sz="0" w:space="0" w:color="auto"/>
        <w:left w:val="none" w:sz="0" w:space="0" w:color="auto"/>
        <w:bottom w:val="none" w:sz="0" w:space="0" w:color="auto"/>
        <w:right w:val="none" w:sz="0" w:space="0" w:color="auto"/>
      </w:divBdr>
      <w:divsChild>
        <w:div w:id="220943552">
          <w:marLeft w:val="0"/>
          <w:marRight w:val="0"/>
          <w:marTop w:val="0"/>
          <w:marBottom w:val="100"/>
          <w:divBdr>
            <w:top w:val="none" w:sz="0" w:space="0" w:color="auto"/>
            <w:left w:val="none" w:sz="0" w:space="0" w:color="auto"/>
            <w:bottom w:val="none" w:sz="0" w:space="0" w:color="auto"/>
            <w:right w:val="none" w:sz="0" w:space="0" w:color="auto"/>
          </w:divBdr>
        </w:div>
      </w:divsChild>
    </w:div>
    <w:div w:id="1936741731">
      <w:marLeft w:val="0"/>
      <w:marRight w:val="0"/>
      <w:marTop w:val="180"/>
      <w:marBottom w:val="0"/>
      <w:divBdr>
        <w:top w:val="none" w:sz="0" w:space="0" w:color="auto"/>
        <w:left w:val="none" w:sz="0" w:space="0" w:color="auto"/>
        <w:bottom w:val="none" w:sz="0" w:space="0" w:color="auto"/>
        <w:right w:val="none" w:sz="0" w:space="0" w:color="auto"/>
      </w:divBdr>
    </w:div>
    <w:div w:id="1937443445">
      <w:marLeft w:val="0"/>
      <w:marRight w:val="0"/>
      <w:marTop w:val="100"/>
      <w:marBottom w:val="100"/>
      <w:divBdr>
        <w:top w:val="none" w:sz="0" w:space="0" w:color="auto"/>
        <w:left w:val="none" w:sz="0" w:space="0" w:color="auto"/>
        <w:bottom w:val="none" w:sz="0" w:space="0" w:color="auto"/>
        <w:right w:val="none" w:sz="0" w:space="0" w:color="auto"/>
      </w:divBdr>
    </w:div>
    <w:div w:id="1937515621">
      <w:marLeft w:val="0"/>
      <w:marRight w:val="0"/>
      <w:marTop w:val="0"/>
      <w:marBottom w:val="0"/>
      <w:divBdr>
        <w:top w:val="none" w:sz="0" w:space="0" w:color="auto"/>
        <w:left w:val="none" w:sz="0" w:space="0" w:color="auto"/>
        <w:bottom w:val="none" w:sz="0" w:space="0" w:color="auto"/>
        <w:right w:val="none" w:sz="0" w:space="0" w:color="auto"/>
      </w:divBdr>
    </w:div>
    <w:div w:id="1941990482">
      <w:marLeft w:val="0"/>
      <w:marRight w:val="0"/>
      <w:marTop w:val="0"/>
      <w:marBottom w:val="0"/>
      <w:divBdr>
        <w:top w:val="none" w:sz="0" w:space="0" w:color="auto"/>
        <w:left w:val="none" w:sz="0" w:space="0" w:color="auto"/>
        <w:bottom w:val="none" w:sz="0" w:space="0" w:color="auto"/>
        <w:right w:val="none" w:sz="0" w:space="0" w:color="auto"/>
      </w:divBdr>
    </w:div>
    <w:div w:id="1942103152">
      <w:marLeft w:val="0"/>
      <w:marRight w:val="0"/>
      <w:marTop w:val="0"/>
      <w:marBottom w:val="0"/>
      <w:divBdr>
        <w:top w:val="none" w:sz="0" w:space="0" w:color="auto"/>
        <w:left w:val="none" w:sz="0" w:space="0" w:color="auto"/>
        <w:bottom w:val="none" w:sz="0" w:space="0" w:color="auto"/>
        <w:right w:val="none" w:sz="0" w:space="0" w:color="auto"/>
      </w:divBdr>
    </w:div>
    <w:div w:id="1942637361">
      <w:marLeft w:val="0"/>
      <w:marRight w:val="0"/>
      <w:marTop w:val="0"/>
      <w:marBottom w:val="0"/>
      <w:divBdr>
        <w:top w:val="none" w:sz="0" w:space="0" w:color="auto"/>
        <w:left w:val="none" w:sz="0" w:space="0" w:color="auto"/>
        <w:bottom w:val="none" w:sz="0" w:space="0" w:color="auto"/>
        <w:right w:val="none" w:sz="0" w:space="0" w:color="auto"/>
      </w:divBdr>
      <w:divsChild>
        <w:div w:id="1524173671">
          <w:marLeft w:val="0"/>
          <w:marRight w:val="0"/>
          <w:marTop w:val="0"/>
          <w:marBottom w:val="0"/>
          <w:divBdr>
            <w:top w:val="none" w:sz="0" w:space="0" w:color="auto"/>
            <w:left w:val="none" w:sz="0" w:space="0" w:color="auto"/>
            <w:bottom w:val="none" w:sz="0" w:space="0" w:color="auto"/>
            <w:right w:val="none" w:sz="0" w:space="0" w:color="auto"/>
          </w:divBdr>
          <w:divsChild>
            <w:div w:id="1993827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45262407">
      <w:marLeft w:val="0"/>
      <w:marRight w:val="0"/>
      <w:marTop w:val="0"/>
      <w:marBottom w:val="0"/>
      <w:divBdr>
        <w:top w:val="none" w:sz="0" w:space="0" w:color="auto"/>
        <w:left w:val="none" w:sz="0" w:space="0" w:color="auto"/>
        <w:bottom w:val="none" w:sz="0" w:space="0" w:color="auto"/>
        <w:right w:val="none" w:sz="0" w:space="0" w:color="auto"/>
      </w:divBdr>
      <w:divsChild>
        <w:div w:id="1733120529">
          <w:marLeft w:val="0"/>
          <w:marRight w:val="0"/>
          <w:marTop w:val="0"/>
          <w:marBottom w:val="100"/>
          <w:divBdr>
            <w:top w:val="none" w:sz="0" w:space="0" w:color="auto"/>
            <w:left w:val="none" w:sz="0" w:space="0" w:color="auto"/>
            <w:bottom w:val="none" w:sz="0" w:space="0" w:color="auto"/>
            <w:right w:val="none" w:sz="0" w:space="0" w:color="auto"/>
          </w:divBdr>
        </w:div>
      </w:divsChild>
    </w:div>
    <w:div w:id="1946646743">
      <w:marLeft w:val="0"/>
      <w:marRight w:val="0"/>
      <w:marTop w:val="100"/>
      <w:marBottom w:val="100"/>
      <w:divBdr>
        <w:top w:val="none" w:sz="0" w:space="0" w:color="auto"/>
        <w:left w:val="none" w:sz="0" w:space="0" w:color="auto"/>
        <w:bottom w:val="none" w:sz="0" w:space="0" w:color="auto"/>
        <w:right w:val="none" w:sz="0" w:space="0" w:color="auto"/>
      </w:divBdr>
    </w:div>
    <w:div w:id="1968657051">
      <w:marLeft w:val="0"/>
      <w:marRight w:val="0"/>
      <w:marTop w:val="0"/>
      <w:marBottom w:val="100"/>
      <w:divBdr>
        <w:top w:val="none" w:sz="0" w:space="0" w:color="auto"/>
        <w:left w:val="none" w:sz="0" w:space="0" w:color="auto"/>
        <w:bottom w:val="none" w:sz="0" w:space="0" w:color="auto"/>
        <w:right w:val="none" w:sz="0" w:space="0" w:color="auto"/>
      </w:divBdr>
    </w:div>
    <w:div w:id="1971742149">
      <w:marLeft w:val="0"/>
      <w:marRight w:val="0"/>
      <w:marTop w:val="180"/>
      <w:marBottom w:val="0"/>
      <w:divBdr>
        <w:top w:val="none" w:sz="0" w:space="0" w:color="auto"/>
        <w:left w:val="none" w:sz="0" w:space="0" w:color="auto"/>
        <w:bottom w:val="none" w:sz="0" w:space="0" w:color="auto"/>
        <w:right w:val="none" w:sz="0" w:space="0" w:color="auto"/>
      </w:divBdr>
    </w:div>
    <w:div w:id="1974017888">
      <w:marLeft w:val="0"/>
      <w:marRight w:val="0"/>
      <w:marTop w:val="0"/>
      <w:marBottom w:val="0"/>
      <w:divBdr>
        <w:top w:val="none" w:sz="0" w:space="0" w:color="auto"/>
        <w:left w:val="none" w:sz="0" w:space="0" w:color="auto"/>
        <w:bottom w:val="none" w:sz="0" w:space="0" w:color="auto"/>
        <w:right w:val="none" w:sz="0" w:space="0" w:color="auto"/>
      </w:divBdr>
    </w:div>
    <w:div w:id="1985498897">
      <w:marLeft w:val="0"/>
      <w:marRight w:val="0"/>
      <w:marTop w:val="180"/>
      <w:marBottom w:val="0"/>
      <w:divBdr>
        <w:top w:val="none" w:sz="0" w:space="0" w:color="auto"/>
        <w:left w:val="none" w:sz="0" w:space="0" w:color="auto"/>
        <w:bottom w:val="none" w:sz="0" w:space="0" w:color="auto"/>
        <w:right w:val="none" w:sz="0" w:space="0" w:color="auto"/>
      </w:divBdr>
    </w:div>
    <w:div w:id="1988589913">
      <w:marLeft w:val="0"/>
      <w:marRight w:val="0"/>
      <w:marTop w:val="100"/>
      <w:marBottom w:val="100"/>
      <w:divBdr>
        <w:top w:val="none" w:sz="0" w:space="0" w:color="auto"/>
        <w:left w:val="none" w:sz="0" w:space="0" w:color="auto"/>
        <w:bottom w:val="none" w:sz="0" w:space="0" w:color="auto"/>
        <w:right w:val="none" w:sz="0" w:space="0" w:color="auto"/>
      </w:divBdr>
    </w:div>
    <w:div w:id="1993680720">
      <w:marLeft w:val="0"/>
      <w:marRight w:val="0"/>
      <w:marTop w:val="100"/>
      <w:marBottom w:val="0"/>
      <w:divBdr>
        <w:top w:val="none" w:sz="0" w:space="0" w:color="auto"/>
        <w:left w:val="none" w:sz="0" w:space="0" w:color="auto"/>
        <w:bottom w:val="none" w:sz="0" w:space="0" w:color="auto"/>
        <w:right w:val="none" w:sz="0" w:space="0" w:color="auto"/>
      </w:divBdr>
    </w:div>
    <w:div w:id="1995259362">
      <w:marLeft w:val="0"/>
      <w:marRight w:val="0"/>
      <w:marTop w:val="0"/>
      <w:marBottom w:val="100"/>
      <w:divBdr>
        <w:top w:val="none" w:sz="0" w:space="0" w:color="auto"/>
        <w:left w:val="none" w:sz="0" w:space="0" w:color="auto"/>
        <w:bottom w:val="none" w:sz="0" w:space="0" w:color="auto"/>
        <w:right w:val="none" w:sz="0" w:space="0" w:color="auto"/>
      </w:divBdr>
    </w:div>
    <w:div w:id="2005475485">
      <w:marLeft w:val="0"/>
      <w:marRight w:val="0"/>
      <w:marTop w:val="100"/>
      <w:marBottom w:val="100"/>
      <w:divBdr>
        <w:top w:val="none" w:sz="0" w:space="0" w:color="auto"/>
        <w:left w:val="none" w:sz="0" w:space="0" w:color="auto"/>
        <w:bottom w:val="none" w:sz="0" w:space="0" w:color="auto"/>
        <w:right w:val="none" w:sz="0" w:space="0" w:color="auto"/>
      </w:divBdr>
    </w:div>
    <w:div w:id="2010330433">
      <w:marLeft w:val="0"/>
      <w:marRight w:val="0"/>
      <w:marTop w:val="100"/>
      <w:marBottom w:val="100"/>
      <w:divBdr>
        <w:top w:val="none" w:sz="0" w:space="0" w:color="auto"/>
        <w:left w:val="none" w:sz="0" w:space="0" w:color="auto"/>
        <w:bottom w:val="none" w:sz="0" w:space="0" w:color="auto"/>
        <w:right w:val="none" w:sz="0" w:space="0" w:color="auto"/>
      </w:divBdr>
    </w:div>
    <w:div w:id="2015260855">
      <w:marLeft w:val="0"/>
      <w:marRight w:val="0"/>
      <w:marTop w:val="0"/>
      <w:marBottom w:val="100"/>
      <w:divBdr>
        <w:top w:val="none" w:sz="0" w:space="0" w:color="auto"/>
        <w:left w:val="none" w:sz="0" w:space="0" w:color="auto"/>
        <w:bottom w:val="none" w:sz="0" w:space="0" w:color="auto"/>
        <w:right w:val="none" w:sz="0" w:space="0" w:color="auto"/>
      </w:divBdr>
    </w:div>
    <w:div w:id="2022076308">
      <w:marLeft w:val="0"/>
      <w:marRight w:val="0"/>
      <w:marTop w:val="0"/>
      <w:marBottom w:val="100"/>
      <w:divBdr>
        <w:top w:val="none" w:sz="0" w:space="0" w:color="auto"/>
        <w:left w:val="none" w:sz="0" w:space="0" w:color="auto"/>
        <w:bottom w:val="none" w:sz="0" w:space="0" w:color="auto"/>
        <w:right w:val="none" w:sz="0" w:space="0" w:color="auto"/>
      </w:divBdr>
    </w:div>
    <w:div w:id="2023899142">
      <w:marLeft w:val="0"/>
      <w:marRight w:val="0"/>
      <w:marTop w:val="100"/>
      <w:marBottom w:val="100"/>
      <w:divBdr>
        <w:top w:val="none" w:sz="0" w:space="0" w:color="auto"/>
        <w:left w:val="none" w:sz="0" w:space="0" w:color="auto"/>
        <w:bottom w:val="none" w:sz="0" w:space="0" w:color="auto"/>
        <w:right w:val="none" w:sz="0" w:space="0" w:color="auto"/>
      </w:divBdr>
    </w:div>
    <w:div w:id="2032685646">
      <w:marLeft w:val="0"/>
      <w:marRight w:val="0"/>
      <w:marTop w:val="180"/>
      <w:marBottom w:val="0"/>
      <w:divBdr>
        <w:top w:val="none" w:sz="0" w:space="0" w:color="auto"/>
        <w:left w:val="none" w:sz="0" w:space="0" w:color="auto"/>
        <w:bottom w:val="none" w:sz="0" w:space="0" w:color="auto"/>
        <w:right w:val="none" w:sz="0" w:space="0" w:color="auto"/>
      </w:divBdr>
    </w:div>
    <w:div w:id="2041393826">
      <w:marLeft w:val="0"/>
      <w:marRight w:val="0"/>
      <w:marTop w:val="100"/>
      <w:marBottom w:val="100"/>
      <w:divBdr>
        <w:top w:val="none" w:sz="0" w:space="0" w:color="auto"/>
        <w:left w:val="none" w:sz="0" w:space="0" w:color="auto"/>
        <w:bottom w:val="none" w:sz="0" w:space="0" w:color="auto"/>
        <w:right w:val="none" w:sz="0" w:space="0" w:color="auto"/>
      </w:divBdr>
    </w:div>
    <w:div w:id="2043166750">
      <w:marLeft w:val="0"/>
      <w:marRight w:val="0"/>
      <w:marTop w:val="100"/>
      <w:marBottom w:val="100"/>
      <w:divBdr>
        <w:top w:val="none" w:sz="0" w:space="0" w:color="auto"/>
        <w:left w:val="none" w:sz="0" w:space="0" w:color="auto"/>
        <w:bottom w:val="none" w:sz="0" w:space="0" w:color="auto"/>
        <w:right w:val="none" w:sz="0" w:space="0" w:color="auto"/>
      </w:divBdr>
    </w:div>
    <w:div w:id="2045667876">
      <w:marLeft w:val="0"/>
      <w:marRight w:val="0"/>
      <w:marTop w:val="0"/>
      <w:marBottom w:val="0"/>
      <w:divBdr>
        <w:top w:val="none" w:sz="0" w:space="0" w:color="auto"/>
        <w:left w:val="none" w:sz="0" w:space="0" w:color="auto"/>
        <w:bottom w:val="none" w:sz="0" w:space="0" w:color="auto"/>
        <w:right w:val="none" w:sz="0" w:space="0" w:color="auto"/>
      </w:divBdr>
      <w:divsChild>
        <w:div w:id="853038679">
          <w:marLeft w:val="0"/>
          <w:marRight w:val="0"/>
          <w:marTop w:val="0"/>
          <w:marBottom w:val="0"/>
          <w:divBdr>
            <w:top w:val="none" w:sz="0" w:space="0" w:color="auto"/>
            <w:left w:val="none" w:sz="0" w:space="0" w:color="auto"/>
            <w:bottom w:val="none" w:sz="0" w:space="0" w:color="auto"/>
            <w:right w:val="none" w:sz="0" w:space="0" w:color="auto"/>
          </w:divBdr>
          <w:divsChild>
            <w:div w:id="18004888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59435006">
      <w:marLeft w:val="0"/>
      <w:marRight w:val="0"/>
      <w:marTop w:val="100"/>
      <w:marBottom w:val="100"/>
      <w:divBdr>
        <w:top w:val="none" w:sz="0" w:space="0" w:color="auto"/>
        <w:left w:val="none" w:sz="0" w:space="0" w:color="auto"/>
        <w:bottom w:val="none" w:sz="0" w:space="0" w:color="auto"/>
        <w:right w:val="none" w:sz="0" w:space="0" w:color="auto"/>
      </w:divBdr>
    </w:div>
    <w:div w:id="2060126736">
      <w:marLeft w:val="0"/>
      <w:marRight w:val="0"/>
      <w:marTop w:val="180"/>
      <w:marBottom w:val="0"/>
      <w:divBdr>
        <w:top w:val="none" w:sz="0" w:space="0" w:color="auto"/>
        <w:left w:val="none" w:sz="0" w:space="0" w:color="auto"/>
        <w:bottom w:val="none" w:sz="0" w:space="0" w:color="auto"/>
        <w:right w:val="none" w:sz="0" w:space="0" w:color="auto"/>
      </w:divBdr>
    </w:div>
    <w:div w:id="2061662255">
      <w:marLeft w:val="0"/>
      <w:marRight w:val="0"/>
      <w:marTop w:val="0"/>
      <w:marBottom w:val="100"/>
      <w:divBdr>
        <w:top w:val="none" w:sz="0" w:space="0" w:color="auto"/>
        <w:left w:val="none" w:sz="0" w:space="0" w:color="auto"/>
        <w:bottom w:val="none" w:sz="0" w:space="0" w:color="auto"/>
        <w:right w:val="none" w:sz="0" w:space="0" w:color="auto"/>
      </w:divBdr>
    </w:div>
    <w:div w:id="2065789879">
      <w:marLeft w:val="0"/>
      <w:marRight w:val="0"/>
      <w:marTop w:val="0"/>
      <w:marBottom w:val="0"/>
      <w:divBdr>
        <w:top w:val="none" w:sz="0" w:space="0" w:color="auto"/>
        <w:left w:val="none" w:sz="0" w:space="0" w:color="auto"/>
        <w:bottom w:val="none" w:sz="0" w:space="0" w:color="auto"/>
        <w:right w:val="none" w:sz="0" w:space="0" w:color="auto"/>
      </w:divBdr>
      <w:divsChild>
        <w:div w:id="1149008761">
          <w:marLeft w:val="0"/>
          <w:marRight w:val="0"/>
          <w:marTop w:val="0"/>
          <w:marBottom w:val="0"/>
          <w:divBdr>
            <w:top w:val="none" w:sz="0" w:space="0" w:color="auto"/>
            <w:left w:val="none" w:sz="0" w:space="0" w:color="auto"/>
            <w:bottom w:val="none" w:sz="0" w:space="0" w:color="auto"/>
            <w:right w:val="none" w:sz="0" w:space="0" w:color="auto"/>
          </w:divBdr>
          <w:divsChild>
            <w:div w:id="192965825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71228184">
      <w:marLeft w:val="0"/>
      <w:marRight w:val="0"/>
      <w:marTop w:val="100"/>
      <w:marBottom w:val="100"/>
      <w:divBdr>
        <w:top w:val="none" w:sz="0" w:space="0" w:color="auto"/>
        <w:left w:val="none" w:sz="0" w:space="0" w:color="auto"/>
        <w:bottom w:val="none" w:sz="0" w:space="0" w:color="auto"/>
        <w:right w:val="none" w:sz="0" w:space="0" w:color="auto"/>
      </w:divBdr>
    </w:div>
    <w:div w:id="2071343399">
      <w:marLeft w:val="0"/>
      <w:marRight w:val="0"/>
      <w:marTop w:val="100"/>
      <w:marBottom w:val="100"/>
      <w:divBdr>
        <w:top w:val="none" w:sz="0" w:space="0" w:color="auto"/>
        <w:left w:val="none" w:sz="0" w:space="0" w:color="auto"/>
        <w:bottom w:val="none" w:sz="0" w:space="0" w:color="auto"/>
        <w:right w:val="none" w:sz="0" w:space="0" w:color="auto"/>
      </w:divBdr>
    </w:div>
    <w:div w:id="2080637817">
      <w:marLeft w:val="0"/>
      <w:marRight w:val="0"/>
      <w:marTop w:val="0"/>
      <w:marBottom w:val="0"/>
      <w:divBdr>
        <w:top w:val="none" w:sz="0" w:space="0" w:color="auto"/>
        <w:left w:val="none" w:sz="0" w:space="0" w:color="auto"/>
        <w:bottom w:val="none" w:sz="0" w:space="0" w:color="auto"/>
        <w:right w:val="none" w:sz="0" w:space="0" w:color="auto"/>
      </w:divBdr>
    </w:div>
    <w:div w:id="2084719996">
      <w:marLeft w:val="0"/>
      <w:marRight w:val="0"/>
      <w:marTop w:val="100"/>
      <w:marBottom w:val="100"/>
      <w:divBdr>
        <w:top w:val="none" w:sz="0" w:space="0" w:color="auto"/>
        <w:left w:val="none" w:sz="0" w:space="0" w:color="auto"/>
        <w:bottom w:val="none" w:sz="0" w:space="0" w:color="auto"/>
        <w:right w:val="none" w:sz="0" w:space="0" w:color="auto"/>
      </w:divBdr>
    </w:div>
    <w:div w:id="2086147185">
      <w:marLeft w:val="0"/>
      <w:marRight w:val="0"/>
      <w:marTop w:val="100"/>
      <w:marBottom w:val="100"/>
      <w:divBdr>
        <w:top w:val="none" w:sz="0" w:space="0" w:color="auto"/>
        <w:left w:val="none" w:sz="0" w:space="0" w:color="auto"/>
        <w:bottom w:val="none" w:sz="0" w:space="0" w:color="auto"/>
        <w:right w:val="none" w:sz="0" w:space="0" w:color="auto"/>
      </w:divBdr>
    </w:div>
    <w:div w:id="2095517219">
      <w:marLeft w:val="0"/>
      <w:marRight w:val="0"/>
      <w:marTop w:val="100"/>
      <w:marBottom w:val="100"/>
      <w:divBdr>
        <w:top w:val="none" w:sz="0" w:space="0" w:color="auto"/>
        <w:left w:val="none" w:sz="0" w:space="0" w:color="auto"/>
        <w:bottom w:val="none" w:sz="0" w:space="0" w:color="auto"/>
        <w:right w:val="none" w:sz="0" w:space="0" w:color="auto"/>
      </w:divBdr>
    </w:div>
    <w:div w:id="2104258948">
      <w:marLeft w:val="0"/>
      <w:marRight w:val="0"/>
      <w:marTop w:val="0"/>
      <w:marBottom w:val="0"/>
      <w:divBdr>
        <w:top w:val="none" w:sz="0" w:space="0" w:color="auto"/>
        <w:left w:val="none" w:sz="0" w:space="0" w:color="auto"/>
        <w:bottom w:val="none" w:sz="0" w:space="0" w:color="auto"/>
        <w:right w:val="none" w:sz="0" w:space="0" w:color="auto"/>
      </w:divBdr>
      <w:divsChild>
        <w:div w:id="2030833455">
          <w:marLeft w:val="0"/>
          <w:marRight w:val="0"/>
          <w:marTop w:val="0"/>
          <w:marBottom w:val="100"/>
          <w:divBdr>
            <w:top w:val="none" w:sz="0" w:space="0" w:color="auto"/>
            <w:left w:val="none" w:sz="0" w:space="0" w:color="auto"/>
            <w:bottom w:val="none" w:sz="0" w:space="0" w:color="auto"/>
            <w:right w:val="none" w:sz="0" w:space="0" w:color="auto"/>
          </w:divBdr>
        </w:div>
      </w:divsChild>
    </w:div>
    <w:div w:id="2108840275">
      <w:marLeft w:val="0"/>
      <w:marRight w:val="0"/>
      <w:marTop w:val="0"/>
      <w:marBottom w:val="0"/>
      <w:divBdr>
        <w:top w:val="none" w:sz="0" w:space="0" w:color="auto"/>
        <w:left w:val="none" w:sz="0" w:space="0" w:color="auto"/>
        <w:bottom w:val="none" w:sz="0" w:space="0" w:color="auto"/>
        <w:right w:val="none" w:sz="0" w:space="0" w:color="auto"/>
      </w:divBdr>
    </w:div>
    <w:div w:id="2111123565">
      <w:marLeft w:val="0"/>
      <w:marRight w:val="0"/>
      <w:marTop w:val="100"/>
      <w:marBottom w:val="100"/>
      <w:divBdr>
        <w:top w:val="none" w:sz="0" w:space="0" w:color="auto"/>
        <w:left w:val="none" w:sz="0" w:space="0" w:color="auto"/>
        <w:bottom w:val="none" w:sz="0" w:space="0" w:color="auto"/>
        <w:right w:val="none" w:sz="0" w:space="0" w:color="auto"/>
      </w:divBdr>
    </w:div>
    <w:div w:id="2114741778">
      <w:marLeft w:val="0"/>
      <w:marRight w:val="0"/>
      <w:marTop w:val="0"/>
      <w:marBottom w:val="0"/>
      <w:divBdr>
        <w:top w:val="none" w:sz="0" w:space="0" w:color="auto"/>
        <w:left w:val="none" w:sz="0" w:space="0" w:color="auto"/>
        <w:bottom w:val="none" w:sz="0" w:space="0" w:color="auto"/>
        <w:right w:val="none" w:sz="0" w:space="0" w:color="auto"/>
      </w:divBdr>
      <w:divsChild>
        <w:div w:id="1690984675">
          <w:marLeft w:val="0"/>
          <w:marRight w:val="0"/>
          <w:marTop w:val="0"/>
          <w:marBottom w:val="0"/>
          <w:divBdr>
            <w:top w:val="none" w:sz="0" w:space="0" w:color="auto"/>
            <w:left w:val="none" w:sz="0" w:space="0" w:color="auto"/>
            <w:bottom w:val="none" w:sz="0" w:space="0" w:color="auto"/>
            <w:right w:val="none" w:sz="0" w:space="0" w:color="auto"/>
          </w:divBdr>
          <w:divsChild>
            <w:div w:id="175512422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15318101">
      <w:marLeft w:val="0"/>
      <w:marRight w:val="0"/>
      <w:marTop w:val="180"/>
      <w:marBottom w:val="100"/>
      <w:divBdr>
        <w:top w:val="none" w:sz="0" w:space="0" w:color="auto"/>
        <w:left w:val="none" w:sz="0" w:space="0" w:color="auto"/>
        <w:bottom w:val="none" w:sz="0" w:space="0" w:color="auto"/>
        <w:right w:val="none" w:sz="0" w:space="0" w:color="auto"/>
      </w:divBdr>
    </w:div>
    <w:div w:id="2115662084">
      <w:marLeft w:val="0"/>
      <w:marRight w:val="0"/>
      <w:marTop w:val="0"/>
      <w:marBottom w:val="0"/>
      <w:divBdr>
        <w:top w:val="none" w:sz="0" w:space="0" w:color="auto"/>
        <w:left w:val="none" w:sz="0" w:space="0" w:color="auto"/>
        <w:bottom w:val="none" w:sz="0" w:space="0" w:color="auto"/>
        <w:right w:val="none" w:sz="0" w:space="0" w:color="auto"/>
      </w:divBdr>
      <w:divsChild>
        <w:div w:id="930090015">
          <w:marLeft w:val="0"/>
          <w:marRight w:val="0"/>
          <w:marTop w:val="0"/>
          <w:marBottom w:val="0"/>
          <w:divBdr>
            <w:top w:val="none" w:sz="0" w:space="0" w:color="auto"/>
            <w:left w:val="none" w:sz="0" w:space="0" w:color="auto"/>
            <w:bottom w:val="none" w:sz="0" w:space="0" w:color="auto"/>
            <w:right w:val="none" w:sz="0" w:space="0" w:color="auto"/>
          </w:divBdr>
          <w:divsChild>
            <w:div w:id="10318784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17171777">
      <w:marLeft w:val="0"/>
      <w:marRight w:val="0"/>
      <w:marTop w:val="100"/>
      <w:marBottom w:val="100"/>
      <w:divBdr>
        <w:top w:val="none" w:sz="0" w:space="0" w:color="auto"/>
        <w:left w:val="none" w:sz="0" w:space="0" w:color="auto"/>
        <w:bottom w:val="none" w:sz="0" w:space="0" w:color="auto"/>
        <w:right w:val="none" w:sz="0" w:space="0" w:color="auto"/>
      </w:divBdr>
    </w:div>
    <w:div w:id="2123064553">
      <w:marLeft w:val="0"/>
      <w:marRight w:val="0"/>
      <w:marTop w:val="180"/>
      <w:marBottom w:val="120"/>
      <w:divBdr>
        <w:top w:val="none" w:sz="0" w:space="0" w:color="auto"/>
        <w:left w:val="none" w:sz="0" w:space="0" w:color="auto"/>
        <w:bottom w:val="none" w:sz="0" w:space="0" w:color="auto"/>
        <w:right w:val="none" w:sz="0" w:space="0" w:color="auto"/>
      </w:divBdr>
    </w:div>
    <w:div w:id="2132940435">
      <w:marLeft w:val="0"/>
      <w:marRight w:val="0"/>
      <w:marTop w:val="0"/>
      <w:marBottom w:val="0"/>
      <w:divBdr>
        <w:top w:val="none" w:sz="0" w:space="0" w:color="auto"/>
        <w:left w:val="none" w:sz="0" w:space="0" w:color="auto"/>
        <w:bottom w:val="none" w:sz="0" w:space="0" w:color="auto"/>
        <w:right w:val="none" w:sz="0" w:space="0" w:color="auto"/>
      </w:divBdr>
      <w:divsChild>
        <w:div w:id="722606448">
          <w:marLeft w:val="0"/>
          <w:marRight w:val="0"/>
          <w:marTop w:val="0"/>
          <w:marBottom w:val="100"/>
          <w:divBdr>
            <w:top w:val="none" w:sz="0" w:space="0" w:color="auto"/>
            <w:left w:val="none" w:sz="0" w:space="0" w:color="auto"/>
            <w:bottom w:val="none" w:sz="0" w:space="0" w:color="auto"/>
            <w:right w:val="none" w:sz="0" w:space="0" w:color="auto"/>
          </w:divBdr>
        </w:div>
      </w:divsChild>
    </w:div>
    <w:div w:id="2133938377">
      <w:marLeft w:val="0"/>
      <w:marRight w:val="0"/>
      <w:marTop w:val="180"/>
      <w:marBottom w:val="0"/>
      <w:divBdr>
        <w:top w:val="none" w:sz="0" w:space="0" w:color="auto"/>
        <w:left w:val="none" w:sz="0" w:space="0" w:color="auto"/>
        <w:bottom w:val="none" w:sz="0" w:space="0" w:color="auto"/>
        <w:right w:val="none" w:sz="0" w:space="0" w:color="auto"/>
      </w:divBdr>
    </w:div>
    <w:div w:id="2135362781">
      <w:marLeft w:val="0"/>
      <w:marRight w:val="0"/>
      <w:marTop w:val="100"/>
      <w:marBottom w:val="100"/>
      <w:divBdr>
        <w:top w:val="none" w:sz="0" w:space="0" w:color="auto"/>
        <w:left w:val="none" w:sz="0" w:space="0" w:color="auto"/>
        <w:bottom w:val="none" w:sz="0" w:space="0" w:color="auto"/>
        <w:right w:val="none" w:sz="0" w:space="0" w:color="auto"/>
      </w:divBdr>
    </w:div>
    <w:div w:id="2137722063">
      <w:marLeft w:val="0"/>
      <w:marRight w:val="0"/>
      <w:marTop w:val="0"/>
      <w:marBottom w:val="100"/>
      <w:divBdr>
        <w:top w:val="none" w:sz="0" w:space="0" w:color="auto"/>
        <w:left w:val="none" w:sz="0" w:space="0" w:color="auto"/>
        <w:bottom w:val="none" w:sz="0" w:space="0" w:color="auto"/>
        <w:right w:val="none" w:sz="0" w:space="0" w:color="auto"/>
      </w:divBdr>
    </w:div>
    <w:div w:id="2143300756">
      <w:marLeft w:val="0"/>
      <w:marRight w:val="0"/>
      <w:marTop w:val="0"/>
      <w:marBottom w:val="100"/>
      <w:divBdr>
        <w:top w:val="none" w:sz="0" w:space="0" w:color="auto"/>
        <w:left w:val="none" w:sz="0" w:space="0" w:color="auto"/>
        <w:bottom w:val="none" w:sz="0" w:space="0" w:color="auto"/>
        <w:right w:val="none" w:sz="0" w:space="0" w:color="auto"/>
      </w:divBdr>
    </w:div>
    <w:div w:id="2143694845">
      <w:marLeft w:val="0"/>
      <w:marRight w:val="0"/>
      <w:marTop w:val="100"/>
      <w:marBottom w:val="0"/>
      <w:divBdr>
        <w:top w:val="none" w:sz="0" w:space="0" w:color="auto"/>
        <w:left w:val="none" w:sz="0" w:space="0" w:color="auto"/>
        <w:bottom w:val="none" w:sz="0" w:space="0" w:color="auto"/>
        <w:right w:val="none" w:sz="0" w:space="0" w:color="auto"/>
      </w:divBdr>
    </w:div>
    <w:div w:id="2144763583">
      <w:marLeft w:val="0"/>
      <w:marRight w:val="0"/>
      <w:marTop w:val="0"/>
      <w:marBottom w:val="0"/>
      <w:divBdr>
        <w:top w:val="none" w:sz="0" w:space="0" w:color="auto"/>
        <w:left w:val="none" w:sz="0" w:space="0" w:color="auto"/>
        <w:bottom w:val="none" w:sz="0" w:space="0" w:color="auto"/>
        <w:right w:val="none" w:sz="0" w:space="0" w:color="auto"/>
      </w:divBdr>
      <w:divsChild>
        <w:div w:id="602885249">
          <w:marLeft w:val="0"/>
          <w:marRight w:val="0"/>
          <w:marTop w:val="0"/>
          <w:marBottom w:val="1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5q3cy2210-q.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ix?doc=/Archives/edgar/data/202058/000020205822000056/hrs-20220804.htm" TargetMode="External"/><Relationship Id="rId12" Type="http://schemas.openxmlformats.org/officeDocument/2006/relationships/hyperlink" Target="exhibit322cy22-q310x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202058/000020205822000029/exhibit3bby-lawamendment.htm" TargetMode="External"/><Relationship Id="rId11" Type="http://schemas.openxmlformats.org/officeDocument/2006/relationships/hyperlink" Target="exhibit321cy22-q310xq.htm" TargetMode="External"/><Relationship Id="rId5" Type="http://schemas.openxmlformats.org/officeDocument/2006/relationships/hyperlink" Target="https://www.sec.gov/Archives/edgar/data/0000202058/000020205822000029/exhibit3arestatedcertifi.htm" TargetMode="External"/><Relationship Id="rId10" Type="http://schemas.openxmlformats.org/officeDocument/2006/relationships/hyperlink" Target="exhibit312cy22-q310xq.htm" TargetMode="External"/><Relationship Id="rId4" Type="http://schemas.openxmlformats.org/officeDocument/2006/relationships/image" Target="file:///E:\projects\LLMs\new_data_collection\data_new\htm\L3HARRIS%20TECHNOLOGIES,%20INC\hrs-20220930_g1.jpg" TargetMode="External"/><Relationship Id="rId9" Type="http://schemas.openxmlformats.org/officeDocument/2006/relationships/hyperlink" Target="exhibit311cy22-q310xq.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31539</Words>
  <Characters>179773</Characters>
  <Application>Microsoft Office Word</Application>
  <DocSecurity>0</DocSecurity>
  <Lines>1498</Lines>
  <Paragraphs>421</Paragraphs>
  <ScaleCrop>false</ScaleCrop>
  <Company/>
  <LinksUpToDate>false</LinksUpToDate>
  <CharactersWithSpaces>210891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hrs-20220930</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